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1.9</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Core checkpoint 53a988c — 780 tests passed, 8 warnings, 0 failures</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Cross-Domain Architecture Contract Baseline Approved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16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Clinical Privacy Policy Engine remains frozen at its accepted Phase 1 POC checkpoint. Medical Document Understanding &amp; Recognition has reached the accepted Document Context &amp; Journey Foundation checkpoint at commit fa1a8ba68d66a3d40f40c8af3bf644f3b909191a. The verified repository baseline is 742 passed tests, 8 warnings, and no failures. These are engineering checkpoints, not production or clinical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contains an accepted Clinical Privacy Policy Engine POC and an accepted Medical Document Understanding &amp; Recognition Document Context &amp; Journey Foundation. Phase 2 reuses TXT/DOCX/text-based PDF extraction and DocumentContent, exposes standalone text/file APIs, and carries one retained document through MedNexusDocumentContext into the existing privacy pipeline without re-upload. The next milestone is Phase 2 Recognition Validation — Round 1 using a small representative healthcare-document set.</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r>
              <w:t>Foundation implemented: deterministic language detection, line-oriented structural sections, evidence-based classification, confidence/evidence, and symbolic routing. OCR, layout vision, tables, ML/LLM classification, and advanced extraction remain deferred.</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Phase 2 Document Context &amp; Journey Foundation is accepted; the next controlled milestone is Recognition Validation — Round 1 while preserving the authoritative privacy pipeline and stage boundaries.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 implemented TXT/DOCX/text-based PDF ingestion path, and an accepted Document Context &amp; Journey Foundation. The next immediate milestone is Recognition Validation — Round 1. The planned Custom Policy Builder remains a future differentiator and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public MEDNEXUS⁷ journey is: 01 Understand → 02 Protect → 03 Extract → 04 Standardize → 05 Analyze → 06 Visualize → 07 Indicators. INGEST remains an internal technical operation inside UNDERSTAND for file/text intake, extraction/parsing, and DocumentContent construction.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MEDNEXUS⁷ Enterprise Medical Document Intelligence homepage, /understanding as the standalone Understanding POC, and /privacy as the functional Clinical Privacy Policy Engine POC. The Deep Teal Hybrid experience and seven-transformation cinematic journey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p>
      <w:r>
        <w:br w:type="page"/>
      </w:r>
    </w:p>
    <w:p>
      <w:pPr>
        <w:pStyle w:val="Heading1"/>
      </w:pPr>
      <w:r>
        <w:t>Phase 1 Clinical Privacy Policy Engine — Accepted POC Checkpoint</w:t>
      </w:r>
    </w:p>
    <w:p>
      <w:r>
        <w:rPr>
          <w:b/>
        </w:rPr>
        <w:t xml:space="preserve">Checkpoint status: </w:t>
      </w:r>
      <w:r>
        <w:t>Phase 1 — Accepted POC Checkpoint / Paused. The architecture and current synthetic acceptance baseline are frozen; this is not production certification, exhaustive clinical validation, or a claim that all privacy edge cases are solved.</w:t>
      </w:r>
    </w:p>
    <w:p>
      <w:pPr>
        <w:pStyle w:val="Heading2"/>
      </w:pPr>
      <w:r>
        <w:t>Final Authoritative Architecture</w:t>
      </w:r>
    </w:p>
    <w:p>
      <w:pPr>
        <w:spacing w:after="120"/>
      </w:pPr>
      <w:r>
        <w:t>Medical document or text → supported extraction → MedNexus contextual and deterministic detection plus OpenMed external candidates → MedNexus candidate canonicalization → RoleResolver → ContextValidator → DetectionMerger and orchestration → purpose-based Clinical Privacy Policy Engine → MedNexusOutputBuilder → MedNexus-owned protected output.</w:t>
      </w:r>
    </w:p>
    <w:p>
      <w:pPr>
        <w:spacing w:after="120"/>
      </w:pPr>
      <w:r>
        <w:t>OpenMed remains external, replaceable, and candidate-only. Its deidentified_text is non-authoritative. MedNexus owns contextual interpretation, role resolution, validation, conflict decisions, policy actions, transformations, and final output construction.</w:t>
      </w:r>
    </w:p>
    <w:p>
      <w:pPr>
        <w:pStyle w:val="Heading2"/>
        <w:spacing w:after="120"/>
      </w:pPr>
      <w:r>
        <w:t>Purpose Profiles and Executable Actions</w:t>
      </w:r>
    </w:p>
    <w:p>
      <w:pPr>
        <w:spacing w:after="120"/>
      </w:pPr>
      <w:r>
        <w:t>Canonical profiles are MEDNEXUS_CLINICAL, MEDNEXUS_RESEARCH, MEDNEXUS_ANALYTICS_PUBLIC_HEALTH, and MEDNEXUS_STRICT_PRIVACY. Current executable actions are KEEP, REPLACE, HASH, MASK, and REMOVE. Advanced transformations remain planned.</w:t>
      </w:r>
    </w:p>
    <w:p>
      <w:pPr>
        <w:pStyle w:val="Heading2"/>
        <w:spacing w:after="120"/>
      </w:pPr>
      <w:r>
        <w:t>Final Targeted Acceptance Corrections</w:t>
      </w:r>
    </w:p>
    <w:p>
      <w:pPr>
        <w:spacing w:after="120"/>
      </w:pPr>
      <w:r>
        <w:t>Formatted international phone candidates now pass conservative validation when they contain an appropriate digit count and common separators, allowing the selected policy to protect values such as +123 456 7890.</w:t>
      </w:r>
    </w:p>
    <w:p>
      <w:pPr>
        <w:spacing w:after="120"/>
      </w:pPr>
      <w:r>
        <w:t>Explicit Reporting Physician, Admitting Consultant, and Consultant Pathologist contexts now feed clinician role resolution consistently. Professional labels and titles such as Dr. and د. remain outside the personal-name span; the purpose profile governs KEEP or transformation.</w:t>
      </w:r>
    </w:p>
    <w:p>
      <w:pPr>
        <w:spacing w:after="120"/>
      </w:pPr>
      <w:r>
        <w:t>Supported Arabic professional fields, including طبيب الأشعة and existing Arabic pathologist equivalents, now produce complete clinician-name spans so fragmented external candidates cannot cause partial identity transformation in the targeted scenarios.</w:t>
      </w:r>
    </w:p>
    <w:p>
      <w:pPr>
        <w:pStyle w:val="Heading2"/>
        <w:spacing w:after="120"/>
      </w:pPr>
      <w:r>
        <w:t>Synthetic Acceptance Baseline</w:t>
      </w:r>
    </w:p>
    <w:p>
      <w:pPr>
        <w:spacing w:after="120"/>
      </w:pPr>
      <w:r>
        <w:t>Targeted acceptance verification: 103 passed, 7 warnings.</w:t>
      </w:r>
    </w:p>
    <w:p>
      <w:pPr>
        <w:spacing w:after="120"/>
      </w:pPr>
      <w:r>
        <w:t>Full regression: 681 passed, 8 warnings, 0 failures.</w:t>
      </w:r>
    </w:p>
    <w:p>
      <w:pPr>
        <w:spacing w:after="120"/>
      </w:pPr>
      <w:r>
        <w:t>The engineering decision is to stop synthetic perfection loops after proving the architecture, fixing clear privacy blockers, preserving clinical meaning, and establishing regression protection.</w:t>
      </w:r>
    </w:p>
    <w:p>
      <w:pPr>
        <w:pStyle w:val="Heading2"/>
        <w:spacing w:after="120"/>
      </w:pPr>
      <w:r>
        <w:t>Deferred Validation and Product Boundary</w:t>
      </w:r>
    </w:p>
    <w:p>
      <w:pPr>
        <w:spacing w:after="120"/>
      </w:pPr>
      <w:r>
        <w:t>Broader real medical-report validation, additional cases discovered from real reports, broader multilingual clinician/person-name coverage, OCR, production hardening, load/performance validation, formal benchmark expansion, and remaining frontend polish are intentionally deferred.</w:t>
      </w:r>
    </w:p>
    <w:p>
      <w:pPr>
        <w:spacing w:after="120"/>
      </w:pPr>
      <w:r>
        <w:t>Future real-document validation is expected to reveal additional cases. The accepted POC checkpoint must not be represented as production readiness, exhaustive privacy coverage, clinical certification, or completed real-world acceptance.</w:t>
      </w:r>
    </w:p>
    <w:p>
      <w:pPr>
        <w:pStyle w:val="Heading1"/>
      </w:pPr>
      <w:r>
        <w:t>21. Phase 2 Foundation Checkpoint — 13 August 2026</w:t>
      </w:r>
    </w:p>
    <w:p>
      <w:r>
        <w:t>Status: FOUNDATION CHECKPOINT ACCEPTED at commit a1e8ff2. Accepted baseline: 714 passed, 8 warnings, 0 failures; focused Phase 2 hardening suite: 33 passed. No Phase 1 regression was introduced.</w:t>
      </w:r>
    </w:p>
    <w:p>
      <w:pPr>
        <w:pStyle w:val="Heading2"/>
      </w:pPr>
      <w:r>
        <w:t>21.1 Implemented UNDERSTAND Boundary</w:t>
      </w:r>
    </w:p>
    <w:p>
      <w:r>
        <w:t>Source File / Text → existing ExtractorFactory → existing DocumentContent → language detection → structural section detection → evidence-based document classification → confidence and decision evidence → symbolic downstream routing. UNDERSTAND is independently usable and does not depend on Phase 1 privacy internals.</w:t>
      </w:r>
    </w:p>
    <w:p>
      <w:r>
        <w:t>The deterministic, explainable POC supports Radiology, Pathology, Laboratory, Emergency, Admission/Discharge, Public Health, and Unknown; English, Arabic, Mixed, and Unknown language results; and conservative radiology subtypes. UNKNOWN and low confidence are valid and preferred over forced classification.</w:t>
      </w:r>
    </w:p>
    <w:p>
      <w:r>
        <w:t>Section detection is line-oriented, supports LF/CRLF and aliases, produces complete non-overlapping ranges, and supplies structural evidence to classification. It is not OCR-, layout-, or vision-based.</w:t>
      </w:r>
    </w:p>
    <w:p>
      <w:r>
        <w:rPr>
          <w:sz w:val="21"/>
        </w:rPr>
        <w:t>Standalone APIs: POST /api/v1/understanding/analyze-text and POST /api/v1/understanding/analyze-file. Future extraction and terminology routes are symbolic recommendations only and do not imply implemented engines.</w:t>
      </w:r>
    </w:p>
    <w:p>
      <w:pPr>
        <w:pStyle w:val="Heading2"/>
      </w:pPr>
      <w:r>
        <w:rPr>
          <w:sz w:val="21"/>
        </w:rPr>
        <w:t>21.2 Deliberate Deferred Scope and Next Milestone</w:t>
      </w:r>
    </w:p>
    <w:p>
      <w:r>
        <w:rPr>
          <w:sz w:val="21"/>
        </w:rPr>
        <w:t>Deferred: OCR and scanned-document recognition, image/layout vision, table extraction, universal or ML/transformer/LLM classification, external classification services, embeddings/vector storage, advanced clinical extraction, FHIR, HL7, frontend/dashboard integration, and broad synthetic classifier tuning.</w:t>
      </w:r>
    </w:p>
    <w:p>
      <w:r>
        <w:rPr>
          <w:sz w:val="21"/>
        </w:rPr>
        <w:t>Next milestone: Phase 2 Recognition Validation — Round 1, using a small representative set across supported domains and ambiguous/UNKNOWN cases before classifier or frontend expansion.</w:t>
      </w:r>
    </w:p>
    <w:p>
      <w:r>
        <w:rPr>
          <w:sz w:val="21"/>
        </w:rPr>
        <w:br w:type="page"/>
      </w:r>
    </w:p>
    <w:p>
      <w:pPr>
        <w:pStyle w:val="Heading1"/>
      </w:pPr>
      <w:r>
        <w:rPr>
          <w:sz w:val="21"/>
        </w:rPr>
        <w:t>Architecture Addendum — Recognition Knowledge Layer v1</w:t>
      </w:r>
    </w:p>
    <w:p>
      <w:r>
        <w:rPr>
          <w:sz w:val="21"/>
        </w:rPr>
        <w:t>Version 1.6 · 13 August 2026</w:t>
      </w:r>
    </w:p>
    <w:p>
      <w:pPr>
        <w:pStyle w:val="Heading2"/>
      </w:pPr>
      <w:r>
        <w:rPr>
          <w:sz w:val="21"/>
        </w:rPr>
        <w:t>Implemented architecture</w:t>
      </w:r>
    </w:p>
    <w:p>
      <w:r>
        <w:rPr>
          <w:sz w:val="21"/>
        </w:rPr>
        <w:t>Medical Document Understanding now includes a MedNexus-owned, offline Recognition Knowledge Layer between normalized document evidence and deterministic classification. Radiology is the first implemented domain package.</w:t>
      </w:r>
    </w:p>
    <w:p>
      <w:r>
        <w:rPr>
          <w:sz w:val="21"/>
        </w:rPr>
        <w:t>Source Text / DocumentContent → Section and Language Detection → MedNexus Recognition Knowledge → Multi-signal Domain Signature → Explainable Classification → Symbolic Routing</w:t>
      </w:r>
    </w:p>
    <w:p>
      <w:pPr>
        <w:pStyle w:val="Heading2"/>
      </w:pPr>
      <w:r>
        <w:rPr>
          <w:sz w:val="21"/>
        </w:rPr>
        <w:t>Knowledge ownership and extensibility</w:t>
      </w:r>
    </w:p>
    <w:p>
      <w:pPr>
        <w:pStyle w:val="ListBullet"/>
      </w:pPr>
      <w:r>
        <w:rPr>
          <w:sz w:val="21"/>
        </w:rPr>
        <w:t>Typed concepts use stable MedNexus identifiers, bilingual canonical terms and aliases, evidence strength, allowed context, provenance families, and notes.</w:t>
      </w:r>
    </w:p>
    <w:p>
      <w:pPr>
        <w:pStyle w:val="ListBullet"/>
      </w:pPr>
      <w:r>
        <w:rPr>
          <w:sz w:val="21"/>
        </w:rPr>
        <w:t>Domain packages own sections, modality mappings, and recognition signatures. New domains extend the registry without creating a second classifier pipeline.</w:t>
      </w:r>
    </w:p>
    <w:p>
      <w:pPr>
        <w:pStyle w:val="ListBullet"/>
      </w:pPr>
      <w:r>
        <w:rPr>
          <w:sz w:val="21"/>
        </w:rPr>
        <w:t>Radiology Report recognition combines document/service identity, structural sections, supporting modality or author-role evidence, and competing-document safeguards. A modality mention alone is insufficient.</w:t>
      </w:r>
    </w:p>
    <w:p>
      <w:pPr>
        <w:pStyle w:val="ListBullet"/>
      </w:pPr>
      <w:r>
        <w:rPr>
          <w:sz w:val="21"/>
        </w:rPr>
        <w:t>External standards and terminologies are reference and traceability inputs only. LOINC Document Ontology, DICOM/DICOM SR, RSNA RadLex/Playbook/RadReport, SNOMED CT, HL7 CDA/C-CDA, and WHO ICD families do not make runtime recognition decisions.</w:t>
      </w:r>
    </w:p>
    <w:p>
      <w:pPr>
        <w:pStyle w:val="ListBullet"/>
      </w:pPr>
      <w:r>
        <w:rPr>
          <w:sz w:val="21"/>
        </w:rPr>
        <w:t>No external terminology service, ML model, embedding service, or external classifier is required at runtime for this POC.</w:t>
      </w:r>
    </w:p>
    <w:p>
      <w:pPr>
        <w:pStyle w:val="Heading2"/>
      </w:pPr>
      <w:r>
        <w:rPr>
          <w:sz w:val="21"/>
        </w:rPr>
        <w:t>Product result contract</w:t>
      </w:r>
    </w:p>
    <w:p>
      <w:r>
        <w:rPr>
          <w:sz w:val="21"/>
        </w:rPr>
        <w:t>The public recognition contract remains stable. The broad-audience workspace presents one primary vertical result (domain, type, subtype, primary language, confidence), followed by at most two default explanation blocks, a compact recommended journey, and collapsed technical traceability including concept IDs and reference families.</w:t>
      </w:r>
    </w:p>
    <w:p>
      <w:pPr>
        <w:pStyle w:val="Heading2"/>
      </w:pPr>
      <w:r>
        <w:rPr>
          <w:sz w:val="21"/>
        </w:rPr>
        <w:t>Validation state</w:t>
      </w:r>
    </w:p>
    <w:p>
      <w:r>
        <w:rPr>
          <w:sz w:val="21"/>
        </w:rPr>
        <w:t>The real Arabic CT sample MNX-01-03_Radiology_Arabic.txt resolves consistently through direct service and a fresh browser-backed API runtime as RADIOLOGY / RADIOLOGY_REPORT / CT / ARABIC with confidence 1.0 HIGH and five structural sections. Full regression status is recorded in current-state documentation after the final batch run.</w:t>
      </w:r>
    </w:p>
    <w:p>
      <w:r>
        <w:br w:type="page"/>
      </w:r>
    </w:p>
    <w:p>
      <w:pPr>
        <w:pStyle w:val="Heading1"/>
      </w:pPr>
      <w:r>
        <w:t>Architecture Addendum — MedNexus Document Context Foundation</w:t>
      </w:r>
    </w:p>
    <w:p>
      <w:r>
        <w:t>Phase 2 implementation clarification · 13 August 2026</w:t>
      </w:r>
    </w:p>
    <w:p>
      <w:pPr>
        <w:pStyle w:val="Heading2"/>
      </w:pPr>
      <w:r>
        <w:t>Shared journey contract</w:t>
      </w:r>
    </w:p>
    <w:p>
      <w:r>
        <w:t>MedNexusDocumentContext is the MedNexus-owned semantic representation of one ingested medical document. It is the reusable handoff from UNDERSTAND to PROTECT and future EXTRACT and STANDARDIZE capabilities.</w:t>
      </w:r>
    </w:p>
    <w:p>
      <w:r>
        <w:t>INGEST (DocumentContent) → UNDERSTAND (MedNexusDocumentContext) → PROTECT (original document plus context) → EXTRACT (future structured clinical data) → STANDARDIZE (future terminology normalization)</w:t>
      </w:r>
    </w:p>
    <w:p>
      <w:pPr>
        <w:pStyle w:val="Heading2"/>
      </w:pPr>
      <w:r>
        <w:t>Contract v1</w:t>
      </w:r>
    </w:p>
    <w:p>
      <w:pPr>
        <w:pStyle w:val="ListBullet"/>
      </w:pPr>
      <w:r>
        <w:t>Document: journey/document identifier, source format, primary language, source and ingestion metadata.</w:t>
      </w:r>
    </w:p>
    <w:p>
      <w:pPr>
        <w:pStyle w:val="ListBullet"/>
      </w:pPr>
      <w:r>
        <w:t>Identity: healthcare domain, document type/subtype, confidence, and confidence band.</w:t>
      </w:r>
    </w:p>
    <w:p>
      <w:pPr>
        <w:pStyle w:val="ListBullet"/>
      </w:pPr>
      <w:r>
        <w:t>Structure: canonical section ID, human semantic role, original heading, exact boundaries, and confidence.</w:t>
      </w:r>
    </w:p>
    <w:p>
      <w:pPr>
        <w:pStyle w:val="ListBullet"/>
      </w:pPr>
      <w:r>
        <w:t>Clinical context: conservative domain evidence such as modality, examination, body region, contrast, and domain concepts; not formal extraction.</w:t>
      </w:r>
    </w:p>
    <w:p>
      <w:pPr>
        <w:pStyle w:val="ListBullet"/>
      </w:pPr>
      <w:r>
        <w:t>Privacy context: semantic regions likely to carry patient, provider, facility, or authentication information; not duplicate identifier detection.</w:t>
      </w:r>
    </w:p>
    <w:p>
      <w:pPr>
        <w:pStyle w:val="ListBullet"/>
      </w:pPr>
      <w:r>
        <w:t>Processing context: symbolic privacy, extraction, and terminology profiles plus recommended capabilities and review state.</w:t>
      </w:r>
    </w:p>
    <w:p>
      <w:pPr>
        <w:pStyle w:val="ListBullet"/>
      </w:pPr>
      <w:r>
        <w:t>Provenance: knowledge-layer version, stable concept IDs, evidence, reference families, and warnings.</w:t>
      </w:r>
    </w:p>
    <w:p>
      <w:pPr>
        <w:pStyle w:val="Heading2"/>
      </w:pPr>
      <w:r>
        <w:t>Stage boundaries</w:t>
      </w:r>
    </w:p>
    <w:p>
      <w:r>
        <w:t>UNDERSTAND interprets document identity, structure, and reusable semantic context. It does not create the future formal clinical extraction output.</w:t>
      </w:r>
    </w:p>
    <w:p>
      <w:r>
        <w:t>PROTECT remains the Phase 1 MedNexus privacy-decision pipeline. The POC journey adapter passes retained original DocumentContent to the existing service and attaches context at the boundary; privacy internals remain unchanged.</w:t>
      </w:r>
    </w:p>
    <w:p>
      <w:r>
        <w:t>EXTRACT will create structured clinical facts. STANDARDIZE will normalize extracted facts against terminology systems. Neither capability is implemented by this context foundation.</w:t>
      </w:r>
    </w:p>
    <w:p>
      <w:pPr>
        <w:pStyle w:val="Heading2"/>
      </w:pPr>
      <w:r>
        <w:t>POC journey lifecycle</w:t>
      </w:r>
    </w:p>
    <w:p>
      <w:r>
        <w:t>A bounded process-local session retains DocumentContent together with MedNexusDocumentContext so the user uploads once and can continue from UNDERSTAND to PROTECT. This mechanism is non-durable, single-process, and explicitly not a database, distributed workflow, or production session architecture.</w:t>
      </w:r>
    </w:p>
    <w:p>
      <w:pPr>
        <w:pStyle w:val="Heading2"/>
      </w:pPr>
      <w:r>
        <w:t>Radiology reference implementation</w:t>
      </w:r>
    </w:p>
    <w:p>
      <w:r>
        <w:t>Radiology Context v1 uses the Recognition Knowledge Layer and deterministic evidence to construct modality, examination, body region, contrast, semantic structure, radiologist/authentication privacy context, processing recommendations, and provenance. Unsupported or ambiguous values remain null.</w:t>
      </w:r>
    </w:p>
    <w:p>
      <w:pPr>
        <w:pStyle w:val="Heading1"/>
      </w:pPr>
      <w:r>
        <w:t>Accepted Checkpoint Synchronization — 15 August 2026</w:t>
      </w:r>
    </w:p>
    <w:p>
      <w:r>
        <w:t>Status: ACCEPTED DOCUMENT CONTEXT &amp; JOURNEY FOUNDATION CHECKPOINT</w:t>
      </w:r>
    </w:p>
    <w:p>
      <w:r>
        <w:t>Accepted commit: fa1a8ba68d66a3d40f40c8af3bf644f3b909191a. Previous Phase 2 checkpoints: a1e8ff2 (foundation) and 551be07 (documentation synchronization). Phase 1 remains frozen at 3486c206085652e2edac2574d277ff0970e037e2.</w:t>
      </w:r>
    </w:p>
    <w:p>
      <w:r>
        <w:t>Canonical public journey: UNDERSTAND -&gt; PROTECT -&gt; EXTRACT -&gt; STANDARDIZE -&gt; ANALYZE -&gt; VISUALIZE -&gt; INDICATORS. INGEST remains an internal technical operation inside UNDERSTAND. MedNexusDocumentContext is the reusable semantic handoff between stages. UNDERSTAND produces document identity, structure, clinical context, privacy context, processing context, and provenance.</w:t>
      </w:r>
    </w:p>
    <w:p>
      <w:r>
        <w:t>Current POC flow: upload once -&gt; INGEST -&gt; UNDERSTAND -&gt; MedNexusDocumentContext -&gt; Continue to Privacy Protection -&gt; existing Phase 1 privacy pipeline, without a second upload. The retained filename and document status remain visible during handoff.</w:t>
      </w:r>
    </w:p>
    <w:p>
      <w:r>
        <w:t>Recognition Knowledge Layer v1 provides MedNexus-owned multilingual concepts, domain signatures, evidence interpretation, and external-reference provenance, with Radiology as the first reference domain. LOINC Document Ontology, DICOM/Structured Reporting, RSNA RadLex/Playbook/RadReport, SNOMED CT, HL7 CDA/C-CDA, and WHO ICD-10/ICD-11 are reference inputs only; MedNexus owns curation, normalization, signatures, context construction, and decision logic.</w:t>
      </w:r>
    </w:p>
    <w:p>
      <w:r>
        <w:t>Progressive Result Reveal is frontend presentation of a completed authoritative output, not backend streaming. Final accepted regression baseline: 742 passed, 8 warnings, 0 failures. Documentation synchronization remains mandatory after meaningful checkpoints.</w:t>
      </w:r>
    </w:p>
    <w:p>
      <w:pPr>
        <w:pStyle w:val="Heading1"/>
      </w:pPr>
      <w:r>
        <w:t>Product Architecture Synchronization — MEDNEXUS⁷</w:t>
      </w:r>
    </w:p>
    <w:p>
      <w:r>
        <w:t>Public signature: MEDNEXUS⁷ — One document. Seven intelligent transformations.</w:t>
      </w:r>
    </w:p>
    <w:p>
      <w:r>
        <w:t>The superscript 7 is a visual/product brand signature. Internal code identifiers, Python packages, classes, APIs, routes, repository names, session identifiers, and runtime contracts remain MedNexus. MedNexus7 is a textual fallback only where superscript typography is unavailable.</w:t>
      </w:r>
    </w:p>
    <w:p>
      <w:r>
        <w:t>Public transformation model: 01 UNDERSTAND; 02 PROTECT; 03 EXTRACT; 04 STANDARDIZE; 05 ANALYZE; 06 VISUALIZE; 07 INDICATORS.</w:t>
      </w:r>
    </w:p>
    <w:p>
      <w:r>
        <w:t>Technical clarification: INGEST remains fully implemented as file/text intake, extraction/parsing, and DocumentContent construction within the public UNDERSTAND transformation. No ingestion module, extractor, API, route, or backend contract is renamed or merged.</w:t>
      </w:r>
    </w:p>
    <w:p>
      <w:r>
        <w:t>At each transformation MedNexus adds a governed proprietary layer of document understanding, privacy decisions, structured clinical interpretation, terminology normalization, analysis, visualization, or indicator generation. The seven-stage journey is the MedNexus public product-architecture signature. Verification for this UI/product-architecture update: 743 passed, 8 warnings, 0 failures.</w:t>
      </w:r>
    </w:p>
    <w:p>
      <w:pPr>
        <w:pStyle w:val="Heading1"/>
      </w:pPr>
      <w:r>
        <w:t>Architecture Addendum — Radiology Intelligence Architecture v2</w:t>
      </w:r>
    </w:p>
    <w:p>
      <w:r>
        <w:t>Version 1.7 · 15 August 2026</w:t>
      </w:r>
    </w:p>
    <w:p>
      <w:pPr>
        <w:pStyle w:val="Heading2"/>
      </w:pPr>
      <w:r>
        <w:t>Implemented reasoning hierarchy</w:t>
      </w:r>
    </w:p>
    <w:p>
      <w:r>
        <w:t>External terminology/reference knowledge → MedNexus concept normalization → MedNexus DocumentEvidenceFrame → MedNexus domain and modality signatures → MedNexus contextual reasoning → MedNexusDocumentContext. External references remain provenance inputs; MedNexus owns normalization, evidence composition, coherence, conflicts, decisions, context construction, and explainability.</w:t>
      </w:r>
    </w:p>
    <w:p>
      <w:r>
        <w:t>Radiology domain recognition, Radiology document-type recognition, and domain context construction are distinct decisions. Coherent imaging evidence may establish domain context without fabricating a Radiology Report; explicit report identity or reporting structure supports report classification. Strong Emergency, Admission, or Discharge structure remains authoritative over incidental imaging mentions.</w:t>
      </w:r>
    </w:p>
    <w:p>
      <w:pPr>
        <w:pStyle w:val="Heading2"/>
      </w:pPr>
      <w:r>
        <w:t>Evidence frame and compositional context</w:t>
      </w:r>
    </w:p>
    <w:p>
      <w:pPr>
        <w:pStyle w:val="ListBullet"/>
      </w:pPr>
      <w:r>
        <w:t>Signals retain stable concept ID, concept family, exact matched source span, local context, evidence strength, and reference-family provenance.</w:t>
      </w:r>
    </w:p>
    <w:p>
      <w:pPr>
        <w:pStyle w:val="ListBullet"/>
      </w:pPr>
      <w:r>
        <w:t>Initial evidence families include modality, imaging technique, acquisition, anatomy, contrast, procedure, structure, clinical purpose, professional role, and service context.</w:t>
      </w:r>
    </w:p>
    <w:p>
      <w:pPr>
        <w:pStyle w:val="ListBullet"/>
      </w:pPr>
      <w:r>
        <w:t>Radiology context supports MRI, CT, X-ray, Ultrasound, Doppler, Mammography, and Nuclear Medicine; composed modality-plus-anatomy examinations; multiple broad body regions; contrast context; imaging-technique families; and broad clinical purpose.</w:t>
      </w:r>
    </w:p>
    <w:p>
      <w:pPr>
        <w:pStyle w:val="ListBullet"/>
      </w:pPr>
      <w:r>
        <w:t>SectionDetector v2 recognizes standard line headings, inline heading/content, conservative colon-delimited flattened-template transitions, and conservative multi-heading clusters near the front of flattened documents while retaining exact offsets. Isolated prose occurrences remain non-structural.</w:t>
      </w:r>
    </w:p>
    <w:p>
      <w:pPr>
        <w:pStyle w:val="Heading2"/>
      </w:pPr>
      <w:r>
        <w:t>Stage and scope boundaries</w:t>
      </w:r>
    </w:p>
    <w:p>
      <w:r>
        <w:t>This is UNDERSTAND context, not formal EXTRACT output. It does not extract lesions, measurements, disease facts, or formal cancer stage; it adds no OCR, layout vision, external runtime classifier, or broad ontology dependency. Other accepted domain profiles remain on their existing deterministic paths.</w:t>
      </w:r>
    </w:p>
    <w:p>
      <w:pPr>
        <w:pStyle w:val="Heading2"/>
      </w:pPr>
      <w:r>
        <w:t>Validation and governance</w:t>
      </w:r>
    </w:p>
    <w:p>
      <w:r>
        <w:t>Validation Failure R-001 resolves compositionally as Radiology / Radiology Report / MRI, MRI Abdomen &amp; Pelvis, abdomen and pelvis, pre/post contrast, Oncologic Staging, expected MRI technique families, six structural sections, and HIGH confidence. Focused verification: 77 passed, 1 warning. Full regression: 758 passed, 8 warnings, 0 failures. This remains an uncommitted architecture-review state, not production or clinical certification.</w:t>
      </w:r>
    </w:p>
    <w:p>
      <w:r>
        <w:t>Governance rule: real validation failures must improve reusable knowledge, normalization, context, or reasoning logic; report-specific pass rules are prohibited.</w:t>
      </w:r>
    </w:p>
    <w:p>
      <w:pPr>
        <w:pStyle w:val="Heading1"/>
      </w:pPr>
      <w:r>
        <w:t>Architecture Addendum — Reference Model Foundation v1</w:t>
      </w:r>
    </w:p>
    <w:p>
      <w:r>
        <w:t>Version 1.8 · 15 August 2026</w:t>
      </w:r>
    </w:p>
    <w:p>
      <w:pPr>
        <w:pStyle w:val="Heading2"/>
      </w:pPr>
      <w:r>
        <w:t>Authority and intelligence boundary</w:t>
      </w:r>
    </w:p>
    <w:p>
      <w:r>
        <w:t>Authoritative external references → governed source registry → controlled import and normalization → stable MedNexus canonical concepts → cross-standard mappings and relationships → MedNexus Radiology Knowledge Model → DocumentEvidenceFrame → contextual/compositional reasoning → MedNexusDocumentContext.</w:t>
      </w:r>
    </w:p>
    <w:p>
      <w:r>
        <w:t>External standards provide authoritative reference knowledge. They do not replace MedNexus normalization, multilingual interpretation, crosswalks, evidence composition, coherence, conflict resolution, document decisions, confidence, explainability, or final context construction. Validation reports are fixtures, not knowledge sources.</w:t>
      </w:r>
    </w:p>
    <w:p>
      <w:pPr>
        <w:pStyle w:val="Heading2"/>
      </w:pPr>
      <w:r>
        <w:t>Source, version, and license governance</w:t>
      </w:r>
    </w:p>
    <w:p>
      <w:pPr>
        <w:pStyle w:val="ListBullet"/>
      </w:pPr>
      <w:r>
        <w:t>LOINC/RSNA Radiology Playbook 2.82: authenticated official acquisition under the LOINC License; source archive is not bundled.</w:t>
      </w:r>
    </w:p>
    <w:p>
      <w:pPr>
        <w:pStyle w:val="ListBullet"/>
      </w:pPr>
      <w:r>
        <w:t>DICOM 2026 current rolling edition: free to download and implement; NEMA copyright and reproduction terms remain explicit.</w:t>
      </w:r>
    </w:p>
    <w:p>
      <w:pPr>
        <w:pStyle w:val="ListBullet"/>
      </w:pPr>
      <w:r>
        <w:t>RadLex: controlled registered download under the RadLex Ontology License with required attribution and notices; release content is not bundled.</w:t>
      </w:r>
    </w:p>
    <w:p>
      <w:pPr>
        <w:pStyle w:val="ListBullet"/>
      </w:pPr>
      <w:r>
        <w:t>SNOMED CT International 20260701: licensed MLDS/NRC acquisition; restricted RF2 content is not committed.</w:t>
      </w:r>
    </w:p>
    <w:p>
      <w:pPr>
        <w:pStyle w:val="ListBullet"/>
      </w:pPr>
      <w:r>
        <w:t>The enabled runtime source is the local MedNexus Radiology Canonical Reference Derivative v1, which contains stable MedNexus concepts and no complete external terminology distribution.</w:t>
      </w:r>
    </w:p>
    <w:p>
      <w:pPr>
        <w:pStyle w:val="Heading2"/>
      </w:pPr>
      <w:r>
        <w:t>Canonical model and runtime</w:t>
      </w:r>
    </w:p>
    <w:p>
      <w:r>
        <w:t>Canonical concepts retain a stable MedNexus identifier, family, domain, preferred terms, synonyms/languages, external mappings, typed relationships, provenance, and status. External codes are mappings, never MedNexus primary keys. Runtime is deterministic and offline; network terminology lookup is prohibited in recognition.</w:t>
      </w:r>
    </w:p>
    <w:p>
      <w:r>
        <w:t>Signals carry source text, exact offsets, canonical MedNexus concept, family, reference provenance, external mappings, and contributing relationships into the Evidence Frame. Source updates are imported outside runtime, checksummed, version-compared, reviewed for impacted concepts, and regression tested before activation.</w:t>
      </w:r>
    </w:p>
    <w:p>
      <w:pPr>
        <w:pStyle w:val="Heading2"/>
      </w:pPr>
      <w:r>
        <w:t>Hierarchy and document nature</w:t>
      </w:r>
    </w:p>
    <w:p>
      <w:r>
        <w:t>Decision hierarchy is Domain → Document Type → Modality → Examination → Context Attributes. Child uncertainty does not collapse a well-supported parent. Structured templates may contain multiple selectable modalities; MedNexus can preserve Radiology and Radiology Report identity while returning modality UNKNOWN and document nature STRUCTURED_TEMPLATE. Template options are never treated as populated clinical facts.</w:t>
      </w:r>
    </w:p>
    <w:p>
      <w:pPr>
        <w:pStyle w:val="Heading2"/>
      </w:pPr>
      <w:r>
        <w:t>Validation state and boundary</w:t>
      </w:r>
    </w:p>
    <w:p>
      <w:r>
        <w:t>Focused reference/Radiology/Understanding verification: 83 passed, 1 warning. Full regression: 764 passed, 8 warnings, 0 failures. The frozen liver/LI-RADS artifact was not present and was therefore not reconstructed or used for tuning. This is an uncommitted architecture-review state, not production or clinical certification.</w:t>
      </w:r>
    </w:p>
    <w:p>
      <w:pPr>
        <w:pStyle w:val="Heading2"/>
      </w:pPr>
      <w:r>
        <w:t>Authoritative Reference Data Population v1 (August 2026)</w:t>
      </w:r>
    </w:p>
    <w:p>
      <w:r>
        <w:t>Implementation state: the governed Radiology Reference Model now supports real offline import, SHA-256 verification, source/version activation, deterministic health reporting, conservative deduplication, provenance/trust classification, and active runtime loading. Official DICOM PS3.6 2026c is populated as a controlled 41-concept/41-mapping subset in the external Reference_Data store.</w:t>
      </w:r>
    </w:p>
    <w:p>
      <w:r>
        <w:t>LOINC/RSNA 2.82, RadLex, and SNOMED CT International 20260701 remain official-artifact acquisition gates under their respective login/license terms. Their local importers are implemented, but no content is claimed active until imported, verified, and activated. Raw/licensed distributions remain outside Git. External identifiers are mappings, not MedNexus primary keys; crosswalks are never invented; recognition remains offline and the curated layer is a compatibility fallback.</w:t>
      </w:r>
    </w:p>
    <w:p>
      <w:pPr>
        <w:pStyle w:val="Heading2"/>
      </w:pPr>
      <w:r>
        <w:t>Radiology Authoritative Knowledge Population - Complete Checkpoint State (August 2026)</w:t>
      </w:r>
    </w:p>
    <w:p>
      <w:r>
        <w:t>Implementation state: official LOINC 2.82, RadLex 4.3, DICOM PS3.6 2026c and the controlled Radiology-focused DICOM PS3.16/DCMR 2026c subset are imported, checksum-verified, active and consumed by the same offline canonical runtime. LOINC contributes 19,230 stored concepts and 71,155 mappings across Playbook procedures, Parts and PartTypeName, PartSequenceOrder composition, RID/RPID and Part-related RadLex crosswalks, Document Ontology and Imaging Documents. The reconciled runtime contains 43,811 canonical concepts, 96,528 external mappings and 88,325 relationships.</w:t>
      </w:r>
    </w:p>
    <w:p>
      <w:r>
        <w:t>Imported references enrich exact-offset DocumentEvidenceFrame provenance and relationship coherence without becoming duplicate confidence votes or independent classifiers. Structural evidence still requires detected headings; cross-domain precedence remains authoritative. Frozen validation opened only after population and focused gates passed: three Radiology TXT reports resolved as Radiology / Radiology Report / CT / HIGH, and 57 non-Radiology controls produced zero Radiology false positives. SNOMED remains configured but inactive; report-derived production tuning remains prohibited. A failed blind report exposed a general flattened-heading boundary gap; the correction reuses governed headings conservatively and adds no report-derived production vocabulary. Focused reference/Radiology/context verification: 91 passed, 1 warning. Full regression after standalone CPython 3.10.11 environment recovery: 778 passed, 8 warnings, 0 failures. Environment recovery changed no production code, and Human Blind Radiology Validation #2 remains unopened. This updates v1.8 implementation state and does not create a new architecture generation.</w:t>
      </w:r>
    </w:p>
    <w:p>
      <w:r>
        <w:br w:type="page"/>
      </w:r>
    </w:p>
    <w:p>
      <w:pPr>
        <w:pStyle w:val="Heading1"/>
      </w:pPr>
      <w:r>
        <w:t>Architecture Addendum — Cross-Domain Contract Baseline</w:t>
      </w:r>
    </w:p>
    <w:p>
      <w:r>
        <w:t>Version 1.9 · 16 August 2026</w:t>
      </w:r>
    </w:p>
    <w:p>
      <w:pPr>
        <w:pStyle w:val="Heading2"/>
      </w:pPr>
      <w:r>
        <w:t>Authoritative MEDNEXUS⁷ journey</w:t>
      </w:r>
    </w:p>
    <w:p>
      <w:r>
        <w:t>The authoritative public journey is 01 UNDERSTAND → 02 PROTECT → 03 EXTRACT → 04 STANDARDIZE → 05 ANALYZE → 06 VISUALIZE → 07 INDICATORS. INGEST is an internal technical operation within UNDERSTAND, not an independent transformation. Historical eight-stage descriptions remain chronology only and are superseded for current architecture.</w:t>
      </w:r>
    </w:p>
    <w:p>
      <w:pPr>
        <w:pStyle w:val="Heading2"/>
      </w:pPr>
      <w:r>
        <w:t>Cross-domain architecture contracts</w:t>
      </w:r>
    </w:p>
    <w:p>
      <w:r>
        <w:t>The MedNexus Cross-Domain Architecture Contract Baseline was approved on 16 August 2026. Its authoritative tracked artifacts are MedNexus Architecture Crosswalk v1.1, MedNexus Clinical Semantic Context Contract v0.1, and MedNexus Clinical Extraction Contract v0.1 under docs/architecture/contracts. These are architecture contract baselines; implementation remains controlled and incremental.</w:t>
      </w:r>
    </w:p>
    <w:p>
      <w:pPr>
        <w:pStyle w:val="Heading2"/>
      </w:pPr>
      <w:r>
        <w:t>UNDERSTAND and clinical context boundary</w:t>
      </w:r>
    </w:p>
    <w:p>
      <w:pPr>
        <w:pStyle w:val="ListBullet"/>
      </w:pPr>
      <w:r>
        <w:t>UNDERSTAND progressively describes document/domain identity, type/subtype, clinical purpose, modality/examination/procedure, anatomy, contrast/acquisition, finding or lesion presence, measurement presence, diagnostic hints, temporal/comparison context, specialty, reference provenance, confidence, and downstream routing.</w:t>
      </w:r>
    </w:p>
    <w:p>
      <w:pPr>
        <w:pStyle w:val="ListBullet"/>
      </w:pPr>
      <w:r>
        <w:t>The target context architecture is MedNexusClinicalContext as a generic typed semantic core with backward-compatible typed domain extensions, including RadiologyClinicalContext, LaboratoryClinicalContext, PublicHealthClinicalContext, ImmunizationClinicalContext, and future domain contexts. Untyped attributes are a controlled escape hatch, not the primary contract.</w:t>
      </w:r>
    </w:p>
    <w:p>
      <w:pPr>
        <w:pStyle w:val="ListBullet"/>
      </w:pPr>
      <w:r>
        <w:t>UNDERSTAND describes what a document is and which semantic or clinical contexts are present. It must not become field-level clinical extraction. Unknown context remains null/unknown rather than inferred without evidence.</w:t>
      </w:r>
    </w:p>
    <w:p>
      <w:pPr>
        <w:pStyle w:val="Heading2"/>
      </w:pPr>
      <w:r>
        <w:t>Document-domain taxonomy</w:t>
      </w:r>
    </w:p>
    <w:p>
      <w:r>
        <w:t>Application vertical and document domain are separate. Notifiable-disease and epidemiological surveillance documents may use PUBLIC_HEALTH; patient laboratory reports remain LABORATORY even in a Public Health workflow; immunization records use the independent IMMUNIZATION domain.</w:t>
      </w:r>
    </w:p>
    <w:p>
      <w:pPr>
        <w:pStyle w:val="Heading2"/>
      </w:pPr>
      <w:r>
        <w:t>PROTECT governance boundary</w:t>
      </w:r>
    </w:p>
    <w:p>
      <w:r>
        <w:t>Phase 1 remains the accepted/frozen PROTECT foundation. PROTECT is a policy and governance boundary, not unconditional destructive redaction before EXTRACT. A future Protected Execution Envelope / ProtectionContext may govern protected text, raw-text access (ALLOWED, DENIED, or RESTRICTED), policy identity, transformations, permissions, and provenance; this full envelope is planned, not implemented.</w:t>
      </w:r>
    </w:p>
    <w:p>
      <w:r>
        <w:t>Date privacy must evolve toward semantic roles such as event, report, specimen collection, result, administration, and birth. MEDNEXUS_ANALYTICS_PUBLIC_HEALTH is not approved for real production Public Health use until semantic date handling is resolved.</w:t>
      </w:r>
    </w:p>
    <w:p>
      <w:pPr>
        <w:pStyle w:val="Heading2"/>
      </w:pPr>
      <w:r>
        <w:t>EXTRACT and STANDARDIZE responsibilities</w:t>
      </w:r>
    </w:p>
    <w:p>
      <w:pPr>
        <w:pStyle w:val="ListBullet"/>
      </w:pPr>
      <w:r>
        <w:t>EXTRACT produces terminology-independent structured clinical facts, entities, and observations with per-field provenance and confidence. Terminology mapping failure must never alter extraction recognition or extraction confidence.</w:t>
      </w:r>
    </w:p>
    <w:p>
      <w:pPr>
        <w:pStyle w:val="ListBullet"/>
      </w:pPr>
      <w:r>
        <w:t>Future contract terminology is document_review_required and extraction_review_required. Existing manual_review_required and needed_review names require backward-compatible migration and are not renamed by this architecture milestone.</w:t>
      </w:r>
    </w:p>
    <w:p>
      <w:pPr>
        <w:pStyle w:val="ListBullet"/>
      </w:pPr>
      <w:r>
        <w:t>STANDARDIZE owns terminology and code mapping, including ICD, LOINC, SNOMED CT, RadLex, CVX, UCUM, and other appropriate systems. Existing Public Health save-time lookup patterns are practical precursors to this boundary, not EXTRACT responsibilities.</w:t>
      </w:r>
    </w:p>
    <w:p>
      <w:pPr>
        <w:pStyle w:val="Heading2"/>
      </w:pPr>
      <w:r>
        <w:t>Parallel development and domain sequencing</w:t>
      </w:r>
    </w:p>
    <w:p>
      <w:r>
        <w:t>Track A — MedNexus Core owns rich UNDERSTAND, PROTECT, generic EXTRACT foundations, generic STANDARDIZE foundations, shared contracts, and platform capabilities. Radiology remains the first rich UNDERSTAND reference domain. Current Core checkpoint: 53a988cafd23e514b31d85e240688a6d0c3b1b31; 780 passed, 8 warnings, 0 failures.</w:t>
      </w:r>
    </w:p>
    <w:p>
      <w:r>
        <w:t>Track B — Domain Intelligence remains a separate project/workspace focused on domain implementations of EXTRACT, STANDARDIZE, ANALYZE, VISUALIZE, and INDICATORS. Public Health Stable Scope Checkpoint v0.1.0 is a scope checkpoint, not a maturity or production-readiness claim. Laboratory follows using Public Health assets as seed/reference implementations rather than a complete Laboratory scope; Pathology follows without a SNOMED-only standardization commitment; downstream Radiology intelligence is tentatively later and must consume richer RadiologyClinicalContext rather than duplicate UNDERSTAND reasoning.</w:t>
      </w:r>
    </w:p>
    <w:p>
      <w:pPr>
        <w:pStyle w:val="Heading2"/>
      </w:pPr>
      <w:r>
        <w:t>Workspace, deployment, and checkpoint governance</w:t>
      </w:r>
    </w:p>
    <w:p>
      <w:pPr>
        <w:pStyle w:val="ListBullet"/>
      </w:pPr>
      <w:r>
        <w:t>Core and Domain Intelligence retain separate repositories, runtimes, backends, frontends, and development/deployment workflows. Frontends are not unified in this milestone; a future portal may navigate between proven integration boundaries.</w:t>
      </w:r>
    </w:p>
    <w:p>
      <w:pPr>
        <w:pStyle w:val="ListBullet"/>
      </w:pPr>
      <w:r>
        <w:t>GitHub remains source-code authority. Render may support synthetic/development deployments but is not mandatory platform architecture. Real PHI must not enter the current Public Health Render environment without required protection, infrastructure, and governance decisions.</w:t>
      </w:r>
    </w:p>
    <w:p>
      <w:pPr>
        <w:pStyle w:val="ListBullet"/>
      </w:pPr>
      <w:r>
        <w:t>A Domain Development Checkpoint may use synthetic data and temporary/local domain detection. A MedNexus Integrated Domain Checkpoint requires conformance with canonical MedNexus contracts, including MedNexusDocumentContext where applicable. Temporary Track B classification is bootstrap logic, not a permanent competing architecture.</w:t>
      </w:r>
    </w:p>
    <w:p>
      <w:pPr>
        <w:pStyle w:val="Heading2"/>
      </w:pPr>
      <w:r>
        <w:t>Cross-Track Synchronization Policy</w:t>
      </w:r>
    </w:p>
    <w:p>
      <w:r>
        <w:t>A concise bidirectional Cross-Track Sync Brief is required when a shared architecture or schema assumption changes, a stable Core or Domain checkpoint is reached, one track affects or depends on the other, or before an Integrated Domain Checkpoint or convergence implementation. Routine internal changes without shared-contract impact do not require synchronization. The brief records track, checkpoint, change, affected contracts, capabilities, dependencies, breaking changes, validation status, next milestone, and requested action.</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&amp; Engineering Blueprint v1.8</dc:title>
  <dc:subject>Phase 1 Clinical Privacy Policy Engine accepted POC checkpoint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