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5C6B60"/>
          <w:spacing w:val="20"/>
          <w:sz w:val="18"/>
          <w:szCs w:val="18"/>
        </w:rPr>
        <w:t xml:space="preserve">STATE OF KUWAIT</w:t>
      </w:r>
    </w:p>
    <w:p>
      <w:pPr>
        <w:spacing w:after="4"/>
        <w:jc w:val="center"/>
      </w:pPr>
      <w:r>
        <w:rPr>
          <w:b/>
          <w:bCs/>
          <w:color w:val="146C43"/>
          <w:sz w:val="32"/>
          <w:szCs w:val="32"/>
        </w:rPr>
        <w:t xml:space="preserve">MINISTRY OF HEALTH</w:t>
      </w:r>
    </w:p>
    <w:p>
      <w:pPr>
        <w:spacing w:after="160"/>
        <w:jc w:val="center"/>
      </w:pPr>
      <w:r>
        <w:rPr>
          <w:i/>
          <w:iCs/>
          <w:color w:val="5C6B60"/>
          <w:sz w:val="18"/>
          <w:szCs w:val="18"/>
        </w:rPr>
        <w:t xml:space="preserve">Public Health &amp; Epidemiological Surveillance Department</w:t>
      </w:r>
    </w:p>
    <w:p>
      <w:pPr>
        <w:pBdr>
          <w:bottom w:val="single" w:color="146C43" w:sz="12"/>
        </w:pBdr>
        <w:spacing w:after="220"/>
      </w:pPr>
      <w:r>
        <w:t xml:space="preserve"/>
      </w:r>
    </w:p>
    <w:p>
      <w:pPr>
        <w:spacing w:after="2"/>
        <w:jc w:val="center"/>
      </w:pPr>
      <w:r>
        <w:rPr>
          <w:b/>
          <w:bCs/>
          <w:color w:val="17241B"/>
          <w:sz w:val="28"/>
          <w:szCs w:val="28"/>
        </w:rPr>
        <w:t xml:space="preserve">NOTIFIABLE DISEASE CASE REPORT FORM</w:t>
      </w:r>
    </w:p>
    <w:p>
      <w:pPr>
        <w:spacing w:after="260"/>
        <w:jc w:val="center"/>
      </w:pPr>
      <w:r>
        <w:rPr>
          <w:color w:val="5C6B60"/>
          <w:sz w:val="17"/>
          <w:szCs w:val="17"/>
        </w:rPr>
        <w:t xml:space="preserve">Form No. MOH-NDR-07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Reporting Facility: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Southern General Hospital, Ahmadi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Date of Report: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01 February 2025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Patient: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15-year-old female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Occupation: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Date of Symptom Onset: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26 January 2025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Presenting Symptoms: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Neck stiffness, fever, photophobia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Suspected Condition: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Meningococcal disease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Diagnosis Status: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Laboratory Result: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PCR positive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Vaccination Status: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Not vaccinated against this disease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Travel History: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None reported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Outcome: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Recovering</w:t>
            </w:r>
          </w:p>
        </w:tc>
      </w:tr>
    </w:tbl>
    <w:p>
      <w:pPr>
        <w:pBdr>
          <w:top w:val="single" w:color="C6D3C7" w:sz="6"/>
        </w:pBdr>
        <w:spacing w:after="200" w:before="300"/>
      </w:pPr>
      <w:r>
        <w:t xml:space="preserve"/>
      </w:r>
    </w:p>
    <w:p>
      <w:pPr>
        <w:spacing w:after="120"/>
      </w:pPr>
      <w:r>
        <w:rPr>
          <w:color w:val="5C6B60"/>
          <w:sz w:val="19"/>
          <w:szCs w:val="19"/>
        </w:rPr>
        <w:t xml:space="preserve">Reported by (name &amp; signature): </w:t>
      </w:r>
      <w:r>
        <w:rPr>
          <w:color w:val="17241B"/>
          <w:sz w:val="19"/>
          <w:szCs w:val="19"/>
        </w:rPr>
        <w:t xml:space="preserve">_______________________________</w:t>
      </w:r>
      <w:r>
        <w:rPr>
          <w:color w:val="5C6B60"/>
          <w:sz w:val="19"/>
          <w:szCs w:val="19"/>
        </w:rPr>
        <w:t xml:space="preserve">        Date: </w:t>
      </w:r>
      <w:r>
        <w:rPr>
          <w:color w:val="17241B"/>
          <w:sz w:val="19"/>
          <w:szCs w:val="19"/>
        </w:rPr>
        <w:t xml:space="preserve">_______________</w:t>
      </w:r>
    </w:p>
    <w:p>
      <w:pPr>
        <w:spacing w:after="0"/>
      </w:pPr>
      <w:r>
        <w:rPr>
          <w:i/>
          <w:iCs/>
          <w:color w:val="5C6B60"/>
          <w:sz w:val="16"/>
          <w:szCs w:val="16"/>
        </w:rPr>
        <w:t xml:space="preserve">For Ministry of Health use only — case number, coding, and follow-up action.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2026-07-29T13:20:50.611Z</dcterms:created>
  <dcterms:modified xsi:type="dcterms:W3CDTF">2026-07-29T13:20:50.704Z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