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Critical Considerations for the Medical Image De-identification &amp; Masking Library</w:t>
      </w:r>
    </w:p>
    <w:p>
      <w:pPr>
        <w:spacing w:after="300"/>
      </w:pPr>
      <w:r>
        <w:rPr>
          <w:rFonts w:ascii="Calibri" w:cs="Calibri" w:eastAsia="Calibri" w:hAnsi="Calibri"/>
          <w:i/>
          <w:iCs/>
          <w:color w:val="555555"/>
          <w:sz w:val="22"/>
          <w:szCs w:val="22"/>
        </w:rPr>
        <w:t xml:space="preserve">Issues that determine whether this library is trustworthy, not just functional</w:t>
      </w:r>
    </w:p>
    <w:p>
      <w:pPr>
        <w:pStyle w:val="Heading1"/>
        <w:spacing w:after="120" w:before="280"/>
      </w:pPr>
      <w:r>
        <w:rPr>
          <w:rFonts w:ascii="Calibri" w:cs="Calibri" w:eastAsia="Calibri" w:hAnsi="Calibri"/>
          <w:b/>
          <w:bCs/>
          <w:color w:val="1F3B57"/>
          <w:sz w:val="26"/>
          <w:szCs w:val="26"/>
        </w:rPr>
        <w:t xml:space="preserve">1. Validate against MIDI-B, not your own held-out set</w:t>
      </w:r>
    </w:p>
    <w:p>
      <w:pPr>
        <w:spacing w:after="160" w:line="276"/>
        <w:jc w:val="both"/>
      </w:pPr>
      <w:r>
        <w:rPr>
          <w:rFonts w:ascii="Calibri" w:cs="Calibri" w:eastAsia="Calibri" w:hAnsi="Calibri"/>
          <w:sz w:val="22"/>
          <w:szCs w:val="22"/>
        </w:rPr>
        <w:t xml:space="preserve">There is now a real community benchmark for exactly this problem: the MIDI-B Challenge (MICCAI 2024), which evaluates DICOM de-identification algorithms against a large clinical dataset with known ground truth. The best-performing published solution correctly executed 99.92% of required de-identification actions and still only ranked 2nd of 10 finishing teams — meaning even the current state of the art does not reach 100%, and no one credible is claiming otherwise.</w:t>
      </w:r>
    </w:p>
    <w:p>
      <w:pPr>
        <w:spacing w:after="160" w:line="276"/>
        <w:jc w:val="both"/>
      </w:pPr>
      <w:r>
        <w:rPr>
          <w:rFonts w:ascii="Calibri" w:cs="Calibri" w:eastAsia="Calibri" w:hAnsi="Calibri"/>
          <w:b/>
          <w:bCs/>
          <w:sz w:val="22"/>
          <w:szCs w:val="22"/>
        </w:rPr>
        <w:t xml:space="preserve">Implication: </w:t>
      </w:r>
      <w:r>
        <w:rPr>
          <w:rFonts w:ascii="Calibri" w:cs="Calibri" w:eastAsia="Calibri" w:hAnsi="Calibri"/>
          <w:sz w:val="22"/>
          <w:szCs w:val="22"/>
        </w:rPr>
        <w:t xml:space="preserve">validate against MIDI-B's public data rather than inventing a private eval set, since reviewers will recognize it as the actual standard; and do not let the abstract or README imply a completeness guarantee no one else has achieved either.</w:t>
      </w:r>
    </w:p>
    <w:p>
      <w:pPr>
        <w:spacing w:after="200"/>
      </w:pPr>
    </w:p>
    <w:p>
      <w:pPr>
        <w:pStyle w:val="Heading1"/>
        <w:spacing w:after="120" w:before="280"/>
      </w:pPr>
      <w:r>
        <w:rPr>
          <w:rFonts w:ascii="Calibri" w:cs="Calibri" w:eastAsia="Calibri" w:hAnsi="Calibri"/>
          <w:b/>
          <w:bCs/>
          <w:color w:val="1F3B57"/>
          <w:sz w:val="26"/>
          <w:szCs w:val="26"/>
        </w:rPr>
        <w:t xml:space="preserve">2. Anonymization vs. pseudonymization is a design decision, not a detail</w:t>
      </w:r>
    </w:p>
    <w:p>
      <w:pPr>
        <w:spacing w:after="160" w:line="276"/>
        <w:jc w:val="both"/>
      </w:pPr>
      <w:r>
        <w:rPr>
          <w:rFonts w:ascii="Calibri" w:cs="Calibri" w:eastAsia="Calibri" w:hAnsi="Calibri"/>
          <w:sz w:val="22"/>
          <w:szCs w:val="22"/>
        </w:rPr>
        <w:t xml:space="preserve">Real de-identification pipelines do not simply delete identifiers — they shift dates by a consistent offset (rather than deleting them) and map patient IDs/UIDs through a consistent dictionary rather than randomizing per file, because longitudinal research needs to know that scan A and scan B belong to the same patient at different time points, and date deltas (e.g. time since diagnosis) often carry real research value.</w:t>
      </w:r>
    </w:p>
    <w:p>
      <w:pPr>
        <w:spacing w:after="160" w:line="276"/>
        <w:jc w:val="both"/>
      </w:pPr>
      <w:r>
        <w:rPr>
          <w:rFonts w:ascii="Calibri" w:cs="Calibri" w:eastAsia="Calibri" w:hAnsi="Calibri"/>
          <w:b/>
          <w:bCs/>
          <w:sz w:val="22"/>
          <w:szCs w:val="22"/>
        </w:rPr>
        <w:t xml:space="preserve">Implication: </w:t>
      </w:r>
      <w:r>
        <w:rPr>
          <w:rFonts w:ascii="Calibri" w:cs="Calibri" w:eastAsia="Calibri" w:hAnsi="Calibri"/>
          <w:sz w:val="22"/>
          <w:szCs w:val="22"/>
        </w:rPr>
        <w:t xml:space="preserve">if a reversible mapping table is kept — even encrypted, even institution-side only — the library has implemented pseudonymization, not anonymization. Under GDPR these are legally distinct categories with different obligations. The library must state explicitly which one it performs, and if pseudonymization, document clearly where the mapping key is meant to live (never in the same repository or output as the de-identified data).</w:t>
      </w:r>
    </w:p>
    <w:p>
      <w:pPr>
        <w:spacing w:after="200"/>
      </w:pPr>
    </w:p>
    <w:p>
      <w:pPr>
        <w:pStyle w:val="Heading1"/>
        <w:spacing w:after="120" w:before="280"/>
      </w:pPr>
      <w:r>
        <w:rPr>
          <w:rFonts w:ascii="Calibri" w:cs="Calibri" w:eastAsia="Calibri" w:hAnsi="Calibri"/>
          <w:b/>
          <w:bCs/>
          <w:color w:val="1F3B57"/>
          <w:sz w:val="26"/>
          <w:szCs w:val="26"/>
        </w:rPr>
        <w:t xml:space="preserve">3. Private DICOM tags are a known blind spot</w:t>
      </w:r>
    </w:p>
    <w:p>
      <w:pPr>
        <w:spacing w:after="160" w:line="276"/>
        <w:jc w:val="both"/>
      </w:pPr>
      <w:r>
        <w:rPr>
          <w:rFonts w:ascii="Calibri" w:cs="Calibri" w:eastAsia="Calibri" w:hAnsi="Calibri"/>
          <w:sz w:val="22"/>
          <w:szCs w:val="22"/>
        </w:rPr>
        <w:t xml:space="preserve">Standard confidentiality profiles (DICOM PS3.15, HIPAA Safe Harbor) cover the public DICOM tag dictionary. Scanner manufacturers routinely embed PHI in private tags — vendor-specific fields undocumented in the public standard. MIDI-B challenge solutions treat private-tag handling as a separate, harder problem from standard-tag scrubbing; some default to excluding all private tags outright rather than attempting to parse unknown content, since guessing wrong about an unknown private tag is worse than dropping it.</w:t>
      </w:r>
    </w:p>
    <w:p>
      <w:pPr>
        <w:spacing w:after="160" w:line="276"/>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strip all unrecognized private tags by default, and document this as the library's explicit default policy.</w:t>
      </w:r>
    </w:p>
    <w:p>
      <w:pPr>
        <w:spacing w:after="200"/>
      </w:pPr>
    </w:p>
    <w:p>
      <w:pPr>
        <w:pStyle w:val="Heading1"/>
        <w:spacing w:after="120" w:before="280"/>
      </w:pPr>
      <w:r>
        <w:rPr>
          <w:rFonts w:ascii="Calibri" w:cs="Calibri" w:eastAsia="Calibri" w:hAnsi="Calibri"/>
          <w:b/>
          <w:bCs/>
          <w:color w:val="1F3B57"/>
          <w:sz w:val="26"/>
          <w:szCs w:val="26"/>
        </w:rPr>
        <w:t xml:space="preserve">4. Overlay planes are a separate pixel channel from “pixel data”</w:t>
      </w:r>
    </w:p>
    <w:p>
      <w:pPr>
        <w:spacing w:after="160" w:line="276"/>
        <w:jc w:val="both"/>
      </w:pPr>
      <w:r>
        <w:rPr>
          <w:rFonts w:ascii="Calibri" w:cs="Calibri" w:eastAsia="Calibri" w:hAnsi="Calibri"/>
          <w:sz w:val="22"/>
          <w:szCs w:val="22"/>
        </w:rPr>
        <w:t xml:space="preserve">DICOM images can carry an overlay plane — a distinct bitmap layer historically used for annotations, separate from the main pixel data an OCR pass over “pixel data” would scan. PHI has been found specifically in overlay planes because they are easy to forget precisely because they are not “the image.”</w:t>
      </w:r>
    </w:p>
    <w:p>
      <w:pPr>
        <w:spacing w:after="160" w:line="276"/>
        <w:jc w:val="both"/>
      </w:pPr>
      <w:r>
        <w:rPr>
          <w:rFonts w:ascii="Calibri" w:cs="Calibri" w:eastAsia="Calibri" w:hAnsi="Calibri"/>
          <w:b/>
          <w:bCs/>
          <w:sz w:val="22"/>
          <w:szCs w:val="22"/>
        </w:rPr>
        <w:t xml:space="preserve">Implication: </w:t>
      </w:r>
      <w:r>
        <w:rPr>
          <w:rFonts w:ascii="Calibri" w:cs="Calibri" w:eastAsia="Calibri" w:hAnsi="Calibri"/>
          <w:sz w:val="22"/>
          <w:szCs w:val="22"/>
        </w:rPr>
        <w:t xml:space="preserve">the burned-in-text redaction module must explicitly enumerate and scrub overlay planes, not only the primary pixel array.</w:t>
      </w:r>
    </w:p>
    <w:p>
      <w:pPr>
        <w:spacing w:after="200"/>
      </w:pPr>
    </w:p>
    <w:p>
      <w:pPr>
        <w:pStyle w:val="Heading1"/>
        <w:spacing w:after="120" w:before="280"/>
      </w:pPr>
      <w:r>
        <w:rPr>
          <w:rFonts w:ascii="Calibri" w:cs="Calibri" w:eastAsia="Calibri" w:hAnsi="Calibri"/>
          <w:b/>
          <w:bCs/>
          <w:color w:val="1F3B57"/>
          <w:sz w:val="26"/>
          <w:szCs w:val="26"/>
        </w:rPr>
        <w:t xml:space="preserve">5. False negatives and false positives are not symmetric failures</w:t>
      </w:r>
    </w:p>
    <w:p>
      <w:pPr>
        <w:spacing w:after="160" w:line="276"/>
        <w:jc w:val="both"/>
      </w:pPr>
      <w:r>
        <w:rPr>
          <w:rFonts w:ascii="Calibri" w:cs="Calibri" w:eastAsia="Calibri" w:hAnsi="Calibri"/>
          <w:sz w:val="22"/>
          <w:szCs w:val="22"/>
        </w:rPr>
        <w:t xml:space="preserve">A missed PHI detection is a privacy incident. An over-aggressive redaction is a data-quality loss. These are not equally bad, and default detection thresholds should reflect that asymmetry — biasing toward flagging or redacting when uncertain.</w:t>
      </w:r>
    </w:p>
    <w:p>
      <w:pPr>
        <w:spacing w:after="160" w:line="276"/>
        <w:jc w:val="both"/>
      </w:pPr>
      <w:r>
        <w:rPr>
          <w:rFonts w:ascii="Calibri" w:cs="Calibri" w:eastAsia="Calibri" w:hAnsi="Calibri"/>
          <w:b/>
          <w:bCs/>
          <w:sz w:val="22"/>
          <w:szCs w:val="22"/>
        </w:rPr>
        <w:t xml:space="preserve">Implication: </w:t>
      </w:r>
      <w:r>
        <w:rPr>
          <w:rFonts w:ascii="Calibri" w:cs="Calibri" w:eastAsia="Calibri" w:hAnsi="Calibri"/>
          <w:sz w:val="22"/>
          <w:szCs w:val="22"/>
        </w:rPr>
        <w:t xml:space="preserve">this needs to be a stated, deliberate design principle in the documentation, not just an implicit parameter default, so that the answer to “why does this redact things that turn out not to be PHI” is a documented policy rather than a shrug.</w:t>
      </w:r>
    </w:p>
    <w:p>
      <w:pPr>
        <w:spacing w:after="200"/>
      </w:pPr>
    </w:p>
    <w:p>
      <w:pPr>
        <w:pStyle w:val="Heading1"/>
        <w:spacing w:after="120" w:before="280"/>
      </w:pPr>
      <w:r>
        <w:rPr>
          <w:rFonts w:ascii="Calibri" w:cs="Calibri" w:eastAsia="Calibri" w:hAnsi="Calibri"/>
          <w:b/>
          <w:bCs/>
          <w:color w:val="1F3B57"/>
          <w:sz w:val="26"/>
          <w:szCs w:val="26"/>
        </w:rPr>
        <w:t xml:space="preserve">6. Never let real PHI touch test fixtures or CI</w:t>
      </w:r>
    </w:p>
    <w:p>
      <w:pPr>
        <w:spacing w:after="160" w:line="276"/>
        <w:jc w:val="both"/>
      </w:pPr>
      <w:r>
        <w:rPr>
          <w:rFonts w:ascii="Calibri" w:cs="Calibri" w:eastAsia="Calibri" w:hAnsi="Calibri"/>
          <w:sz w:val="22"/>
          <w:szCs w:val="22"/>
        </w:rPr>
        <w:t xml:space="preserve">Test fixtures must be synthetically generated PHI (fake names, fake dates, synthetic burned-in text), not real “de-identified” datasets where the de-identification claim was someone else's, now being trusted implicitly. TCIA's Pseudo-PHI-DICOM-Data collection exists precisely for this purpose — synthetic PHI deliberately inserted into real imaging data for testing de-identification tools — and is the right foundation for the test suite and CI fixtures, rather than pulling real hospital exports.</w:t>
      </w:r>
    </w:p>
    <w:p>
      <w:pPr>
        <w:spacing w:after="200"/>
      </w:pPr>
    </w:p>
    <w:p>
      <w:pPr>
        <w:pStyle w:val="Heading1"/>
        <w:spacing w:after="120" w:before="280"/>
      </w:pPr>
      <w:r>
        <w:rPr>
          <w:rFonts w:ascii="Calibri" w:cs="Calibri" w:eastAsia="Calibri" w:hAnsi="Calibri"/>
          <w:b/>
          <w:bCs/>
          <w:color w:val="1F3B57"/>
          <w:sz w:val="26"/>
          <w:szCs w:val="26"/>
        </w:rPr>
        <w:t xml:space="preserve">7. Add an explicit disclaimer of non-warranty for compliance claims</w:t>
      </w:r>
    </w:p>
    <w:p>
      <w:pPr>
        <w:spacing w:after="160" w:line="276"/>
        <w:jc w:val="both"/>
      </w:pPr>
      <w:r>
        <w:rPr>
          <w:rFonts w:ascii="Calibri" w:cs="Calibri" w:eastAsia="Calibri" w:hAnsi="Calibri"/>
          <w:sz w:val="22"/>
          <w:szCs w:val="22"/>
        </w:rPr>
        <w:t xml:space="preserve">This is a liability issue as much as an ethical one. An MIT license already disclaims warranty, but for a tool whose entire purpose is regulatory compliance, the README should state unambiguously that using this library does not by itself constitute HIPAA or GDPR compliance — actual compliance requires an institution's own review (HIPAA's Expert Determination method, or a GDPR DPIA). The library is a tool toward compliance, not a certification of it, and this distinction protects both the maintainers and any adopter tempted to treat “ran the pipeline” as equivalent to “cleared for public release.”</w:t>
      </w:r>
    </w:p>
    <w:p>
      <w:pPr>
        <w:spacing w:after="200"/>
      </w:pPr>
    </w:p>
    <w:p>
      <w:pPr>
        <w:pStyle w:val="Heading1"/>
        <w:spacing w:after="120" w:before="280"/>
      </w:pPr>
      <w:r>
        <w:rPr>
          <w:rFonts w:ascii="Calibri" w:cs="Calibri" w:eastAsia="Calibri" w:hAnsi="Calibri"/>
          <w:b/>
          <w:bCs/>
          <w:color w:val="1F3B57"/>
          <w:sz w:val="26"/>
          <w:szCs w:val="26"/>
        </w:rPr>
        <w:t xml:space="preserve">8. Human review needs an actual workflow, not just a flag</w:t>
      </w:r>
    </w:p>
    <w:p>
      <w:pPr>
        <w:spacing w:after="160" w:line="276"/>
        <w:jc w:val="both"/>
      </w:pPr>
      <w:r>
        <w:rPr>
          <w:rFonts w:ascii="Calibri" w:cs="Calibri" w:eastAsia="Calibri" w:hAnsi="Calibri"/>
          <w:sz w:val="22"/>
          <w:szCs w:val="22"/>
        </w:rPr>
        <w:t xml:space="preserve">The flagged_for_review field in the audit trail is the right instinct, but on its own it is a dead-end data point with no consumer. Before this is genuinely usable in practice, a minimal reviewer-facing surface is needed — even a simple script that dumps all flagged entries with the original region cropped out as a thumbnail for quick visual triage. Without this, “flagged for review” quietly becomes “flagged and ignored,” which is worse than not flagging at all because it creates false confidence.</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DEBD0" w:val="clear"/>
            <w:tcMar>
              <w:top w:type="dxa" w:w="150"/>
              <w:left w:type="dxa" w:w="200"/>
              <w:bottom w:type="dxa" w:w="150"/>
              <w:right w:type="dxa" w:w="200"/>
            </w:tcMar>
          </w:tcPr>
          <w:p>
            <w:r>
              <w:rPr>
                <w:rFonts w:ascii="Calibri" w:cs="Calibri" w:eastAsia="Calibri" w:hAnsi="Calibri"/>
                <w:i/>
                <w:iCs/>
                <w:sz w:val="21"/>
                <w:szCs w:val="21"/>
              </w:rPr>
              <w:t xml:space="preserve">Summary: none of these are things a working prototype needs to have solved on day one — but every one of them needs an explicit, documented position (even “not yet handled, tracked in issue #X”) before this library is presented as something other people should trust with real patient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2026-07-08T07:19:24.543Z</dcterms:created>
  <dcterms:modified xsi:type="dcterms:W3CDTF">2026-07-08T07:19:24.555Z</dcterms:modified>
</cp:coreProperties>
</file>

<file path=docProps/custom.xml><?xml version="1.0" encoding="utf-8"?>
<Properties xmlns="http://schemas.openxmlformats.org/officeDocument/2006/custom-properties" xmlns:vt="http://schemas.openxmlformats.org/officeDocument/2006/docPropsVTypes"/>
</file>