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r>
        <w:rPr>
          <w:rFonts w:hint="default" w:ascii="Times New Roman" w:hAnsi="Times New Roman" w:cs="Times New Roman"/>
          <w:sz w:val="32"/>
          <w:szCs w:val="32"/>
        </w:rPr>
        <w:t>A rare case of  an infant with dehydration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4 month old male infant </w:t>
      </w:r>
      <w:r>
        <w:rPr>
          <w:rFonts w:hint="default" w:ascii="Times New Roman" w:hAnsi="Times New Roman" w:cs="Times New Roman"/>
          <w:sz w:val="24"/>
          <w:szCs w:val="24"/>
          <w:lang w:val="en-US"/>
        </w:rPr>
        <w:t xml:space="preserve">was brought by </w:t>
      </w:r>
      <w:r>
        <w:rPr>
          <w:rFonts w:hint="default" w:ascii="Times New Roman" w:hAnsi="Times New Roman" w:cs="Times New Roman"/>
          <w:sz w:val="24"/>
          <w:szCs w:val="24"/>
        </w:rPr>
        <w:t xml:space="preserve"> mother,reliable history</w:t>
      </w:r>
    </w:p>
    <w:p>
      <w:pPr>
        <w:rPr>
          <w:rFonts w:hint="default" w:ascii="Times New Roman" w:hAnsi="Times New Roman" w:cs="Times New Roman"/>
          <w:sz w:val="24"/>
          <w:szCs w:val="24"/>
        </w:rPr>
      </w:pPr>
      <w:r>
        <w:rPr>
          <w:rFonts w:hint="default" w:ascii="Times New Roman" w:hAnsi="Times New Roman" w:cs="Times New Roman"/>
          <w:sz w:val="24"/>
          <w:szCs w:val="24"/>
        </w:rPr>
        <w:t>With complaints of  Poor  activity for 2 weeks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Fever for 10days </w:t>
      </w:r>
      <w:r>
        <w:rPr>
          <w:rFonts w:hint="default" w:ascii="Times New Roman" w:hAnsi="Times New Roman" w:cs="Times New Roman"/>
          <w:sz w:val="24"/>
          <w:szCs w:val="24"/>
          <w:lang w:val="en-US"/>
        </w:rPr>
        <w:t>&amp;</w:t>
      </w:r>
      <w:r>
        <w:rPr>
          <w:rFonts w:hint="default" w:ascii="Times New Roman" w:hAnsi="Times New Roman" w:cs="Times New Roman"/>
          <w:sz w:val="24"/>
          <w:szCs w:val="24"/>
        </w:rPr>
        <w:t xml:space="preserve">Seizure 1episode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Child was apparently normal 2weeks back </w:t>
      </w:r>
      <w:r>
        <w:rPr>
          <w:rFonts w:hint="default" w:ascii="Times New Roman" w:hAnsi="Times New Roman" w:cs="Times New Roman"/>
          <w:sz w:val="24"/>
          <w:szCs w:val="24"/>
          <w:lang w:val="en-US"/>
        </w:rPr>
        <w:t>The mother</w:t>
      </w:r>
      <w:r>
        <w:rPr>
          <w:rFonts w:hint="default" w:ascii="Times New Roman" w:hAnsi="Times New Roman" w:cs="Times New Roman"/>
          <w:sz w:val="24"/>
          <w:szCs w:val="24"/>
        </w:rPr>
        <w:t xml:space="preserve"> noticed decreased activity of the child with poor feeding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After two days child developed fever, low grade ,on and off, not associated with chills or rigorsChild had one episode of seizure – upward gaze with tonic posturing of upper limbs, lasted for few seconds , regained consciousness after 15min </w:t>
      </w: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No H/o vomitings</w:t>
      </w:r>
      <w:r>
        <w:rPr>
          <w:rFonts w:hint="default" w:ascii="Times New Roman" w:hAnsi="Times New Roman" w:cs="Times New Roman"/>
          <w:sz w:val="24"/>
          <w:szCs w:val="24"/>
          <w:lang w:val="en-US"/>
        </w:rPr>
        <w:t>,</w:t>
      </w:r>
      <w:r>
        <w:rPr>
          <w:rFonts w:hint="default" w:ascii="Times New Roman" w:hAnsi="Times New Roman" w:cs="Times New Roman"/>
          <w:sz w:val="24"/>
          <w:szCs w:val="24"/>
        </w:rPr>
        <w:t>diarrhoea</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head </w:t>
      </w:r>
      <w:r>
        <w:rPr>
          <w:rFonts w:hint="default" w:ascii="Times New Roman" w:hAnsi="Times New Roman" w:cs="Times New Roman"/>
          <w:sz w:val="24"/>
          <w:szCs w:val="24"/>
          <w:lang w:val="en-US"/>
        </w:rPr>
        <w:t>injury,ear</w:t>
      </w:r>
      <w:r>
        <w:rPr>
          <w:rFonts w:hint="default" w:ascii="Times New Roman" w:hAnsi="Times New Roman" w:cs="Times New Roman"/>
          <w:sz w:val="24"/>
          <w:szCs w:val="24"/>
        </w:rPr>
        <w:t xml:space="preserve"> discharge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oliguria</w:t>
      </w:r>
      <w:r>
        <w:rPr>
          <w:rFonts w:hint="default" w:ascii="Times New Roman" w:hAnsi="Times New Roman" w:cs="Times New Roman"/>
          <w:sz w:val="24"/>
          <w:szCs w:val="24"/>
          <w:lang w:val="en-US"/>
        </w:rPr>
        <w:t>,</w:t>
      </w:r>
      <w:r>
        <w:rPr>
          <w:rFonts w:hint="default" w:ascii="Times New Roman" w:hAnsi="Times New Roman" w:cs="Times New Roman"/>
          <w:sz w:val="24"/>
          <w:szCs w:val="24"/>
        </w:rPr>
        <w:t>facial puffiness polyuria</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SOB </w:t>
      </w:r>
      <w:r>
        <w:rPr>
          <w:rFonts w:hint="default" w:ascii="Times New Roman" w:hAnsi="Times New Roman" w:cs="Times New Roman"/>
          <w:sz w:val="24"/>
          <w:szCs w:val="24"/>
          <w:lang w:val="en-US"/>
        </w:rPr>
        <w:t xml:space="preserve">or </w:t>
      </w:r>
      <w:r>
        <w:rPr>
          <w:rFonts w:hint="default" w:ascii="Times New Roman" w:hAnsi="Times New Roman" w:cs="Times New Roman"/>
          <w:sz w:val="24"/>
          <w:szCs w:val="24"/>
        </w:rPr>
        <w:t xml:space="preserve"> jaundice</w:t>
      </w:r>
      <w:r>
        <w:rPr>
          <w:rFonts w:hint="default" w:ascii="Times New Roman" w:hAnsi="Times New Roman" w:cs="Times New Roman"/>
          <w:sz w:val="24"/>
          <w:szCs w:val="24"/>
          <w:lang w:val="en-US"/>
        </w:rPr>
        <w:t xml:space="preserve">. Baby was </w:t>
      </w:r>
      <w:r>
        <w:rPr>
          <w:rFonts w:hint="default" w:ascii="Times New Roman" w:hAnsi="Times New Roman" w:cs="Times New Roman"/>
          <w:sz w:val="24"/>
          <w:szCs w:val="24"/>
        </w:rPr>
        <w:t>Born to 3rd degree consanguineous parents 1st in birth order Born through LSCS at term  Birth weight 2.8 kgs</w:t>
      </w:r>
      <w:r>
        <w:rPr>
          <w:rFonts w:hint="default" w:ascii="Times New Roman" w:hAnsi="Times New Roman" w:cs="Times New Roman"/>
          <w:sz w:val="24"/>
          <w:szCs w:val="24"/>
          <w:lang w:val="en-US"/>
        </w:rPr>
        <w:t>.</w:t>
      </w:r>
      <w:r>
        <w:rPr>
          <w:rFonts w:hint="default" w:ascii="Times New Roman" w:hAnsi="Times New Roman" w:cs="Times New Roman"/>
          <w:sz w:val="24"/>
          <w:szCs w:val="24"/>
        </w:rPr>
        <w:t>Immunization History</w:t>
      </w:r>
      <w:r>
        <w:rPr>
          <w:rFonts w:hint="default" w:ascii="Times New Roman" w:hAnsi="Times New Roman" w:cs="Times New Roman"/>
          <w:sz w:val="24"/>
          <w:szCs w:val="24"/>
          <w:lang w:val="en-US"/>
        </w:rPr>
        <w:t xml:space="preserve"> was complete.</w:t>
      </w:r>
      <w:r>
        <w:rPr>
          <w:rFonts w:hint="default" w:ascii="Times New Roman" w:hAnsi="Times New Roman" w:cs="Times New Roman"/>
          <w:sz w:val="24"/>
          <w:szCs w:val="24"/>
        </w:rPr>
        <w:t xml:space="preserve">  Developmental History: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Attained partial neck holding </w:t>
      </w:r>
    </w:p>
    <w:p>
      <w:pPr>
        <w:rPr>
          <w:rFonts w:hint="default" w:ascii="Times New Roman" w:hAnsi="Times New Roman" w:cs="Times New Roman"/>
          <w:sz w:val="24"/>
          <w:szCs w:val="24"/>
        </w:rPr>
      </w:pPr>
      <w:r>
        <w:rPr>
          <w:rFonts w:hint="default" w:ascii="Times New Roman" w:hAnsi="Times New Roman" w:cs="Times New Roman"/>
          <w:sz w:val="24"/>
          <w:szCs w:val="24"/>
        </w:rPr>
        <w:t>Family History: No family h/o seizures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General Examination: Child is  dull , afebrile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dehydrated</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pallor</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icterus</w:t>
      </w:r>
      <w:r>
        <w:rPr>
          <w:rFonts w:hint="default" w:ascii="Times New Roman" w:hAnsi="Times New Roman" w:cs="Times New Roman"/>
          <w:sz w:val="24"/>
          <w:szCs w:val="24"/>
          <w:lang w:val="en-US"/>
        </w:rPr>
        <w:t>,</w:t>
      </w:r>
      <w:r>
        <w:rPr>
          <w:rFonts w:hint="default" w:ascii="Times New Roman" w:hAnsi="Times New Roman" w:cs="Times New Roman"/>
          <w:sz w:val="24"/>
          <w:szCs w:val="24"/>
        </w:rPr>
        <w:t>clubbing</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cyanosis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lymphadenopathy</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pedal edema</w:t>
      </w:r>
      <w:r>
        <w:rPr>
          <w:rFonts w:hint="default" w:ascii="Times New Roman" w:hAnsi="Times New Roman" w:cs="Times New Roman"/>
          <w:sz w:val="24"/>
          <w:szCs w:val="24"/>
          <w:lang w:val="en-US"/>
        </w:rPr>
        <w:t>,</w:t>
      </w:r>
      <w:r>
        <w:rPr>
          <w:rFonts w:hint="default" w:ascii="Times New Roman" w:hAnsi="Times New Roman" w:cs="Times New Roman"/>
          <w:sz w:val="24"/>
          <w:szCs w:val="24"/>
        </w:rPr>
        <w:t>No dysmorphic facies/ hyperpigmentation</w:t>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AF is flat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Genitalia normal</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Vitals:pulse rate - 110/ min , normal volume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RR- 36/ min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BP- 90/60 mmhg                                                                pulses felt in all 4 limbs</w:t>
      </w:r>
    </w:p>
    <w:p>
      <w:pPr>
        <w:rPr>
          <w:rFonts w:hint="default" w:ascii="Times New Roman" w:hAnsi="Times New Roman" w:cs="Times New Roman"/>
          <w:sz w:val="24"/>
          <w:szCs w:val="24"/>
        </w:rPr>
      </w:pPr>
      <w:r>
        <w:rPr>
          <w:rFonts w:hint="default" w:ascii="Times New Roman" w:hAnsi="Times New Roman" w:cs="Times New Roman"/>
          <w:sz w:val="24"/>
          <w:szCs w:val="24"/>
        </w:rPr>
        <w:t>Anthrapometry:  weight – 4.5 kgs(&lt; 3rd percentile)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length – 57 cm( &lt;3rd percentile) Head circumference – 39cms( &lt; 3rd percentile)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Chest circumference – 38cms</w:t>
      </w:r>
    </w:p>
    <w:p>
      <w:pPr>
        <w:rPr>
          <w:rFonts w:hint="default" w:ascii="Times New Roman" w:hAnsi="Times New Roman" w:cs="Times New Roman"/>
          <w:sz w:val="24"/>
          <w:szCs w:val="24"/>
        </w:rPr>
      </w:pPr>
      <w:r>
        <w:rPr>
          <w:rFonts w:hint="default" w:ascii="Times New Roman" w:hAnsi="Times New Roman" w:cs="Times New Roman"/>
          <w:sz w:val="24"/>
          <w:szCs w:val="24"/>
        </w:rPr>
        <w:t>CVS: S1 , S2 heard</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no murmurs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RS: Bilateral air entry equal</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clear</w:t>
      </w:r>
      <w:r>
        <w:rPr>
          <w:rFonts w:hint="default" w:ascii="Times New Roman" w:hAnsi="Times New Roman" w:cs="Times New Roman"/>
          <w:sz w:val="24"/>
          <w:szCs w:val="24"/>
          <w:lang w:val="en-US"/>
        </w:rPr>
        <w:t>,</w:t>
      </w:r>
      <w:r>
        <w:rPr>
          <w:rFonts w:hint="default" w:ascii="Times New Roman" w:hAnsi="Times New Roman" w:cs="Times New Roman"/>
          <w:sz w:val="24"/>
          <w:szCs w:val="24"/>
        </w:rPr>
        <w:t>P/A : Sof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liver is palpable 3cm below right  costal margin</w:t>
      </w:r>
      <w:r>
        <w:rPr>
          <w:rFonts w:hint="default" w:ascii="Times New Roman" w:hAnsi="Times New Roman" w:cs="Times New Roman"/>
          <w:sz w:val="24"/>
          <w:szCs w:val="24"/>
          <w:lang w:val="en-US"/>
        </w:rPr>
        <w:t>,</w:t>
      </w:r>
      <w:r>
        <w:rPr>
          <w:rFonts w:hint="default" w:ascii="Times New Roman" w:hAnsi="Times New Roman" w:cs="Times New Roman"/>
          <w:sz w:val="24"/>
          <w:szCs w:val="24"/>
        </w:rPr>
        <w:t>spleen not palpable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CNS: Normal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No signs of meningeal irritation</w:t>
      </w:r>
      <w:r>
        <w:rPr>
          <w:rFonts w:hint="default" w:ascii="Times New Roman" w:hAnsi="Times New Roman" w:cs="Times New Roman"/>
          <w:sz w:val="24"/>
          <w:szCs w:val="24"/>
          <w:lang w:val="en-US"/>
        </w:rPr>
        <w:t>.</w:t>
      </w:r>
      <w:r>
        <w:rPr>
          <w:rFonts w:hint="default" w:ascii="Times New Roman" w:hAnsi="Times New Roman" w:cs="Times New Roman"/>
          <w:sz w:val="24"/>
          <w:szCs w:val="24"/>
        </w:rPr>
        <w:t>No cranial nerve palsies.GRBS :     90                                      Hb :10.6gm%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RBC counts </w:t>
      </w:r>
      <w:r>
        <w:rPr>
          <w:rFonts w:hint="default" w:ascii="Times New Roman" w:hAnsi="Times New Roman" w:cs="Times New Roman"/>
          <w:sz w:val="24"/>
          <w:szCs w:val="24"/>
        </w:rPr>
        <w:tab/>
      </w:r>
      <w:r>
        <w:rPr>
          <w:rFonts w:hint="default" w:ascii="Times New Roman" w:hAnsi="Times New Roman" w:cs="Times New Roman"/>
          <w:sz w:val="24"/>
          <w:szCs w:val="24"/>
        </w:rPr>
        <w:t>:4.16 mill/cumm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WBC :17,300cells/cumm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 74%</w:t>
      </w:r>
      <w:r>
        <w:rPr>
          <w:rFonts w:hint="default" w:ascii="Times New Roman" w:hAnsi="Times New Roman" w:cs="Times New Roman"/>
          <w:sz w:val="24"/>
          <w:szCs w:val="24"/>
          <w:lang w:val="en-US"/>
        </w:rPr>
        <w:t>, L</w:t>
      </w:r>
      <w:r>
        <w:rPr>
          <w:rFonts w:hint="default" w:ascii="Times New Roman" w:hAnsi="Times New Roman" w:cs="Times New Roman"/>
          <w:sz w:val="24"/>
          <w:szCs w:val="24"/>
        </w:rPr>
        <w:t>20%</w:t>
      </w:r>
      <w:r>
        <w:rPr>
          <w:rFonts w:hint="default" w:ascii="Times New Roman" w:hAnsi="Times New Roman" w:cs="Times New Roman"/>
          <w:sz w:val="24"/>
          <w:szCs w:val="24"/>
          <w:lang w:val="en-US"/>
        </w:rPr>
        <w:t>,</w:t>
      </w:r>
      <w:r>
        <w:rPr>
          <w:rFonts w:hint="default" w:ascii="Times New Roman" w:hAnsi="Times New Roman" w:cs="Times New Roman"/>
          <w:sz w:val="24"/>
          <w:szCs w:val="24"/>
        </w:rPr>
        <w:t>E 04%</w:t>
      </w:r>
      <w:r>
        <w:rPr>
          <w:rFonts w:hint="default" w:ascii="Times New Roman" w:hAnsi="Times New Roman" w:cs="Times New Roman"/>
          <w:sz w:val="24"/>
          <w:szCs w:val="24"/>
          <w:lang w:val="en-US"/>
        </w:rPr>
        <w:t>,</w:t>
      </w:r>
      <w:r>
        <w:rPr>
          <w:rFonts w:hint="default" w:ascii="Times New Roman" w:hAnsi="Times New Roman" w:cs="Times New Roman"/>
          <w:sz w:val="24"/>
          <w:szCs w:val="24"/>
        </w:rPr>
        <w:t>M 02%</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B 00%</w:t>
      </w:r>
      <w:r>
        <w:rPr>
          <w:rFonts w:hint="default" w:ascii="Times New Roman" w:hAnsi="Times New Roman" w:cs="Times New Roman"/>
          <w:sz w:val="24"/>
          <w:szCs w:val="24"/>
          <w:lang w:val="en-US"/>
        </w:rPr>
        <w:t>,</w:t>
      </w:r>
      <w:r>
        <w:rPr>
          <w:rFonts w:hint="default" w:ascii="Times New Roman" w:hAnsi="Times New Roman" w:cs="Times New Roman"/>
          <w:sz w:val="24"/>
          <w:szCs w:val="24"/>
        </w:rPr>
        <w:t>Platelet count</w:t>
      </w:r>
      <w:r>
        <w:rPr>
          <w:rFonts w:hint="default" w:ascii="Times New Roman" w:hAnsi="Times New Roman" w:cs="Times New Roman"/>
          <w:sz w:val="24"/>
          <w:szCs w:val="24"/>
        </w:rPr>
        <w:tab/>
      </w:r>
      <w:r>
        <w:rPr>
          <w:rFonts w:hint="default" w:ascii="Times New Roman" w:hAnsi="Times New Roman" w:cs="Times New Roman"/>
          <w:sz w:val="24"/>
          <w:szCs w:val="24"/>
        </w:rPr>
        <w:t>:2.0 lakhs/cumm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CRP : 12.5 </w:t>
      </w:r>
      <w:r>
        <w:rPr>
          <w:rFonts w:hint="default" w:ascii="Times New Roman" w:hAnsi="Times New Roman" w:cs="Times New Roman"/>
          <w:sz w:val="24"/>
          <w:szCs w:val="24"/>
          <w:lang w:val="en-US"/>
        </w:rPr>
        <w:t>.</w:t>
      </w:r>
      <w:r>
        <w:rPr>
          <w:rFonts w:hint="default" w:ascii="Times New Roman" w:hAnsi="Times New Roman" w:cs="Times New Roman"/>
          <w:sz w:val="24"/>
          <w:szCs w:val="24"/>
        </w:rPr>
        <w:t>Renal function tests</w:t>
      </w:r>
      <w:r>
        <w:rPr>
          <w:rFonts w:hint="default" w:ascii="Times New Roman" w:hAnsi="Times New Roman" w:cs="Times New Roman"/>
          <w:sz w:val="24"/>
          <w:szCs w:val="24"/>
          <w:lang w:val="en-US"/>
        </w:rPr>
        <w:t>.</w:t>
      </w:r>
      <w:r>
        <w:rPr>
          <w:rFonts w:hint="default" w:ascii="Times New Roman" w:hAnsi="Times New Roman" w:cs="Times New Roman"/>
          <w:sz w:val="24"/>
          <w:szCs w:val="24"/>
        </w:rPr>
        <w:t>Sr creatinine   0.5</w:t>
      </w:r>
      <w:r>
        <w:rPr>
          <w:rFonts w:hint="default" w:ascii="Times New Roman" w:hAnsi="Times New Roman" w:cs="Times New Roman"/>
          <w:sz w:val="24"/>
          <w:szCs w:val="24"/>
          <w:lang w:val="en-US"/>
        </w:rPr>
        <w:t>,</w:t>
      </w:r>
      <w:r>
        <w:rPr>
          <w:rFonts w:hint="default" w:ascii="Times New Roman" w:hAnsi="Times New Roman" w:cs="Times New Roman"/>
          <w:sz w:val="24"/>
          <w:szCs w:val="24"/>
        </w:rPr>
        <w:t>Bld urea 15</w:t>
      </w:r>
      <w:r>
        <w:rPr>
          <w:rFonts w:hint="default" w:ascii="Times New Roman" w:hAnsi="Times New Roman" w:cs="Times New Roman"/>
          <w:sz w:val="24"/>
          <w:szCs w:val="24"/>
          <w:lang w:val="en-US"/>
        </w:rPr>
        <w:t>,</w:t>
      </w:r>
      <w:r>
        <w:rPr>
          <w:rFonts w:hint="default" w:ascii="Times New Roman" w:hAnsi="Times New Roman" w:cs="Times New Roman"/>
          <w:sz w:val="24"/>
          <w:szCs w:val="24"/>
        </w:rPr>
        <w:t>PT 14 seconds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APTT 31 seconds </w:t>
      </w:r>
      <w:r>
        <w:rPr>
          <w:rFonts w:hint="default" w:ascii="Times New Roman" w:hAnsi="Times New Roman" w:cs="Times New Roman"/>
          <w:sz w:val="24"/>
          <w:szCs w:val="24"/>
          <w:lang w:val="en-US"/>
        </w:rPr>
        <w:t>,</w:t>
      </w:r>
      <w:r>
        <w:rPr>
          <w:rFonts w:hint="default" w:ascii="Times New Roman" w:hAnsi="Times New Roman" w:cs="Times New Roman"/>
          <w:sz w:val="24"/>
          <w:szCs w:val="24"/>
        </w:rPr>
        <w:t>INR</w:t>
      </w:r>
      <w:r>
        <w:rPr>
          <w:rFonts w:hint="default" w:ascii="Times New Roman" w:hAnsi="Times New Roman" w:cs="Times New Roman"/>
          <w:sz w:val="24"/>
          <w:szCs w:val="24"/>
          <w:lang w:val="en-US"/>
        </w:rPr>
        <w:t>,</w:t>
      </w:r>
      <w:r>
        <w:rPr>
          <w:rFonts w:hint="default" w:ascii="Times New Roman" w:hAnsi="Times New Roman" w:cs="Times New Roman"/>
          <w:sz w:val="24"/>
          <w:szCs w:val="24"/>
        </w:rPr>
        <w:t>Liver Function Tests</w:t>
      </w:r>
      <w:r>
        <w:rPr>
          <w:rFonts w:hint="default" w:ascii="Times New Roman" w:hAnsi="Times New Roman" w:cs="Times New Roman"/>
          <w:sz w:val="24"/>
          <w:szCs w:val="24"/>
          <w:lang w:val="en-US"/>
        </w:rPr>
        <w:t>,</w:t>
      </w:r>
      <w:r>
        <w:rPr>
          <w:rFonts w:hint="default" w:ascii="Times New Roman" w:hAnsi="Times New Roman" w:cs="Times New Roman"/>
          <w:sz w:val="24"/>
          <w:szCs w:val="24"/>
        </w:rPr>
        <w:t>Bilirubin total 0.8</w:t>
      </w:r>
      <w:r>
        <w:rPr>
          <w:rFonts w:hint="default" w:ascii="Times New Roman" w:hAnsi="Times New Roman" w:cs="Times New Roman"/>
          <w:sz w:val="24"/>
          <w:szCs w:val="24"/>
          <w:lang w:val="en-US"/>
        </w:rPr>
        <w:t>,</w:t>
      </w:r>
      <w:r>
        <w:rPr>
          <w:rFonts w:hint="default" w:ascii="Times New Roman" w:hAnsi="Times New Roman" w:cs="Times New Roman"/>
          <w:sz w:val="24"/>
          <w:szCs w:val="24"/>
        </w:rPr>
        <w:t>conjugated  0.2</w:t>
      </w:r>
      <w:r>
        <w:rPr>
          <w:rFonts w:hint="default" w:ascii="Times New Roman" w:hAnsi="Times New Roman" w:cs="Times New Roman"/>
          <w:sz w:val="24"/>
          <w:szCs w:val="24"/>
          <w:lang w:val="en-US"/>
        </w:rPr>
        <w:t>.,</w:t>
      </w:r>
      <w:r>
        <w:rPr>
          <w:rFonts w:hint="default" w:ascii="Times New Roman" w:hAnsi="Times New Roman" w:cs="Times New Roman"/>
          <w:sz w:val="24"/>
          <w:szCs w:val="24"/>
        </w:rPr>
        <w:t>unconjugated 0.6</w:t>
      </w:r>
      <w:r>
        <w:rPr>
          <w:rFonts w:hint="default" w:ascii="Times New Roman" w:hAnsi="Times New Roman" w:cs="Times New Roman"/>
          <w:sz w:val="24"/>
          <w:szCs w:val="24"/>
          <w:lang w:val="en-US"/>
        </w:rPr>
        <w:t>.</w:t>
      </w:r>
      <w:r>
        <w:rPr>
          <w:rFonts w:hint="default" w:ascii="Times New Roman" w:hAnsi="Times New Roman" w:cs="Times New Roman"/>
          <w:sz w:val="24"/>
          <w:szCs w:val="24"/>
        </w:rPr>
        <w:t>Alikaline phosphotase  805 mg/gl</w:t>
      </w:r>
      <w:r>
        <w:rPr>
          <w:rFonts w:hint="default" w:ascii="Times New Roman" w:hAnsi="Times New Roman" w:cs="Times New Roman"/>
          <w:sz w:val="24"/>
          <w:szCs w:val="24"/>
          <w:lang w:val="en-US"/>
        </w:rPr>
        <w:t>.</w:t>
      </w:r>
      <w:r>
        <w:rPr>
          <w:rFonts w:hint="default" w:ascii="Times New Roman" w:hAnsi="Times New Roman" w:cs="Times New Roman"/>
          <w:sz w:val="24"/>
          <w:szCs w:val="24"/>
        </w:rPr>
        <w:t>S.G.P.T 408U/L</w:t>
      </w:r>
      <w:r>
        <w:rPr>
          <w:rFonts w:hint="default" w:ascii="Times New Roman" w:hAnsi="Times New Roman" w:cs="Times New Roman"/>
          <w:sz w:val="24"/>
          <w:szCs w:val="24"/>
          <w:lang w:val="en-US"/>
        </w:rPr>
        <w:t>.,</w:t>
      </w:r>
      <w:r>
        <w:rPr>
          <w:rFonts w:hint="default" w:ascii="Times New Roman" w:hAnsi="Times New Roman" w:cs="Times New Roman"/>
          <w:sz w:val="24"/>
          <w:szCs w:val="24"/>
        </w:rPr>
        <w:t>S.G.O.T 847U/L</w:t>
      </w:r>
      <w:r>
        <w:rPr>
          <w:rFonts w:hint="default" w:ascii="Times New Roman" w:hAnsi="Times New Roman" w:cs="Times New Roman"/>
          <w:sz w:val="24"/>
          <w:szCs w:val="24"/>
          <w:lang w:val="en-US"/>
        </w:rPr>
        <w:t>,</w:t>
      </w:r>
      <w:r>
        <w:rPr>
          <w:rFonts w:hint="default" w:ascii="Times New Roman" w:hAnsi="Times New Roman" w:cs="Times New Roman"/>
          <w:sz w:val="24"/>
          <w:szCs w:val="24"/>
        </w:rPr>
        <w:t>Total protein 6.1gms</w:t>
      </w:r>
      <w:r>
        <w:rPr>
          <w:rFonts w:hint="default" w:ascii="Times New Roman" w:hAnsi="Times New Roman" w:cs="Times New Roman"/>
          <w:sz w:val="24"/>
          <w:szCs w:val="24"/>
          <w:lang w:val="en-US"/>
        </w:rPr>
        <w:t>,</w:t>
      </w:r>
      <w:r>
        <w:rPr>
          <w:rFonts w:hint="default" w:ascii="Times New Roman" w:hAnsi="Times New Roman" w:cs="Times New Roman"/>
          <w:sz w:val="24"/>
          <w:szCs w:val="24"/>
        </w:rPr>
        <w:t>Albumin 3.8gms</w:t>
      </w:r>
      <w:r>
        <w:rPr>
          <w:rFonts w:hint="default" w:ascii="Times New Roman" w:hAnsi="Times New Roman" w:cs="Times New Roman"/>
          <w:sz w:val="24"/>
          <w:szCs w:val="24"/>
          <w:lang w:val="en-US"/>
        </w:rPr>
        <w:t>,</w:t>
      </w:r>
      <w:r>
        <w:rPr>
          <w:rFonts w:hint="default" w:ascii="Times New Roman" w:hAnsi="Times New Roman" w:cs="Times New Roman"/>
          <w:sz w:val="24"/>
          <w:szCs w:val="24"/>
        </w:rPr>
        <w:t>Globulin 2.3 gms</w:t>
      </w:r>
      <w:r>
        <w:rPr>
          <w:rFonts w:hint="default" w:ascii="Times New Roman" w:hAnsi="Times New Roman" w:cs="Times New Roman"/>
          <w:sz w:val="24"/>
          <w:szCs w:val="24"/>
          <w:lang w:val="en-US"/>
        </w:rPr>
        <w:t>,</w:t>
      </w:r>
      <w:r>
        <w:rPr>
          <w:rFonts w:hint="default" w:ascii="Times New Roman" w:hAnsi="Times New Roman" w:cs="Times New Roman"/>
          <w:sz w:val="24"/>
          <w:szCs w:val="24"/>
        </w:rPr>
        <w:t>A/G Ratio 1.6%</w:t>
      </w:r>
    </w:p>
    <w:tbl>
      <w:tblPr>
        <w:tblpPr w:leftFromText="180" w:rightFromText="180" w:vertAnchor="text" w:horzAnchor="page" w:tblpX="158" w:tblpY="2390"/>
        <w:tblOverlap w:val="never"/>
        <w:tblW w:w="130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96"/>
        <w:gridCol w:w="1470"/>
        <w:gridCol w:w="1650"/>
        <w:gridCol w:w="8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00" w:hRule="atLeast"/>
          <w:tblCellSpacing w:w="0" w:type="dxa"/>
        </w:trPr>
        <w:tc>
          <w:tcPr>
            <w:tcW w:w="1596"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b/>
                <w:bCs/>
                <w:color w:val="FFFFFF"/>
                <w:sz w:val="22"/>
                <w:szCs w:val="22"/>
                <w:bdr w:val="none" w:color="auto" w:sz="0" w:space="0"/>
              </w:rPr>
              <w:t>Serum electrolytes </w:t>
            </w:r>
          </w:p>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b/>
                <w:bCs/>
                <w:color w:val="FFFFFF"/>
                <w:sz w:val="22"/>
                <w:szCs w:val="22"/>
                <w:bdr w:val="none" w:color="auto" w:sz="0" w:space="0"/>
              </w:rPr>
              <w:t>mmol/L</w:t>
            </w:r>
          </w:p>
        </w:tc>
        <w:tc>
          <w:tcPr>
            <w:tcW w:w="147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Day 1</w:t>
            </w:r>
          </w:p>
        </w:tc>
        <w:tc>
          <w:tcPr>
            <w:tcW w:w="165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Day 2 </w:t>
            </w:r>
          </w:p>
        </w:tc>
        <w:tc>
          <w:tcPr>
            <w:tcW w:w="8364"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Day 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60" w:hRule="atLeast"/>
          <w:tblCellSpacing w:w="0" w:type="dxa"/>
        </w:trPr>
        <w:tc>
          <w:tcPr>
            <w:tcW w:w="1596"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Sodium </w:t>
            </w:r>
          </w:p>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(135-145)</w:t>
            </w:r>
          </w:p>
        </w:tc>
        <w:tc>
          <w:tcPr>
            <w:tcW w:w="147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 xml:space="preserve">123 </w:t>
            </w:r>
          </w:p>
        </w:tc>
        <w:tc>
          <w:tcPr>
            <w:tcW w:w="165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125</w:t>
            </w:r>
          </w:p>
        </w:tc>
        <w:tc>
          <w:tcPr>
            <w:tcW w:w="836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260" w:hRule="atLeast"/>
          <w:tblCellSpacing w:w="0" w:type="dxa"/>
        </w:trPr>
        <w:tc>
          <w:tcPr>
            <w:tcW w:w="1596"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Potassium</w:t>
            </w:r>
          </w:p>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(3.5 – 5) </w:t>
            </w:r>
          </w:p>
        </w:tc>
        <w:tc>
          <w:tcPr>
            <w:tcW w:w="147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1.8 </w:t>
            </w:r>
          </w:p>
          <w:p>
            <w:pPr>
              <w:pStyle w:val="6"/>
              <w:keepNext w:val="0"/>
              <w:keepLines w:val="0"/>
              <w:widowControl/>
              <w:suppressLineNumbers w:val="0"/>
              <w:rPr>
                <w:rFonts w:hint="default" w:ascii="Times New Roman" w:hAnsi="Times New Roman" w:cs="Times New Roman"/>
                <w:sz w:val="22"/>
                <w:szCs w:val="22"/>
              </w:rPr>
            </w:pPr>
          </w:p>
        </w:tc>
        <w:tc>
          <w:tcPr>
            <w:tcW w:w="165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1.7</w:t>
            </w:r>
          </w:p>
          <w:p>
            <w:pPr>
              <w:pStyle w:val="6"/>
              <w:keepNext w:val="0"/>
              <w:keepLines w:val="0"/>
              <w:widowControl/>
              <w:suppressLineNumbers w:val="0"/>
              <w:rPr>
                <w:rFonts w:hint="default" w:ascii="Times New Roman" w:hAnsi="Times New Roman" w:cs="Times New Roman"/>
                <w:sz w:val="22"/>
                <w:szCs w:val="22"/>
              </w:rPr>
            </w:pPr>
          </w:p>
        </w:tc>
        <w:tc>
          <w:tcPr>
            <w:tcW w:w="836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0" w:hRule="atLeast"/>
          <w:tblCellSpacing w:w="0" w:type="dxa"/>
        </w:trPr>
        <w:tc>
          <w:tcPr>
            <w:tcW w:w="1596"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Chloride</w:t>
            </w:r>
          </w:p>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(95-105)</w:t>
            </w:r>
          </w:p>
        </w:tc>
        <w:tc>
          <w:tcPr>
            <w:tcW w:w="147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 xml:space="preserve">60 </w:t>
            </w:r>
          </w:p>
        </w:tc>
        <w:tc>
          <w:tcPr>
            <w:tcW w:w="165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80</w:t>
            </w:r>
          </w:p>
        </w:tc>
        <w:tc>
          <w:tcPr>
            <w:tcW w:w="836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color w:val="000000"/>
                <w:sz w:val="22"/>
                <w:szCs w:val="22"/>
                <w:bdr w:val="none" w:color="auto" w:sz="0" w:space="0"/>
              </w:rPr>
              <w:t>86</w:t>
            </w:r>
          </w:p>
        </w:tc>
      </w:tr>
    </w:tbl>
    <w:tbl>
      <w:tblPr>
        <w:tblStyle w:val="3"/>
        <w:tblpPr w:leftFromText="180" w:rightFromText="180" w:vertAnchor="text" w:horzAnchor="page" w:tblpX="158" w:tblpY="166"/>
        <w:tblOverlap w:val="never"/>
        <w:tblW w:w="12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40"/>
        <w:gridCol w:w="3240"/>
        <w:gridCol w:w="3240"/>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324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color w:val="FFFFFF"/>
                <w:sz w:val="24"/>
                <w:szCs w:val="24"/>
              </w:rPr>
              <w:t>            ABG</w:t>
            </w:r>
          </w:p>
        </w:tc>
        <w:tc>
          <w:tcPr>
            <w:tcW w:w="324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color w:val="FFFFFF"/>
                <w:sz w:val="24"/>
                <w:szCs w:val="24"/>
              </w:rPr>
              <w:t>20-01-2014</w:t>
            </w:r>
          </w:p>
        </w:tc>
        <w:tc>
          <w:tcPr>
            <w:tcW w:w="324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color w:val="FFFFFF"/>
                <w:sz w:val="24"/>
                <w:szCs w:val="24"/>
              </w:rPr>
              <w:t>23-01-2014</w:t>
            </w:r>
          </w:p>
        </w:tc>
        <w:tc>
          <w:tcPr>
            <w:tcW w:w="3240"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color w:val="FFFFFF"/>
                <w:sz w:val="24"/>
                <w:szCs w:val="24"/>
              </w:rPr>
              <w:t>25-01-2014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PH</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(7.35 – 7.45)</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7.636</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7.64</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Pco2</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(32 – 48)</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42.7</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35.6</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Hco3</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46.1</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39.2</w:t>
            </w:r>
          </w:p>
        </w:tc>
        <w:tc>
          <w:tcPr>
            <w:tcW w:w="3240"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Anion gap </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18.7</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14.7</w:t>
            </w:r>
          </w:p>
        </w:tc>
        <w:tc>
          <w:tcPr>
            <w:tcW w:w="3240"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top"/>
          </w:tcPr>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color w:val="000000"/>
                <w:sz w:val="24"/>
                <w:szCs w:val="24"/>
              </w:rPr>
              <w:t>10.6</w:t>
            </w:r>
          </w:p>
        </w:tc>
      </w:tr>
    </w:tbl>
    <w:p>
      <w:pPr>
        <w:rPr>
          <w:rFonts w:hint="default" w:ascii="Times New Roman" w:hAnsi="Times New Roman" w:cs="Times New Roman"/>
          <w:sz w:val="24"/>
          <w:szCs w:val="24"/>
        </w:rPr>
      </w:pPr>
      <w:r>
        <w:rPr>
          <w:rFonts w:hint="default" w:ascii="Times New Roman" w:hAnsi="Times New Roman" w:cs="Times New Roman"/>
          <w:sz w:val="24"/>
          <w:szCs w:val="24"/>
        </w:rPr>
        <w:t>Sr calcium – 8.8</w:t>
      </w:r>
      <w:r>
        <w:rPr>
          <w:rFonts w:hint="default" w:ascii="Times New Roman" w:hAnsi="Times New Roman" w:cs="Times New Roman"/>
          <w:sz w:val="24"/>
          <w:szCs w:val="24"/>
          <w:lang w:val="en-US"/>
        </w:rPr>
        <w:t>,</w:t>
      </w:r>
      <w:r>
        <w:rPr>
          <w:rFonts w:hint="default" w:ascii="Times New Roman" w:hAnsi="Times New Roman" w:cs="Times New Roman"/>
          <w:sz w:val="24"/>
          <w:szCs w:val="24"/>
        </w:rPr>
        <w:t>Sr magnesium – 0.9 ( 0.6 -1.2)</w:t>
      </w:r>
      <w:r>
        <w:rPr>
          <w:rFonts w:hint="default" w:ascii="Times New Roman" w:hAnsi="Times New Roman" w:cs="Times New Roman"/>
          <w:sz w:val="24"/>
          <w:szCs w:val="24"/>
          <w:lang w:val="en-US"/>
        </w:rPr>
        <w:t>,</w:t>
      </w:r>
      <w:r>
        <w:rPr>
          <w:rFonts w:hint="default" w:ascii="Times New Roman" w:hAnsi="Times New Roman" w:cs="Times New Roman"/>
          <w:sz w:val="24"/>
          <w:szCs w:val="24"/>
        </w:rPr>
        <w:t>24 Hrs urinary electrolytes</w:t>
      </w:r>
      <w:r>
        <w:rPr>
          <w:rFonts w:hint="default" w:ascii="Times New Roman" w:hAnsi="Times New Roman" w:cs="Times New Roman"/>
          <w:sz w:val="24"/>
          <w:szCs w:val="24"/>
          <w:lang w:val="en-US"/>
        </w:rPr>
        <w:t>,</w:t>
      </w:r>
      <w:r>
        <w:rPr>
          <w:rFonts w:hint="default" w:ascii="Times New Roman" w:hAnsi="Times New Roman" w:cs="Times New Roman"/>
          <w:sz w:val="24"/>
          <w:szCs w:val="24"/>
        </w:rPr>
        <w:t>Urine output – 350 ml</w:t>
      </w:r>
      <w:r>
        <w:rPr>
          <w:rFonts w:hint="default" w:ascii="Times New Roman" w:hAnsi="Times New Roman" w:cs="Times New Roman"/>
          <w:sz w:val="24"/>
          <w:szCs w:val="24"/>
          <w:lang w:val="en-US"/>
        </w:rPr>
        <w:t>,</w:t>
      </w:r>
      <w:r>
        <w:rPr>
          <w:rFonts w:hint="default" w:ascii="Times New Roman" w:hAnsi="Times New Roman" w:cs="Times New Roman"/>
          <w:sz w:val="24"/>
          <w:szCs w:val="24"/>
        </w:rPr>
        <w:t>Urinary sodium – 31 mmol/day (40 – 220)</w:t>
      </w:r>
      <w:r>
        <w:rPr>
          <w:rFonts w:hint="default" w:ascii="Times New Roman" w:hAnsi="Times New Roman" w:cs="Times New Roman"/>
          <w:sz w:val="24"/>
          <w:szCs w:val="24"/>
          <w:lang w:val="en-US"/>
        </w:rPr>
        <w:t>,</w:t>
      </w:r>
      <w:r>
        <w:rPr>
          <w:rFonts w:hint="default" w:ascii="Times New Roman" w:hAnsi="Times New Roman" w:cs="Times New Roman"/>
          <w:sz w:val="24"/>
          <w:szCs w:val="24"/>
        </w:rPr>
        <w:t>Urinary potassium</w:t>
      </w:r>
      <w:r>
        <w:rPr>
          <w:rFonts w:hint="default" w:ascii="Times New Roman" w:hAnsi="Times New Roman" w:cs="Times New Roman"/>
          <w:sz w:val="24"/>
          <w:szCs w:val="24"/>
          <w:lang w:val="en-US"/>
        </w:rPr>
        <w:t>,</w:t>
      </w:r>
      <w:r>
        <w:rPr>
          <w:rFonts w:hint="default" w:ascii="Times New Roman" w:hAnsi="Times New Roman" w:cs="Times New Roman"/>
          <w:sz w:val="24"/>
          <w:szCs w:val="24"/>
        </w:rPr>
        <w:t>3.8mmol/day (25 – 125)</w:t>
      </w:r>
      <w:r>
        <w:rPr>
          <w:rFonts w:hint="default" w:ascii="Times New Roman" w:hAnsi="Times New Roman" w:cs="Times New Roman"/>
          <w:sz w:val="24"/>
          <w:szCs w:val="24"/>
          <w:lang w:val="en-US"/>
        </w:rPr>
        <w:t>,</w:t>
      </w:r>
      <w:r>
        <w:rPr>
          <w:rFonts w:hint="default" w:ascii="Times New Roman" w:hAnsi="Times New Roman" w:cs="Times New Roman"/>
          <w:sz w:val="24"/>
          <w:szCs w:val="24"/>
        </w:rPr>
        <w:t>Urinary chloride – 35 mmol/day (110 – 250)</w:t>
      </w:r>
      <w:r>
        <w:rPr>
          <w:rFonts w:hint="default" w:ascii="Times New Roman" w:hAnsi="Times New Roman" w:cs="Times New Roman"/>
          <w:sz w:val="24"/>
          <w:szCs w:val="24"/>
          <w:lang w:val="en-US"/>
        </w:rPr>
        <w:t>,</w:t>
      </w:r>
      <w:r>
        <w:rPr>
          <w:rFonts w:hint="default" w:ascii="Times New Roman" w:hAnsi="Times New Roman" w:cs="Times New Roman"/>
          <w:sz w:val="24"/>
          <w:szCs w:val="24"/>
        </w:rPr>
        <w:t>Urinary calcium – 24 mg/ day (less than 300mg/day)</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USG abdomen – Mild hepatomegaly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NSG – Striate vasculopathy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CT Brain – Diffuse cerebral atrophy </w:t>
      </w:r>
    </w:p>
    <w:p>
      <w:pPr>
        <w:rPr>
          <w:rFonts w:hint="default" w:ascii="Times New Roman" w:hAnsi="Times New Roman" w:cs="Times New Roman"/>
          <w:sz w:val="24"/>
          <w:szCs w:val="24"/>
          <w:lang w:val="en-US"/>
        </w:rPr>
      </w:pPr>
      <w:r>
        <w:rPr>
          <w:rFonts w:hint="default" w:ascii="Times New Roman" w:hAnsi="Times New Roman" w:cs="Times New Roman"/>
          <w:sz w:val="24"/>
          <w:szCs w:val="24"/>
        </w:rPr>
        <w:t>In consultation with the nephrologist</w:t>
      </w:r>
      <w:r>
        <w:rPr>
          <w:rFonts w:hint="default" w:ascii="Times New Roman" w:hAnsi="Times New Roman" w:cs="Times New Roman"/>
          <w:sz w:val="24"/>
          <w:szCs w:val="24"/>
          <w:lang w:val="en-US"/>
        </w:rPr>
        <w:t xml:space="preserve">, we have come to a conclusion of </w:t>
      </w:r>
      <w:r>
        <w:rPr>
          <w:rFonts w:hint="default" w:ascii="Times New Roman" w:hAnsi="Times New Roman" w:cs="Times New Roman"/>
          <w:sz w:val="24"/>
          <w:szCs w:val="24"/>
        </w:rPr>
        <w:t>Bartter syndrome</w:t>
      </w:r>
      <w:r>
        <w:rPr>
          <w:rFonts w:hint="default" w:ascii="Times New Roman" w:hAnsi="Times New Roman" w:cs="Times New Roman"/>
          <w:sz w:val="24"/>
          <w:szCs w:val="24"/>
          <w:lang w:val="en-US"/>
        </w:rPr>
        <w:t xml:space="preserve">, as there was hypokalemic, hypochloremic metabolic alkalosis with normal blood pressure. Serum Renin and Aldosterone levels could not be sone due to financial constraint.Baby was treated with </w:t>
      </w:r>
      <w:r>
        <w:rPr>
          <w:rFonts w:hint="default" w:ascii="Times New Roman" w:hAnsi="Times New Roman" w:cs="Times New Roman"/>
          <w:sz w:val="24"/>
          <w:szCs w:val="24"/>
        </w:rPr>
        <w:t>Potassium supplements</w:t>
      </w:r>
      <w:r>
        <w:rPr>
          <w:rFonts w:hint="default" w:ascii="Times New Roman" w:hAnsi="Times New Roman" w:cs="Times New Roman"/>
          <w:sz w:val="24"/>
          <w:szCs w:val="24"/>
          <w:lang w:val="en-US"/>
        </w:rPr>
        <w:t>,</w:t>
      </w:r>
      <w:r>
        <w:rPr>
          <w:rFonts w:hint="default" w:ascii="Times New Roman" w:hAnsi="Times New Roman" w:cs="Times New Roman"/>
          <w:sz w:val="24"/>
          <w:szCs w:val="24"/>
        </w:rPr>
        <w:t>Spironolactone for 15 days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indomethacin</w:t>
      </w:r>
      <w:r>
        <w:rPr>
          <w:rFonts w:hint="default" w:ascii="Times New Roman" w:hAnsi="Times New Roman" w:cs="Times New Roman"/>
          <w:sz w:val="24"/>
          <w:szCs w:val="24"/>
          <w:lang w:val="en-US"/>
        </w:rPr>
        <w:t xml:space="preserve"> was planned at a later date .</w:t>
      </w:r>
    </w:p>
    <w:p>
      <w:pPr>
        <w:rPr>
          <w:rFonts w:hint="default" w:ascii="Times New Roman" w:hAnsi="Times New Roman" w:cs="Times New Roman"/>
          <w:sz w:val="24"/>
          <w:szCs w:val="24"/>
        </w:rPr>
      </w:pPr>
      <w:r>
        <w:rPr>
          <w:rFonts w:hint="default" w:ascii="Times New Roman" w:hAnsi="Times New Roman" w:cs="Times New Roman"/>
          <w:sz w:val="24"/>
          <w:szCs w:val="24"/>
        </w:rPr>
        <w:t>Bartter syndrome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Bartter syndrome, originally described by Bartter and colleagues in 1962, represents a set of closely related, autosomal recessive renal tubular disorders characterized by hypokalemia, hypochloremia, metabolic alkalosis, and hyperreninemia with normal blood pressure. The underlying renal abnormality results in excessive urinary losses of sodium, chloride, and potassium. </w:t>
      </w:r>
    </w:p>
    <w:p>
      <w:pPr>
        <w:rPr>
          <w:rFonts w:hint="default" w:ascii="Times New Roman" w:hAnsi="Times New Roman" w:cs="Times New Roman"/>
          <w:sz w:val="24"/>
          <w:szCs w:val="24"/>
        </w:rPr>
      </w:pPr>
      <w:r>
        <w:rPr>
          <w:rFonts w:hint="default" w:ascii="Times New Roman" w:hAnsi="Times New Roman" w:cs="Times New Roman"/>
          <w:sz w:val="24"/>
          <w:szCs w:val="24"/>
        </w:rPr>
        <w:t>SYMPTOMS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Polyuria</w:t>
      </w:r>
      <w:r>
        <w:rPr>
          <w:rFonts w:hint="default" w:ascii="Times New Roman" w:hAnsi="Times New Roman" w:cs="Times New Roman"/>
          <w:sz w:val="24"/>
          <w:szCs w:val="24"/>
          <w:lang w:val="en-US"/>
        </w:rPr>
        <w:t>,</w:t>
      </w:r>
      <w:r>
        <w:rPr>
          <w:rFonts w:hint="default" w:ascii="Times New Roman" w:hAnsi="Times New Roman" w:cs="Times New Roman"/>
          <w:sz w:val="24"/>
          <w:szCs w:val="24"/>
        </w:rPr>
        <w:t>Polydipsia</w:t>
      </w:r>
      <w:r>
        <w:rPr>
          <w:rFonts w:hint="default" w:ascii="Times New Roman" w:hAnsi="Times New Roman" w:cs="Times New Roman"/>
          <w:sz w:val="24"/>
          <w:szCs w:val="24"/>
          <w:lang w:val="en-US"/>
        </w:rPr>
        <w:t>,</w:t>
      </w:r>
      <w:r>
        <w:rPr>
          <w:rFonts w:hint="default" w:ascii="Times New Roman" w:hAnsi="Times New Roman" w:cs="Times New Roman"/>
          <w:sz w:val="24"/>
          <w:szCs w:val="24"/>
        </w:rPr>
        <w:t>Vomiting</w:t>
      </w:r>
      <w:r>
        <w:rPr>
          <w:rFonts w:hint="default" w:ascii="Times New Roman" w:hAnsi="Times New Roman" w:cs="Times New Roman"/>
          <w:sz w:val="24"/>
          <w:szCs w:val="24"/>
          <w:lang w:val="en-US"/>
        </w:rPr>
        <w:t>,</w:t>
      </w:r>
      <w:r>
        <w:rPr>
          <w:rFonts w:hint="default" w:ascii="Times New Roman" w:hAnsi="Times New Roman" w:cs="Times New Roman"/>
          <w:sz w:val="24"/>
          <w:szCs w:val="24"/>
        </w:rPr>
        <w:t>Constipation</w:t>
      </w:r>
      <w:r>
        <w:rPr>
          <w:rFonts w:hint="default" w:ascii="Times New Roman" w:hAnsi="Times New Roman" w:cs="Times New Roman"/>
          <w:sz w:val="24"/>
          <w:szCs w:val="24"/>
          <w:lang w:val="en-US"/>
        </w:rPr>
        <w:t>,</w:t>
      </w:r>
      <w:r>
        <w:rPr>
          <w:rFonts w:hint="default" w:ascii="Times New Roman" w:hAnsi="Times New Roman" w:cs="Times New Roman"/>
          <w:sz w:val="24"/>
          <w:szCs w:val="24"/>
        </w:rPr>
        <w:t>Salt craving</w:t>
      </w:r>
      <w:r>
        <w:rPr>
          <w:rFonts w:hint="default" w:ascii="Times New Roman" w:hAnsi="Times New Roman" w:cs="Times New Roman"/>
          <w:sz w:val="24"/>
          <w:szCs w:val="24"/>
          <w:lang w:val="en-US"/>
        </w:rPr>
        <w:t>,</w:t>
      </w:r>
      <w:r>
        <w:rPr>
          <w:rFonts w:hint="default" w:ascii="Times New Roman" w:hAnsi="Times New Roman" w:cs="Times New Roman"/>
          <w:sz w:val="24"/>
          <w:szCs w:val="24"/>
        </w:rPr>
        <w:t>Tendency for volume depletion</w:t>
      </w:r>
      <w:r>
        <w:rPr>
          <w:rFonts w:hint="default" w:ascii="Times New Roman" w:hAnsi="Times New Roman" w:cs="Times New Roman"/>
          <w:sz w:val="24"/>
          <w:szCs w:val="24"/>
          <w:lang w:val="en-US"/>
        </w:rPr>
        <w:t>,</w:t>
      </w:r>
      <w:r>
        <w:rPr>
          <w:rFonts w:hint="default" w:ascii="Times New Roman" w:hAnsi="Times New Roman" w:cs="Times New Roman"/>
          <w:sz w:val="24"/>
          <w:szCs w:val="24"/>
        </w:rPr>
        <w:t>Failure to thrive</w:t>
      </w:r>
      <w:r>
        <w:rPr>
          <w:rFonts w:hint="default" w:ascii="Times New Roman" w:hAnsi="Times New Roman" w:cs="Times New Roman"/>
          <w:sz w:val="24"/>
          <w:szCs w:val="24"/>
          <w:lang w:val="en-US"/>
        </w:rPr>
        <w:t>,</w:t>
      </w:r>
      <w:r>
        <w:rPr>
          <w:rFonts w:hint="default" w:ascii="Times New Roman" w:hAnsi="Times New Roman" w:cs="Times New Roman"/>
          <w:sz w:val="24"/>
          <w:szCs w:val="24"/>
        </w:rPr>
        <w:t>Linear growth retardation Other symptoms, which appear during late childhood, include fatigue, muscle weakness, cramps, and recurrent carpopedal spasms.</w:t>
      </w: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LINICAL FEATURES:Patients are thin and have reduced muscle mass and a triangularly shaped face, which is characterized by a prominent forehead, large eyes, protruding ears, and drooping mouth. Strabismus is frequently present. Blood pressure is within the reference range. </w:t>
      </w:r>
    </w:p>
    <w:p>
      <w:pPr>
        <w:rPr>
          <w:rFonts w:hint="default" w:ascii="Times New Roman" w:hAnsi="Times New Roman" w:cs="Times New Roman"/>
          <w:sz w:val="24"/>
          <w:szCs w:val="24"/>
        </w:rPr>
      </w:pPr>
      <w:r>
        <w:rPr>
          <w:rFonts w:hint="default" w:ascii="Times New Roman" w:hAnsi="Times New Roman" w:cs="Times New Roman"/>
          <w:sz w:val="24"/>
          <w:szCs w:val="24"/>
        </w:rPr>
        <w:t>A subset of patients with Bartter syndrome (types IV) develop sensorineural deafness, which is detectable with audiometry</w:t>
      </w:r>
    </w:p>
    <w:p>
      <w:pPr>
        <w:rPr>
          <w:rFonts w:hint="default" w:ascii="Times New Roman" w:hAnsi="Times New Roman" w:cs="Times New Roman"/>
          <w:sz w:val="24"/>
          <w:szCs w:val="24"/>
          <w:lang w:val="en-US"/>
        </w:rPr>
      </w:pPr>
      <w:r>
        <w:rPr>
          <w:rFonts w:hint="default" w:ascii="Times New Roman" w:hAnsi="Times New Roman" w:cs="Times New Roman"/>
          <w:sz w:val="24"/>
          <w:szCs w:val="24"/>
        </w:rPr>
        <w:t>MANAGEMENT: DIET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Adequate salt and water intake is necessary to prevent hypovolemia, and adequate potassium intake is essential to replace urinary potassium losses. Patients should consume foods and drinks that contain high levels of potassium (eg, tomatoes, bananas, orange juice). MEDICAL MNG:                                                                                            Sodium and potassium supplements - Used for the electrolyte imbalances</w:t>
      </w:r>
      <w:r>
        <w:rPr>
          <w:rFonts w:hint="default" w:ascii="Times New Roman" w:hAnsi="Times New Roman" w:cs="Times New Roman"/>
          <w:sz w:val="24"/>
          <w:szCs w:val="24"/>
          <w:lang w:val="en-US"/>
        </w:rPr>
        <w:t>.</w:t>
      </w:r>
      <w:r>
        <w:rPr>
          <w:rFonts w:hint="default" w:ascii="Times New Roman" w:hAnsi="Times New Roman" w:cs="Times New Roman"/>
          <w:sz w:val="24"/>
          <w:szCs w:val="24"/>
        </w:rPr>
        <w:t>Aldosterone antagonists and diuretic spironolactone - Are mainstays of therapy</w:t>
      </w:r>
      <w:r>
        <w:rPr>
          <w:rFonts w:hint="default" w:ascii="Times New Roman" w:hAnsi="Times New Roman" w:cs="Times New Roman"/>
          <w:sz w:val="24"/>
          <w:szCs w:val="24"/>
          <w:lang w:val="en-US"/>
        </w:rPr>
        <w:t>.</w:t>
      </w:r>
      <w:r>
        <w:rPr>
          <w:rFonts w:hint="default" w:ascii="Times New Roman" w:hAnsi="Times New Roman" w:cs="Times New Roman"/>
          <w:sz w:val="24"/>
          <w:szCs w:val="24"/>
        </w:rPr>
        <w:t>Angiotensin-converting enzyme (ACE) inhibitors - Used to counteract the effects of angiotensin II (ANG II) and aldosterone</w:t>
      </w:r>
      <w:r>
        <w:rPr>
          <w:rFonts w:hint="default" w:ascii="Times New Roman" w:hAnsi="Times New Roman" w:cs="Times New Roman"/>
          <w:sz w:val="24"/>
          <w:szCs w:val="24"/>
          <w:lang w:val="en-US"/>
        </w:rPr>
        <w:t>.</w:t>
      </w:r>
      <w:r>
        <w:rPr>
          <w:rFonts w:hint="default" w:ascii="Times New Roman" w:hAnsi="Times New Roman" w:cs="Times New Roman"/>
          <w:sz w:val="24"/>
          <w:szCs w:val="24"/>
        </w:rPr>
        <w:t>Indomethacin - Used to decrease prostaglandin excretion</w:t>
      </w:r>
      <w:r>
        <w:rPr>
          <w:rFonts w:hint="default" w:ascii="Times New Roman" w:hAnsi="Times New Roman" w:cs="Times New Roman"/>
          <w:sz w:val="24"/>
          <w:szCs w:val="24"/>
          <w:lang w:val="en-US"/>
        </w:rPr>
        <w:t>,</w:t>
      </w:r>
      <w:r>
        <w:rPr>
          <w:rFonts w:hint="default" w:ascii="Times New Roman" w:hAnsi="Times New Roman" w:cs="Times New Roman"/>
          <w:sz w:val="24"/>
          <w:szCs w:val="24"/>
        </w:rPr>
        <w:t>Growth hormone (GH) - Used to treat short stature</w:t>
      </w:r>
      <w:r>
        <w:rPr>
          <w:rFonts w:hint="default" w:ascii="Times New Roman" w:hAnsi="Times New Roman" w:cs="Times New Roman"/>
          <w:sz w:val="24"/>
          <w:szCs w:val="24"/>
          <w:lang w:val="en-US"/>
        </w:rPr>
        <w:t>,</w:t>
      </w:r>
      <w:r>
        <w:rPr>
          <w:rFonts w:hint="default" w:ascii="Times New Roman" w:hAnsi="Times New Roman" w:cs="Times New Roman"/>
          <w:sz w:val="24"/>
          <w:szCs w:val="24"/>
        </w:rPr>
        <w:t>Calcium or magnesium supplements</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A0859"/>
    <w:rsid w:val="472A0859"/>
    <w:rsid w:val="5C270D4D"/>
    <w:rsid w:val="67B33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2023-02-13T07:34:00Z</dcterms:created>
  <dc:creator>GGH</dc:creator>
  <cp:lastModifiedBy>SNCU Vijayawada</cp:lastModifiedBy>
  <dcterms:modified xsi:type="dcterms:W3CDTF">2023-02-13T08:46:15Z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992D773DB0944DDC8B3DE97BBB5C4446</vt:lpwstr>
  </property>
</Properties>
</file>