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57068C"/>
          <w:spacing w:val="6"/>
          <w:sz w:val="42"/>
          <w:szCs w:val="42"/>
        </w:rPr>
        <w:t xml:space="preserve">SHAHADAT HUSSAIN, PhD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8900E1"/>
          <w:spacing w:val="22"/>
          <w:sz w:val="21"/>
          <w:szCs w:val="21"/>
        </w:rPr>
        <w:t xml:space="preserve">MATERIALS &amp; ADDITIVE MANUFACTURING ENGINEER</w:t>
      </w:r>
    </w:p>
    <w:p>
      <w:pPr>
        <w:pBdr>
          <w:bottom w:val="single" w:color="57068C" w:sz="14" w:space="8"/>
        </w:pBdr>
        <w:spacing w:after="0"/>
      </w:pPr>
      <w:r>
        <w:rPr>
          <w:color w:val="595959"/>
          <w:sz w:val="18"/>
          <w:szCs w:val="18"/>
        </w:rPr>
        <w:t xml:space="preserve">Abu Dhabi, UAE   |   shahadat_ind@yahoo.com   |   linkedin.com/in/shahadathussain   |   shahadathussain.com   |   UAE Residence Visa Holder</w:t>
      </w:r>
    </w:p>
    <w:p>
      <w:pPr>
        <w:spacing w:after="20"/>
      </w:pPr>
    </w:p>
    <w:p>
      <w:pPr>
        <w:pStyle w:val="Heading1"/>
      </w:pPr>
      <w:r>
        <w:t xml:space="preserve">Professional Summary</w:t>
      </w:r>
    </w:p>
    <w:p>
      <w:pPr>
        <w:spacing w:after="160"/>
      </w:pPr>
      <w:r>
        <w:t xml:space="preserve">Materials and Manufacturing Engineer with 6+ years delivering additive manufacturing (LPBF, FFF, SLA) process development, materials qualification, and mechanical testing programs across academic and applied research settings in the UAE. Hands-on operator of 10+ industrial 3D printing systems and a full metallurgical characterization and testing suite (SEM, XRD, DSC, Instron, MTS). Specialist in metal and polymer-composite lattice structures (TPMS), nickel-titanium and copper-based shape memory alloys, and process-structure-property qualification for lightweight, high-performance components. Combines materials engineering depth with Python/MATLAB-based data analysis to support process optimization and quality mapping. Seeking to apply this qualification and testing expertise to industrial R&amp;D, manufacturing engineering, or materials qualification roles in the UAE defense, aerospace, or advanced manufacturing sector.</w:t>
      </w:r>
    </w:p>
    <w:p>
      <w:pPr>
        <w:pStyle w:val="Heading1"/>
      </w:pPr>
      <w:r>
        <w:t xml:space="preserve">Core Competencies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sz w:val="20"/>
          <w:szCs w:val="20"/>
        </w:rPr>
        <w:t xml:space="preserve">Additive Manufacturing Process Development (LPBF, FFF, SLA)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sz w:val="20"/>
          <w:szCs w:val="20"/>
        </w:rPr>
        <w:t xml:space="preserve">Materials Characterization (SEM, XRD, DSC, Optical Microscopy)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sz w:val="20"/>
          <w:szCs w:val="20"/>
        </w:rPr>
        <w:t xml:space="preserve">Mechanical Testing &amp; Qualification (Static, Fatigue, Compression)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sz w:val="20"/>
          <w:szCs w:val="20"/>
        </w:rPr>
        <w:t xml:space="preserve">NiTi &amp; Cu-Based Shape Memory Alloys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sz w:val="20"/>
          <w:szCs w:val="20"/>
        </w:rPr>
        <w:t xml:space="preserve">TPMS / Architected Lattice Structures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sz w:val="20"/>
          <w:szCs w:val="20"/>
        </w:rPr>
        <w:t xml:space="preserve">Process Parameter Optimization &amp; Defect/Quality Mapping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sz w:val="20"/>
          <w:szCs w:val="20"/>
        </w:rPr>
        <w:t xml:space="preserve">Composite &amp; Metal AM (Carbon-Fiber PLA/PPA, Metal Powder Bed)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sz w:val="20"/>
          <w:szCs w:val="20"/>
        </w:rPr>
        <w:t xml:space="preserve">CAD &amp; Build Preparation (SolidWorks, Materialise Magics, GrabCAD)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sz w:val="20"/>
          <w:szCs w:val="20"/>
        </w:rPr>
        <w:t xml:space="preserve">Data Analysis &amp; Process Modeling (Python, MATLAB)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sz w:val="20"/>
          <w:szCs w:val="20"/>
        </w:rPr>
        <w:t xml:space="preserve">EHS / Lab Safety &amp; Risk Assessment</w:t>
      </w:r>
    </w:p>
    <w:p>
      <w:pPr>
        <w:pStyle w:val="Heading1"/>
      </w:pPr>
      <w:r>
        <w:t xml:space="preserve">Professional Experience</w:t>
      </w:r>
    </w:p>
    <w:p>
      <w:pPr>
        <w:keepNext/>
        <w:tabs>
          <w:tab w:val="right" w:pos="9360"/>
        </w:tabs>
        <w:spacing w:after="10" w:before="160"/>
      </w:pPr>
      <w:r>
        <w:rPr>
          <w:b/>
          <w:bCs/>
          <w:color w:val="57068C"/>
          <w:sz w:val="21"/>
          <w:szCs w:val="21"/>
        </w:rPr>
        <w:t xml:space="preserve">Research Associate — Additive Manufacturing &amp; Advanced Materials</w:t>
      </w:r>
      <w:r>
        <w:rPr>
          <w:b/>
          <w:bCs/>
          <w:i/>
          <w:iCs/>
          <w:color w:val="8900E1"/>
          <w:sz w:val="18"/>
          <w:szCs w:val="18"/>
        </w:rPr>
        <w:t xml:space="preserve">	Sep 2024 – Present</w:t>
      </w:r>
    </w:p>
    <w:p>
      <w:pPr>
        <w:keepNext/>
        <w:spacing w:after="70"/>
      </w:pPr>
      <w:r>
        <w:rPr>
          <w:i/>
          <w:iCs/>
          <w:color w:val="8C8C8C"/>
          <w:sz w:val="19"/>
          <w:szCs w:val="19"/>
        </w:rPr>
        <w:t xml:space="preserve">New York University Abu Dhabi (NYUAD), Abu Dhabi, UAE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Delivered carbon-fiber-reinforced PLA/PPA composite metamaterial components (gyroid and primitive TPMS lattices) via FFF for aerospace, automotive, and structural application targets.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Qualified printed composite structures against quasi-static compression, flexural, modal, and frequency-response test protocols to validate strength, energy absorption, and vibration performance.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Operated and maintained 10+ industrial additive manufacturing systems, including Raise3D Pro3 Plus HS, Stratasys J850/F370, Formlabs Form3, and Bambu Lab Carbon X1, supporting continuous production and prototyping throughput.</w:t>
      </w:r>
    </w:p>
    <w:p>
      <w:pPr>
        <w:keepNext/>
        <w:tabs>
          <w:tab w:val="right" w:pos="9360"/>
        </w:tabs>
        <w:spacing w:after="10" w:before="160"/>
      </w:pPr>
      <w:r>
        <w:rPr>
          <w:b/>
          <w:bCs/>
          <w:color w:val="57068C"/>
          <w:sz w:val="21"/>
          <w:szCs w:val="21"/>
        </w:rPr>
        <w:t xml:space="preserve">Postdoctoral Research Fellow — Metal 3D Printing &amp; Smart Materials</w:t>
      </w:r>
      <w:r>
        <w:rPr>
          <w:b/>
          <w:bCs/>
          <w:i/>
          <w:iCs/>
          <w:color w:val="8900E1"/>
          <w:sz w:val="18"/>
          <w:szCs w:val="18"/>
        </w:rPr>
        <w:t xml:space="preserve">	Feb 2020 – Jun 2024</w:t>
      </w:r>
    </w:p>
    <w:p>
      <w:pPr>
        <w:keepNext/>
        <w:spacing w:after="70"/>
      </w:pPr>
      <w:r>
        <w:rPr>
          <w:i/>
          <w:iCs/>
          <w:color w:val="8C8C8C"/>
          <w:sz w:val="19"/>
          <w:szCs w:val="19"/>
        </w:rPr>
        <w:t xml:space="preserve">Khalifa University, Abu Dhabi, UAE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Fabricated and qualified NiTi shape memory alloy TPMS lattice structures via Laser Powder Bed Fusion (EOS M400); optimized laser power, scan speed, and energy density to control microstructure and phase transformation behavior.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Executed full materials characterization pipeline on 50+ printed samples using JEOL 7610F SEM, FEI Quanta 3D FIB-SEM (SEI/BSE/EDS), Bruker D2 and Rigaku MiniFlex XRD, Mettler Toledo and Setaram DSC, and Leica optical microscopy.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Ran static (Instron 5969, 50 kN), fatigue (Instron 8872, 25 kN), and compression (MTS 100 kN) qualification campaigns; developed defect and print-quality maps used to reduce porosity and improve part consistency in AM NiTi components.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Authored 4 peer-reviewed publications and supported 450+ citations of program-relevant materials data (Materials &amp; Design, Journal of Manufacturing Processes, Materials, JMEP); reviewed 30+ technical manuscripts across 15 journals.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Completed comprehensive EHS lab safety training covering chemical handling, HF acid etching, cryogenic substances, risk assessment, and emergency response protocols.</w:t>
      </w:r>
    </w:p>
    <w:p>
      <w:pPr>
        <w:keepNext/>
        <w:tabs>
          <w:tab w:val="right" w:pos="9360"/>
        </w:tabs>
        <w:spacing w:after="10" w:before="160"/>
      </w:pPr>
      <w:r>
        <w:rPr>
          <w:b/>
          <w:bCs/>
          <w:color w:val="57068C"/>
          <w:sz w:val="21"/>
          <w:szCs w:val="21"/>
        </w:rPr>
        <w:t xml:space="preserve">Project Fellow — Smart &amp; Functional Materials</w:t>
      </w:r>
      <w:r>
        <w:rPr>
          <w:b/>
          <w:bCs/>
          <w:i/>
          <w:iCs/>
          <w:color w:val="8900E1"/>
          <w:sz w:val="18"/>
          <w:szCs w:val="18"/>
        </w:rPr>
        <w:t xml:space="preserve">	Jun 2013 – Aug 2014</w:t>
      </w:r>
    </w:p>
    <w:p>
      <w:pPr>
        <w:keepNext/>
        <w:spacing w:after="70"/>
      </w:pPr>
      <w:r>
        <w:rPr>
          <w:i/>
          <w:iCs/>
          <w:color w:val="8C8C8C"/>
          <w:sz w:val="19"/>
          <w:szCs w:val="19"/>
        </w:rPr>
        <w:t xml:space="preserve">CSIR – Advanced Materials &amp; Processes Research Institute (AMPRI), Bhopal, India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Synthesized Cu-Al-Mn and Cu-Al-Ni shape memory alloys via vacuum induction melting under a Government of India (12th Five Year Plan) funded program; performed hot/cold rolling, heat treatment, quenching, and metallographic preparation.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Characterized phase transformation and mechanical properties using SEM, XRD, DSC, and hardness/tensile testing; outputs contributed to 5 peer-reviewed publications and a research collaboration with IIT Madras.</w:t>
      </w:r>
    </w:p>
    <w:p>
      <w:pPr>
        <w:keepNext/>
        <w:tabs>
          <w:tab w:val="right" w:pos="9360"/>
        </w:tabs>
        <w:spacing w:after="10" w:before="160"/>
      </w:pPr>
      <w:r>
        <w:rPr>
          <w:b/>
          <w:bCs/>
          <w:color w:val="57068C"/>
          <w:sz w:val="21"/>
          <w:szCs w:val="21"/>
        </w:rPr>
        <w:t xml:space="preserve">Engineering Intern — Steel Plant Operations</w:t>
      </w:r>
      <w:r>
        <w:rPr>
          <w:b/>
          <w:bCs/>
          <w:i/>
          <w:iCs/>
          <w:color w:val="8900E1"/>
          <w:sz w:val="18"/>
          <w:szCs w:val="18"/>
        </w:rPr>
        <w:t xml:space="preserve">	Jun – Jul 2011</w:t>
      </w:r>
    </w:p>
    <w:p>
      <w:pPr>
        <w:keepNext/>
        <w:spacing w:after="70"/>
      </w:pPr>
      <w:r>
        <w:rPr>
          <w:i/>
          <w:iCs/>
          <w:color w:val="8C8C8C"/>
          <w:sz w:val="19"/>
          <w:szCs w:val="19"/>
        </w:rPr>
        <w:t xml:space="preserve">Bokaro Steel Plant, Steel Authority of India Limited (SAIL), Jharkhand, India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Gained direct industrial exposure to large-scale integrated steel manufacturing processes, plant operations, and quality systems.</w:t>
      </w:r>
    </w:p>
    <w:p>
      <w:pPr>
        <w:pStyle w:val="Heading1"/>
      </w:pPr>
      <w:r>
        <w:t xml:space="preserve">Education</w:t>
      </w:r>
    </w:p>
    <w:p>
      <w:pPr>
        <w:keepNext/>
        <w:tabs>
          <w:tab w:val="right" w:pos="9360"/>
        </w:tabs>
        <w:spacing w:after="10" w:before="160"/>
      </w:pPr>
      <w:r>
        <w:rPr>
          <w:b/>
          <w:bCs/>
          <w:color w:val="57068C"/>
          <w:sz w:val="21"/>
          <w:szCs w:val="21"/>
        </w:rPr>
        <w:t xml:space="preserve">PhD, Materials Science &amp; Technology</w:t>
      </w:r>
      <w:r>
        <w:rPr>
          <w:b/>
          <w:bCs/>
          <w:i/>
          <w:iCs/>
          <w:color w:val="8900E1"/>
          <w:sz w:val="18"/>
          <w:szCs w:val="18"/>
        </w:rPr>
        <w:t xml:space="preserve">	2014 – 2019</w:t>
      </w:r>
    </w:p>
    <w:p>
      <w:pPr>
        <w:keepNext/>
        <w:spacing w:after="70"/>
      </w:pPr>
      <w:r>
        <w:rPr>
          <w:i/>
          <w:iCs/>
          <w:color w:val="8C8C8C"/>
          <w:sz w:val="19"/>
          <w:szCs w:val="19"/>
        </w:rPr>
        <w:t xml:space="preserve">Academy of Scientific and Innovative Research (AcSIR) / CSIR-AMPRI, Bhopal, India — Thesis: Cu-based shape memory alloys: composition, processing, microstructure, and shape memory properties</w:t>
      </w:r>
    </w:p>
    <w:p>
      <w:pPr>
        <w:keepNext/>
        <w:tabs>
          <w:tab w:val="right" w:pos="9360"/>
        </w:tabs>
        <w:spacing w:after="10" w:before="160"/>
      </w:pPr>
      <w:r>
        <w:rPr>
          <w:b/>
          <w:bCs/>
          <w:color w:val="57068C"/>
          <w:sz w:val="21"/>
          <w:szCs w:val="21"/>
        </w:rPr>
        <w:t xml:space="preserve">BEng, Mechanical Engineering</w:t>
      </w:r>
      <w:r>
        <w:rPr>
          <w:b/>
          <w:bCs/>
          <w:i/>
          <w:iCs/>
          <w:color w:val="8900E1"/>
          <w:sz w:val="18"/>
          <w:szCs w:val="18"/>
        </w:rPr>
        <w:t xml:space="preserve">	2008 – 2012</w:t>
      </w:r>
    </w:p>
    <w:p>
      <w:pPr>
        <w:keepNext/>
        <w:spacing w:after="70"/>
      </w:pPr>
      <w:r>
        <w:rPr>
          <w:i/>
          <w:iCs/>
          <w:color w:val="8C8C8C"/>
          <w:sz w:val="19"/>
          <w:szCs w:val="19"/>
        </w:rPr>
        <w:t xml:space="preserve">UIT, Rajiv Gandhi Proudyogiki Vishwavidyalaya (RGPV), Bhopal, India</w:t>
      </w:r>
    </w:p>
    <w:p>
      <w:pPr>
        <w:pStyle w:val="Heading1"/>
      </w:pPr>
      <w:r>
        <w:t xml:space="preserve">Technical Skills</w:t>
      </w:r>
    </w:p>
    <w:p>
      <w:pPr>
        <w:spacing w:after="80"/>
      </w:pPr>
      <w:r>
        <w:rPr>
          <w:b/>
          <w:bCs/>
          <w:color w:val="57068C"/>
          <w:sz w:val="20"/>
          <w:szCs w:val="20"/>
        </w:rPr>
        <w:t xml:space="preserve">Additive Manufacturing Systems: </w:t>
      </w:r>
      <w:r>
        <w:rPr>
          <w:sz w:val="20"/>
          <w:szCs w:val="20"/>
        </w:rPr>
        <w:t xml:space="preserve">EOS M400 (LPBF/SLM); Stratasys F370/J850 (FDM/PolyJet); Raise3D Pro3 Plus HS, Forge1 (FFF); Formlabs Form3 (SLA); Ultimaker S1</w:t>
      </w:r>
    </w:p>
    <w:p>
      <w:pPr>
        <w:spacing w:after="80"/>
      </w:pPr>
      <w:r>
        <w:rPr>
          <w:b/>
          <w:bCs/>
          <w:color w:val="57068C"/>
          <w:sz w:val="20"/>
          <w:szCs w:val="20"/>
        </w:rPr>
        <w:t xml:space="preserve">Materials Characterization: </w:t>
      </w:r>
      <w:r>
        <w:rPr>
          <w:sz w:val="20"/>
          <w:szCs w:val="20"/>
        </w:rPr>
        <w:t xml:space="preserve">JEOL 7610F SEM; FEI Nova NanoSEM; FEI Quanta 3D FIB-SEM (SEI/BSE/EDS); Bruker D2 &amp; Rigaku MiniFlex XRD; Mettler Toledo DSC1; Setaram DSC; Leica Optical Microscopy; Bruker Q4 Tasman</w:t>
      </w:r>
    </w:p>
    <w:p>
      <w:pPr>
        <w:spacing w:after="80"/>
      </w:pPr>
      <w:r>
        <w:rPr>
          <w:b/>
          <w:bCs/>
          <w:color w:val="57068C"/>
          <w:sz w:val="20"/>
          <w:szCs w:val="20"/>
        </w:rPr>
        <w:t xml:space="preserve">Mechanical Testing &amp; Processing: </w:t>
      </w:r>
      <w:r>
        <w:rPr>
          <w:sz w:val="20"/>
          <w:szCs w:val="20"/>
        </w:rPr>
        <w:t xml:space="preserve">Instron 5969 (static, 50 kN); Instron 8872 (fatigue, 25 kN); MTS 100 kN UTM; Controls Simplex 350 &amp; Automax; vacuum induction melting; two-roll rolling; heat treatment; metallography; etching</w:t>
      </w:r>
    </w:p>
    <w:p>
      <w:pPr>
        <w:spacing w:after="80"/>
      </w:pPr>
      <w:r>
        <w:rPr>
          <w:b/>
          <w:bCs/>
          <w:color w:val="57068C"/>
          <w:sz w:val="20"/>
          <w:szCs w:val="20"/>
        </w:rPr>
        <w:t xml:space="preserve">Design, Simulation &amp; Computing: </w:t>
      </w:r>
      <w:r>
        <w:rPr>
          <w:sz w:val="20"/>
          <w:szCs w:val="20"/>
        </w:rPr>
        <w:t xml:space="preserve">SolidWorks; FreeCAD; Materialise Magics; GrabCAD Print; Bambu Studio; PreForm; IdeaMaker; Cura; Python (Pandas, NumPy, Scikit-learn); MATLAB; SQL; Linux; Shell scripting; LaTeX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Additive Manufacturing Specialization — Arizona State University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IBM Data Science Professional Certificate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Responsible Conduct of Research — CITI Program, Florida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Google AI Essentials Certificate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Python for Everybody Specialization — University of Michigan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Lab Safety (EHS) — Khalifa University, 2021</w:t>
      </w:r>
    </w:p>
    <w:p>
      <w:pPr>
        <w:pStyle w:val="Heading1"/>
      </w:pPr>
      <w:r>
        <w:t xml:space="preserve">Selected Publications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450+ citations | h-index: 10 | ORCID: 0000-0002-4355-2169 | Peer reviewer for 15 journals including Additive Manufacturing, Materials &amp; Design, Scripta Materialia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Hussain S, Mehraj H, Karathanasopoulos N, Moustafa MA. Do Chopped Fibers Matter? Process-Structure-Property Relationships and Thermal Annealing Effects in Fiber-Reinforced TPMS Lattices. Progress in Additive Manufacturing, 2026.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Hussain S, Alagha AN, Zaki W. Phase Transformation Behavior of NiTi TPMS Lattices Fabricated by LPBF. Journal of Materials Engineering &amp; Performance, 2024.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Hussain S, Alagha AN, Haidemenopoulos GN, Zaki W. Microstructural &amp; Surface Analysis of NiTi TPMS Lattice Sections Fabricated by LPBF. Journal of Manufacturing Processes, 102:375–386, 2023.</w:t>
      </w:r>
    </w:p>
    <w:p>
      <w:pPr>
        <w:pStyle w:val="Heading1"/>
      </w:pPr>
      <w:r>
        <w:t xml:space="preserve">Additional Information</w:t>
      </w:r>
    </w:p>
    <w:p>
      <w:pPr>
        <w:spacing w:after="40"/>
      </w:pPr>
      <w:r>
        <w:rPr>
          <w:b/>
          <w:bCs/>
        </w:rPr>
        <w:t xml:space="preserve">Languages: </w:t>
      </w:r>
      <w:r>
        <w:t xml:space="preserve">English (Professional), Hindi (Native), Urdu (Native)</w:t>
      </w:r>
    </w:p>
    <w:p>
      <w:pPr>
        <w:spacing w:after="40"/>
      </w:pPr>
      <w:r>
        <w:rPr>
          <w:b/>
          <w:bCs/>
        </w:rPr>
        <w:t xml:space="preserve">Visa Status: </w:t>
      </w:r>
      <w:r>
        <w:t xml:space="preserve">UAE Residence Visa holder — available to interview immediately</w:t>
      </w:r>
    </w:p>
    <w:p>
      <w:pPr>
        <w:spacing w:after="0"/>
      </w:pPr>
      <w:r>
        <w:rPr>
          <w:b/>
          <w:bCs/>
        </w:rPr>
        <w:t xml:space="preserve">Profiles: </w:t>
      </w:r>
      <w:r>
        <w:t xml:space="preserve">github.com/drshahadathussain  |  researchgate.net/profile/Shahadat-Hussain  |  scholar.google.com/citations?user=tQNSWaAAAAAJ</w:t>
      </w:r>
    </w:p>
    <w:sectPr>
      <w:pgSz w:w="12240" w:h="15840" w:orient="portrait"/>
      <w:pgMar w:top="6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270" w:hanging="180"/>
      </w:pPr>
      <w:rPr>
        <w:rFonts w:ascii="Calibri" w:cs="Calibri" w:eastAsia="Calibri" w:hAnsi="Calibri"/>
        <w:color w:val="8900E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900E1" w:sz="8" w:space="4"/>
      </w:pBdr>
      <w:spacing w:after="70" w:before="140"/>
      <w:outlineLvl w:val="0"/>
    </w:pPr>
    <w:rPr>
      <w:rFonts w:ascii="Calibri" w:cs="Calibri" w:eastAsia="Calibri" w:hAnsi="Calibri"/>
      <w:b/>
      <w:bCs/>
      <w:caps/>
      <w:color w:val="57068C"/>
      <w:spacing w:val="2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2026-06-30T11:11:41.290Z</dcterms:created>
  <dcterms:modified xsi:type="dcterms:W3CDTF">2026-06-30T11:11:41.312Z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