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To replace a lost passport, report it right away.</w:t>
      </w:r>
    </w:p>
    <w:p>
      <w:r>
        <w:t>If you are inside the U.S., apply in person with Form DS-11.</w:t>
      </w:r>
    </w:p>
    <w:tbl>
      <w:tr>
        <w:tc>
          <w:p>
            <w:r>
              <w:t>Form</w:t>
            </w:r>
          </w:p>
        </w:tc>
        <w:tc>
          <w:p>
            <w:r>
              <w:t>Use</w:t>
            </w:r>
          </w:p>
        </w:tc>
      </w:tr>
      <w:tr>
        <w:tc>
          <w:p>
            <w:r>
              <w:t>DS-64</w:t>
            </w:r>
          </w:p>
        </w:tc>
        <w:tc>
          <w:p>
            <w:r>
              <w:t>Report loss</w:t>
            </w:r>
          </w:p>
        </w:tc>
      </w:tr>
    </w:tbl>
    <w:p>
      <w:r>
        <w:t>Once reported, the passport is invalidated.</w:t>
      </w:r>
    </w:p>
  </w:body>
</w:document>
</file>