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JPEG AI Forensic Pilot Interface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5B2D8E"/>
          <w:sz w:val="26"/>
          <w:szCs w:val="26"/>
        </w:rPr>
        <w:t xml:space="preserve">Installation Manual and Operational Manual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B6478"/>
          <w:sz w:val="20"/>
          <w:szCs w:val="20"/>
        </w:rPr>
        <w:t xml:space="preserve">Companion tool to: “Forensic Integrity and Tamper Localization in JPEG AI-Compressed Images: A Problem Formulation and Research Framework”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B6478"/>
          <w:sz w:val="18"/>
          <w:szCs w:val="18"/>
        </w:rPr>
        <w:t xml:space="preserve">Document version 1.0  ·  Interface build: single-file HTML, client-side only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Contents</w:t>
      </w:r>
    </w:p>
    <w:p>
      <w:pPr>
        <w:tabs>
          <w:tab w:val="right" w:pos="9216" w:leader="dot"/>
        </w:tabs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1. Overview</w:t>
      </w:r>
    </w:p>
    <w:p>
      <w:pPr>
        <w:tabs>
          <w:tab w:val="right" w:pos="9216" w:leader="dot"/>
        </w:tabs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2. Installation Manual</w:t>
      </w:r>
    </w:p>
    <w:p>
      <w:pPr>
        <w:tabs>
          <w:tab w:val="right" w:pos="9216" w:leader="dot"/>
        </w:tabs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3. Operational Manual</w:t>
      </w:r>
    </w:p>
    <w:p>
      <w:pPr>
        <w:tabs>
          <w:tab w:val="right" w:pos="9216" w:leader="dot"/>
        </w:tabs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4. Metric &amp; Control Reference</w:t>
      </w:r>
    </w:p>
    <w:p>
      <w:pPr>
        <w:tabs>
          <w:tab w:val="right" w:pos="9216" w:leader="dot"/>
        </w:tabs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5. Troubleshooting</w:t>
      </w:r>
    </w:p>
    <w:p>
      <w:pPr>
        <w:tabs>
          <w:tab w:val="right" w:pos="9216" w:leader="dot"/>
        </w:tabs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6. Appendix: Mapping to the Research Framework</w:t>
      </w:r>
    </w:p>
    <w:p>
      <w:pPr>
        <w:pStyle w:val="Heading1"/>
        <w:pBdr>
          <w:bottom w:val="single" w:color="1F3864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1. Overview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JPEG AI Forensic Pilot Interface is a self-contained, single-file web application that provides an interactive front end for the evaluation pipeline proposed in the companion research article. It implements the legitimate encode/decode path and the Class B (pixel-domain) threat branch of the dual-branch forensic framework described in that article — specifically Algorithm 1 (tamper-sample generation), Algorithm 2 (ELA-style pixel-only detection and localization), and Algorithm 3 (batch evaluation loop) — and exposes them through two working modes: a Single-Image Analysis mode for step-by-step inspection of one image, and a Batch Result-Set mode that reproduces the multi-image tables (Tables 1 and 2) from Section 5 of the article on any set of images the user supplies.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interface runs entirely inside the user's web browser. No image is uploaded to a server and no image data leaves the device it is opened on; all computation — JPEG-proxy encoding/decoding, tamper simulation, Error-Level-Analysis localization, and metric computation — executes locally using the HTML5 Canvas API.</w:t>
      </w:r>
    </w:p>
    <w:p>
      <w:pPr>
        <w:pBdr>
          <w:left w:val="single" w:color="C79A2E" w:sz="18"/>
        </w:pBdr>
        <w:shd w:fill="FFF6E6" w:val="clear"/>
        <w:spacing w:after="200" w:before="140" w:line="264"/>
        <w:ind w:left="21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Scope note: </w:t>
      </w:r>
      <w:r>
        <w:rPr>
          <w:rFonts w:ascii="Calibri" w:cs="Calibri" w:eastAsia="Calibri" w:hAnsi="Calibri"/>
          <w:sz w:val="22"/>
          <w:szCs w:val="22"/>
        </w:rPr>
        <w:t xml:space="preserve">As documented in the interface's own “Method &amp; Coverage Notes” tab, this tool uses the browser's built-in JPEG encoder as an explicitly labeled proxy for the JPEG AI analysis/synthesis transforms, because JPEG AI's learned codec cannot currently run inside a browser page. Class C (latent-domain) tampering and the latent-aware detector are therefore not implemented in this interface; see Section 6 of this manual and Section 5 of the article for the full rationale.</w:t>
      </w:r>
    </w:p>
    <w:p>
      <w:pPr>
        <w:pStyle w:val="Heading1"/>
        <w:pBdr>
          <w:bottom w:val="single" w:color="1F3864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2. Installation Manual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4C7C"/>
          <w:sz w:val="24"/>
          <w:szCs w:val="24"/>
        </w:rPr>
        <w:t xml:space="preserve">2.1 System Requirements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69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Minimum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Browser</w:t>
            </w:r>
          </w:p>
        </w:tc>
        <w:tc>
          <w:tcPr>
            <w:tcW w:type="dxa" w:w="6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current version of Chrome, Edge, Firefox, or Safari (released within the last ~2 years); JavaScript enabled</w:t>
            </w:r>
          </w:p>
        </w:tc>
      </w:tr>
      <w:tr>
        <w:tc>
          <w:tcPr>
            <w:tcW w:type="dxa" w:w="2600"/>
            <w:shd w:fill="F2F6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Operating system</w:t>
            </w:r>
          </w:p>
        </w:tc>
        <w:tc>
          <w:tcPr>
            <w:tcW w:type="dxa" w:w="6900"/>
            <w:shd w:fill="F2F6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Any OS capable of running one of the above browsers (Windows, macOS, Linux, iOS, Android)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Network access</w:t>
            </w:r>
          </w:p>
        </w:tc>
        <w:tc>
          <w:tcPr>
            <w:tcW w:type="dxa" w:w="6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None required after the file is obtained — the interface has no server component and makes no network calls</w:t>
            </w:r>
          </w:p>
        </w:tc>
      </w:tr>
      <w:tr>
        <w:tc>
          <w:tcPr>
            <w:tcW w:type="dxa" w:w="2600"/>
            <w:shd w:fill="F2F6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Disk space</w:t>
            </w:r>
          </w:p>
        </w:tc>
        <w:tc>
          <w:tcPr>
            <w:tcW w:type="dxa" w:w="6900"/>
            <w:shd w:fill="F2F6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&lt; 1 MB (single HTML file)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Screen size</w:t>
            </w:r>
          </w:p>
        </w:tc>
        <w:tc>
          <w:tcPr>
            <w:tcW w:type="dxa" w:w="6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Usable from 360 px width upward; a desktop-width screen (≥ 1024 px) is recommended for the four-panel image view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4C7C"/>
          <w:sz w:val="24"/>
          <w:szCs w:val="24"/>
        </w:rPr>
        <w:t xml:space="preserve">2.2 Option A — Use the Hosted Version</w:t>
      </w:r>
    </w:p>
    <w:p>
      <w:pPr>
        <w:spacing w:after="140" w:line="276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1 — Open the link. </w:t>
      </w:r>
      <w:r>
        <w:rPr>
          <w:rFonts w:ascii="Calibri" w:cs="Calibri" w:eastAsia="Calibri" w:hAnsi="Calibri"/>
          <w:sz w:val="22"/>
          <w:szCs w:val="22"/>
        </w:rPr>
        <w:t xml:space="preserve">Open the published interface link provided with this manual in any supported browser. No account, download, or configuration is required.</w:t>
      </w:r>
    </w:p>
    <w:p>
      <w:pPr>
        <w:spacing w:after="140" w:line="276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2 — Confirm it loaded. </w:t>
      </w:r>
      <w:r>
        <w:rPr>
          <w:rFonts w:ascii="Calibri" w:cs="Calibri" w:eastAsia="Calibri" w:hAnsi="Calibri"/>
          <w:sz w:val="22"/>
          <w:szCs w:val="22"/>
        </w:rPr>
        <w:t xml:space="preserve">The page header “🔍 JPEG AI Forensic Pilot Interface” and three tabs (Single-Image Analysis, Batch Result-Set, Method &amp; Coverage Notes) should be visible immediately. If they are not, see Section 5, Troubleshooting.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is the recommended installation method for most users: there is nothing to download, and the hosted copy always reflects the current build of the interface.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4C7C"/>
          <w:sz w:val="24"/>
          <w:szCs w:val="24"/>
        </w:rPr>
        <w:t xml:space="preserve">2.3 Option B — Local / Offline Installation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interface is distributed as a single self-contained HTML file (no external dependencies, stylesheets, or scripts are fetched over the network at runtime), so it can also be installed and run entirely offline.</w:t>
      </w:r>
    </w:p>
    <w:p>
      <w:pPr>
        <w:spacing w:after="140" w:line="276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1 — Obtain the file. </w:t>
      </w:r>
      <w:r>
        <w:rPr>
          <w:rFonts w:ascii="Calibri" w:cs="Calibri" w:eastAsia="Calibri" w:hAnsi="Calibri"/>
          <w:sz w:val="22"/>
          <w:szCs w:val="22"/>
        </w:rPr>
        <w:t xml:space="preserve">Download the file named jpeg_ai_forensic_pilot_interface.html supplied alongside this manual, and save it anywhere on the local filesystem (e.g., Desktop or a project folder).</w:t>
      </w:r>
    </w:p>
    <w:p>
      <w:pPr>
        <w:spacing w:after="140" w:line="276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2 — Open it directly. </w:t>
      </w:r>
      <w:r>
        <w:rPr>
          <w:rFonts w:ascii="Calibri" w:cs="Calibri" w:eastAsia="Calibri" w:hAnsi="Calibri"/>
          <w:sz w:val="22"/>
          <w:szCs w:val="22"/>
        </w:rPr>
        <w:t xml:space="preserve">Double-click the file, or right-click it and choose “Open with” → your browser. Most operating systems open .html files in the default browser automatically. The address bar will show a file:// URL.</w:t>
      </w:r>
    </w:p>
    <w:p>
      <w:pPr>
        <w:spacing w:after="140" w:line="276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3 — (Optional) Serve it from a local web server. </w:t>
      </w:r>
      <w:r>
        <w:rPr>
          <w:rFonts w:ascii="Calibri" w:cs="Calibri" w:eastAsia="Calibri" w:hAnsi="Calibri"/>
          <w:sz w:val="22"/>
          <w:szCs w:val="22"/>
        </w:rPr>
        <w:t xml:space="preserve">Some browsers apply stricter file:// permissions than http(s):// permissions to certain page features. If any control appears unresponsive when opened directly as a file, serve the folder containing the HTML file with a minimal local web server instead, for example: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Python 3 (any OS with Python installed):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cd /path/to/folder/containing/the/file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python3 -m http.server 8000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then open http://localhost:8000/jpeg_ai_forensic_pilot_interface.html</w:t>
      </w:r>
    </w:p>
    <w:p>
      <w:pPr>
        <w:spacing w:after="140" w:line="276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4 — Verify. </w:t>
      </w:r>
      <w:r>
        <w:rPr>
          <w:rFonts w:ascii="Calibri" w:cs="Calibri" w:eastAsia="Calibri" w:hAnsi="Calibri"/>
          <w:sz w:val="22"/>
          <w:szCs w:val="22"/>
        </w:rPr>
        <w:t xml:space="preserve">Confirm the three tabs render and the Method &amp; Coverage Notes tab displays the equations and coverage diagram correctly (see Section 2.4).</w:t>
      </w:r>
    </w:p>
    <w:p>
      <w:pPr>
        <w:pBdr>
          <w:left w:val="single" w:color="C79A2E" w:sz="18"/>
        </w:pBdr>
        <w:shd w:fill="FFF6E6" w:val="clear"/>
        <w:spacing w:after="200" w:before="140" w:line="264"/>
        <w:ind w:left="21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build step: </w:t>
      </w:r>
      <w:r>
        <w:rPr>
          <w:rFonts w:ascii="Calibri" w:cs="Calibri" w:eastAsia="Calibri" w:hAnsi="Calibri"/>
          <w:sz w:val="22"/>
          <w:szCs w:val="22"/>
        </w:rPr>
        <w:t xml:space="preserve">There is no compilation, package installation, or dependency resolution step. The file is plain HTML, CSS, and JavaScript and can be archived, emailed, or version-controlled as a single artifact.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4C7C"/>
          <w:sz w:val="24"/>
          <w:szCs w:val="24"/>
        </w:rPr>
        <w:t xml:space="preserve">2.4 Verifying the Installation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After opening the interface by either method, perform this quick check before proceeding to normal use:</w:t>
      </w:r>
    </w:p>
    <w:p>
      <w:pPr>
        <w:spacing w:after="90" w:line="264"/>
        <w:ind w:left="576" w:hanging="288"/>
      </w:pPr>
      <w:r>
        <w:rPr>
          <w:rFonts w:ascii="Calibri" w:cs="Calibri" w:eastAsia="Calibri" w:hAnsi="Calibri"/>
          <w:sz w:val="22"/>
          <w:szCs w:val="22"/>
        </w:rPr>
        <w:t xml:space="preserve">•  Click each of the three tabs (Single-Image Analysis, Batch Result-Set, Method &amp; Coverage Notes) and confirm each renders without a blank panel.</w:t>
      </w:r>
    </w:p>
    <w:p>
      <w:pPr>
        <w:spacing w:after="90" w:line="264"/>
        <w:ind w:left="576" w:hanging="288"/>
      </w:pPr>
      <w:r>
        <w:rPr>
          <w:rFonts w:ascii="Calibri" w:cs="Calibri" w:eastAsia="Calibri" w:hAnsi="Calibri"/>
          <w:sz w:val="22"/>
          <w:szCs w:val="22"/>
        </w:rPr>
        <w:t xml:space="preserve">•  On the Single-Image Analysis tab, confirm the “Run Pipeline” button is present but disabled (grayed out) until an image is chosen — this confirms the page's script has initialized correctly.</w:t>
      </w:r>
    </w:p>
    <w:p>
      <w:pPr>
        <w:spacing w:after="90" w:line="264"/>
        <w:ind w:left="576" w:hanging="288"/>
      </w:pPr>
      <w:r>
        <w:rPr>
          <w:rFonts w:ascii="Calibri" w:cs="Calibri" w:eastAsia="Calibri" w:hAnsi="Calibri"/>
          <w:sz w:val="22"/>
          <w:szCs w:val="22"/>
        </w:rPr>
        <w:t xml:space="preserve">•  Open the browser's developer console (F12 or Ctrl+Shift+I / Cmd+Option+I) and confirm no red error messages appear on page load.</w:t>
      </w:r>
    </w:p>
    <w:p>
      <w:pPr>
        <w:spacing w:after="60" w:before="160"/>
        <w:jc w:val="center"/>
      </w:pPr>
      <w:r>
        <w:drawing>
          <wp:inline distT="0" distB="0" distL="0" distR="0">
            <wp:extent cx="5120640" cy="312039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Fig. A  Single-Image Analysis tab immediately after a successful installation (no image loaded yet).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4C7C"/>
          <w:sz w:val="24"/>
          <w:szCs w:val="24"/>
        </w:rPr>
        <w:t xml:space="preserve">2.5 Troubleshooting Installation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600"/>
      </w:tblGrid>
      <w:tr>
        <w:trPr>
          <w:tblHeader/>
        </w:trPr>
        <w:tc>
          <w:tcPr>
            <w:tcW w:type="dxa" w:w="29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66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Likely cause / fix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Page is blank / all-white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JavaScript is disabled in the browser, or the page is being viewed inside a restrictive in-app browser (some corporate or mobile-app webviews block Canvas APIs). Open in a standard desktop or mobile browser.</w:t>
            </w:r>
          </w:p>
        </w:tc>
      </w:tr>
      <w:tr>
        <w:tc>
          <w:tcPr>
            <w:tcW w:type="dxa" w:w="2900"/>
            <w:shd w:fill="F2F6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“Choose File” control does nothing</w:t>
            </w:r>
          </w:p>
        </w:tc>
        <w:tc>
          <w:tcPr>
            <w:tcW w:type="dxa" w:w="6600"/>
            <w:shd w:fill="F2F6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Rare in modern browsers; try Option B (serve via local HTTP server) instead of opening the file directly.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Layout looks broken / unstyled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HTML file was altered or only partially downloaded. Re-download the original single file; do not edit it unless you intend to.</w:t>
            </w:r>
          </w:p>
        </w:tc>
      </w:tr>
      <w:tr>
        <w:tc>
          <w:tcPr>
            <w:tcW w:type="dxa" w:w="2900"/>
            <w:shd w:fill="F2F6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Console shows a red error immediately on load</w:t>
            </w:r>
          </w:p>
        </w:tc>
        <w:tc>
          <w:tcPr>
            <w:tcW w:type="dxa" w:w="6600"/>
            <w:shd w:fill="F2F6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Take a screenshot of the console and consult Section 5 of this manual (Troubleshooting — Operation).</w:t>
            </w:r>
          </w:p>
        </w:tc>
      </w:tr>
    </w:tbl>
    <w:p>
      <w:pPr>
        <w:pStyle w:val="Heading1"/>
        <w:pBdr>
          <w:bottom w:val="single" w:color="1F3864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3. Operational Manual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4C7C"/>
          <w:sz w:val="24"/>
          <w:szCs w:val="24"/>
        </w:rPr>
        <w:t xml:space="preserve">3.1 Interface Layout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interface is organized into three tabs, selected with the buttons at the top of the page:</w:t>
      </w:r>
    </w:p>
    <w:p>
      <w:pPr>
        <w:spacing w:after="90" w:line="264"/>
        <w:ind w:left="576" w:hanging="288"/>
      </w:pPr>
      <w:r>
        <w:rPr>
          <w:rFonts w:ascii="Calibri" w:cs="Calibri" w:eastAsia="Calibri" w:hAnsi="Calibri"/>
          <w:sz w:val="22"/>
          <w:szCs w:val="22"/>
        </w:rPr>
        <w:t xml:space="preserve">•  Single-Image Analysis — upload one image (and, optionally, a donor image), configure three parameters, and run the full Algorithm 1 → Algorithm 2 pipeline on it interactively, with all four intermediate images and six metrics displayed.</w:t>
      </w:r>
    </w:p>
    <w:p>
      <w:pPr>
        <w:spacing w:after="90" w:line="264"/>
        <w:ind w:left="576" w:hanging="288"/>
      </w:pPr>
      <w:r>
        <w:rPr>
          <w:rFonts w:ascii="Calibri" w:cs="Calibri" w:eastAsia="Calibri" w:hAnsi="Calibri"/>
          <w:sz w:val="22"/>
          <w:szCs w:val="22"/>
        </w:rPr>
        <w:t xml:space="preserve">•  Batch Result-Set — upload a set of 2–40 images and run Algorithm 3 across all of them automatically, producing a results table equivalent to Tables 1–2 of the companion article, exportable as CSV or JSON.</w:t>
      </w:r>
    </w:p>
    <w:p>
      <w:pPr>
        <w:spacing w:after="90" w:line="264"/>
        <w:ind w:left="576" w:hanging="288"/>
      </w:pPr>
      <w:r>
        <w:rPr>
          <w:rFonts w:ascii="Calibri" w:cs="Calibri" w:eastAsia="Calibri" w:hAnsi="Calibri"/>
          <w:sz w:val="22"/>
          <w:szCs w:val="22"/>
        </w:rPr>
        <w:t xml:space="preserve">•  Method &amp; Coverage Notes — a static reference tab explaining exactly which parts of the full research framework this interface implements, which equations are used where, and the interface's known limitations.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4C7C"/>
          <w:sz w:val="24"/>
          <w:szCs w:val="24"/>
        </w:rPr>
        <w:t xml:space="preserve">3.2 Single-Image Analysis Mode</w:t>
      </w:r>
    </w:p>
    <w:p>
      <w:pPr>
        <w:spacing w:after="140" w:line="276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1 — Load the target image. </w:t>
      </w:r>
      <w:r>
        <w:rPr>
          <w:rFonts w:ascii="Calibri" w:cs="Calibri" w:eastAsia="Calibri" w:hAnsi="Calibri"/>
          <w:sz w:val="22"/>
          <w:szCs w:val="22"/>
        </w:rPr>
        <w:t xml:space="preserve">Click “Choose File” under “Image x (required)” and select any image file (JPEG, PNG, WebP, etc.). The image is automatically resized and center-cropped to a 256×256 square, matching the pilot protocol in Section 5 of the article, and appears in panel (a).</w:t>
      </w:r>
    </w:p>
    <w:p>
      <w:pPr>
        <w:spacing w:after="140" w:line="276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2 — (Optional) Load a donor image. </w:t>
      </w:r>
      <w:r>
        <w:rPr>
          <w:rFonts w:ascii="Calibri" w:cs="Calibri" w:eastAsia="Calibri" w:hAnsi="Calibri"/>
          <w:sz w:val="22"/>
          <w:szCs w:val="22"/>
        </w:rPr>
        <w:t xml:space="preserve">Click “Choose File” under “Donor image x_d (optional)” and select a second image. The donor supplies the patch that will be spliced into the target to simulate tampering. If no donor is supplied, the interface automatically generates a synthetic gradient/blob donor image so the pipeline can still run.</w:t>
      </w:r>
    </w:p>
    <w:p>
      <w:pPr>
        <w:spacing w:after="140" w:line="276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3 — Set the three parameters. </w:t>
      </w:r>
      <w:r>
        <w:rPr>
          <w:rFonts w:ascii="Calibri" w:cs="Calibri" w:eastAsia="Calibri" w:hAnsi="Calibri"/>
          <w:sz w:val="22"/>
          <w:szCs w:val="22"/>
        </w:rPr>
        <w:t xml:space="preserve">Adjust the sliders as needed (see Section 4, Metric &amp; Control Reference, for the meaning and recommended range of each): JPEG-proxy quality q, tamper patch fraction p, and ELA threshold percentile τ.</w:t>
      </w:r>
    </w:p>
    <w:p>
      <w:pPr>
        <w:spacing w:after="140" w:line="276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4 — (Optional) Lock the random seed. </w:t>
      </w:r>
      <w:r>
        <w:rPr>
          <w:rFonts w:ascii="Calibri" w:cs="Calibri" w:eastAsia="Calibri" w:hAnsi="Calibri"/>
          <w:sz w:val="22"/>
          <w:szCs w:val="22"/>
        </w:rPr>
        <w:t xml:space="preserve">Tick “Lock random seed” if you want the tamper patch to be placed at the same location on repeated runs (useful for isolating the effect of changing q, p, or τ without also changing the tamper location).</w:t>
      </w:r>
    </w:p>
    <w:p>
      <w:pPr>
        <w:spacing w:after="140" w:line="276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5 — Run the pipeline. </w:t>
      </w:r>
      <w:r>
        <w:rPr>
          <w:rFonts w:ascii="Calibri" w:cs="Calibri" w:eastAsia="Calibri" w:hAnsi="Calibri"/>
          <w:sz w:val="22"/>
          <w:szCs w:val="22"/>
        </w:rPr>
        <w:t xml:space="preserve">Click “Run Pipeline (Algorithms 1–2)”. The button disables briefly while the pipeline executes (typically under one second for a 256×256 image); a status line beneath the button reports progress and completion.</w:t>
      </w:r>
    </w:p>
    <w:p>
      <w:pPr>
        <w:spacing w:after="140" w:line="276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6 — Read the results. </w:t>
      </w:r>
      <w:r>
        <w:rPr>
          <w:rFonts w:ascii="Calibri" w:cs="Calibri" w:eastAsia="Calibri" w:hAnsi="Calibri"/>
          <w:sz w:val="22"/>
          <w:szCs w:val="22"/>
        </w:rPr>
        <w:t xml:space="preserve">Four images update: (a) the decoded (proxy-compressed) image, (b) the same image after a Class B splice tamper and re-encoding, (c) the ground-truth tamper mask, and (d) the mask predicted by the ELA-style detector. Six metric tiles below report PSNR, estimated bitrate, post-tamper PSNR, precision, recall, and F1/IoU.</w:t>
      </w:r>
    </w:p>
    <w:p>
      <w:pPr>
        <w:spacing w:after="60" w:before="160"/>
        <w:jc w:val="center"/>
      </w:pPr>
      <w:r>
        <w:drawing>
          <wp:inline distT="0" distB="0" distL="0" distR="0">
            <wp:extent cx="5760720" cy="351043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1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Fig. B  A completed Single-Image Analysis run: panels (a)–(d) and all six metric tiles are populated.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Re-running with different slider values (without re-choosing files) immediately produces a new result using the same loaded images — this is the fastest way to explore how quality, patch size, and threshold affect PSNR and localization accuracy.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4C7C"/>
          <w:sz w:val="24"/>
          <w:szCs w:val="24"/>
        </w:rPr>
        <w:t xml:space="preserve">3.3 Batch Result-Set Mode</w:t>
      </w:r>
    </w:p>
    <w:p>
      <w:pPr>
        <w:spacing w:after="140" w:line="276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1 — Select multiple images. </w:t>
      </w:r>
      <w:r>
        <w:rPr>
          <w:rFonts w:ascii="Calibri" w:cs="Calibri" w:eastAsia="Calibri" w:hAnsi="Calibri"/>
          <w:sz w:val="22"/>
          <w:szCs w:val="22"/>
        </w:rPr>
        <w:t xml:space="preserve">On the Batch Result-Set tab, click “Choose Files” and select between 2 and 40 image files at once (most file pickers support multi-select with Ctrl/Cmd-click or Shift-click). The “Run Batch” button enables once at least 2 files are selected.</w:t>
      </w:r>
    </w:p>
    <w:p>
      <w:pPr>
        <w:spacing w:after="140" w:line="276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2 — Set shared parameters. </w:t>
      </w:r>
      <w:r>
        <w:rPr>
          <w:rFonts w:ascii="Calibri" w:cs="Calibri" w:eastAsia="Calibri" w:hAnsi="Calibri"/>
          <w:sz w:val="22"/>
          <w:szCs w:val="22"/>
        </w:rPr>
        <w:t xml:space="preserve">The same three parameters (q, p, τ) apply to every image in the batch; adjust them before running if the defaults are not appropriate.</w:t>
      </w:r>
    </w:p>
    <w:p>
      <w:pPr>
        <w:spacing w:after="140" w:line="276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3 — Run the batch. </w:t>
      </w:r>
      <w:r>
        <w:rPr>
          <w:rFonts w:ascii="Calibri" w:cs="Calibri" w:eastAsia="Calibri" w:hAnsi="Calibri"/>
          <w:sz w:val="22"/>
          <w:szCs w:val="22"/>
        </w:rPr>
        <w:t xml:space="preserve">Click “Run Batch (Algorithm 3)”. Each image is processed in turn — used once as the tamper target and, for another image in the set, as the donor — following the pairing scheme of Algorithm 3. The status line reports progress (e.g., “Processing 4/6”).</w:t>
      </w:r>
    </w:p>
    <w:p>
      <w:pPr>
        <w:spacing w:after="140" w:line="276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4 — Review the table. </w:t>
      </w:r>
      <w:r>
        <w:rPr>
          <w:rFonts w:ascii="Calibri" w:cs="Calibri" w:eastAsia="Calibri" w:hAnsi="Calibri"/>
          <w:sz w:val="22"/>
          <w:szCs w:val="22"/>
        </w:rPr>
        <w:t xml:space="preserve">On completion, a table appears with one row per image (PSNR, bitrate, post-tamper PSNR, F1, IoU) and a bolded Average row, directly analogous to Tables 1 and 2 in the companion article.</w:t>
      </w:r>
    </w:p>
    <w:p>
      <w:pPr>
        <w:spacing w:after="60" w:before="160"/>
        <w:jc w:val="center"/>
      </w:pPr>
      <w:r>
        <w:drawing>
          <wp:inline distT="0" distB="0" distL="0" distR="0">
            <wp:extent cx="5760720" cy="396949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6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Fig. C  A completed Batch Result-Set run on six sample images, with the automatically computed Average row.</w:t>
      </w:r>
    </w:p>
    <w:p>
      <w:pPr>
        <w:spacing w:after="140" w:line="276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5 — Export the results. </w:t>
      </w:r>
      <w:r>
        <w:rPr>
          <w:rFonts w:ascii="Calibri" w:cs="Calibri" w:eastAsia="Calibri" w:hAnsi="Calibri"/>
          <w:sz w:val="22"/>
          <w:szCs w:val="22"/>
        </w:rPr>
        <w:t xml:space="preserve">Click “Download CSV” or “Download JSON” to save the full result set to a file, which the browser (or, in the Claude app, a confirmation dialog) will prompt you to save. The CSV format matches the column layout of the on-screen table; the JSON format additionally includes the three parameter values used for the run.</w:t>
      </w:r>
    </w:p>
    <w:p>
      <w:pPr>
        <w:pBdr>
          <w:left w:val="single" w:color="C79A2E" w:sz="18"/>
        </w:pBdr>
        <w:shd w:fill="FFF6E6" w:val="clear"/>
        <w:spacing w:after="200" w:before="140" w:line="264"/>
        <w:ind w:left="21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Batch size guidance: </w:t>
      </w:r>
      <w:r>
        <w:rPr>
          <w:rFonts w:ascii="Calibri" w:cs="Calibri" w:eastAsia="Calibri" w:hAnsi="Calibri"/>
          <w:sz w:val="22"/>
          <w:szCs w:val="22"/>
        </w:rPr>
        <w:t xml:space="preserve">Processing time scales roughly linearly with the number of images (each involves two proxy encode/decode passes). Forty 256×256 images typically complete in well under a minute on a modern laptop; very large batches on low-power devices may take longer.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4C7C"/>
          <w:sz w:val="24"/>
          <w:szCs w:val="24"/>
        </w:rPr>
        <w:t xml:space="preserve">3.4 Method &amp; Coverage Notes Tab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tab is read-only reference material and requires no interaction. It displays a compact diagram of which stages of the full research framework this interface covers (highlighted in green) versus does not cover (highlighted in red — Class C latent-domain tampering and the latent-aware detector), restates the three equations the interface uses internally (PSNR, the ELA difference/threshold operator, and the F1/IoU formulas), and lists the interface's known limitations in plain language.</w:t>
      </w:r>
    </w:p>
    <w:p>
      <w:pPr>
        <w:spacing w:after="60" w:before="160"/>
        <w:jc w:val="center"/>
      </w:pPr>
      <w:r>
        <w:drawing>
          <wp:inline distT="0" distB="0" distL="0" distR="0">
            <wp:extent cx="5760720" cy="405050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5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Fig. D  The Method &amp; Coverage Notes tab, showing the implemented-vs-not-implemented coverage diagram.</w:t>
      </w:r>
    </w:p>
    <w:p>
      <w:pPr>
        <w:pStyle w:val="Heading1"/>
        <w:pBdr>
          <w:bottom w:val="single" w:color="1F3864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4. Metric &amp; Control Reference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4C7C"/>
          <w:sz w:val="24"/>
          <w:szCs w:val="24"/>
        </w:rPr>
        <w:t xml:space="preserve">4.1 Controls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5300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Range / default</w:t>
            </w:r>
          </w:p>
        </w:tc>
        <w:tc>
          <w:tcPr>
            <w:tcW w:type="dxa" w:w="53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JPEG-proxy quality q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10–95, default 75</w:t>
            </w:r>
          </w:p>
        </w:tc>
        <w:tc>
          <w:tcPr>
            <w:tcW w:type="dxa" w:w="5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Sets the quality parameter passed to the browser's JPEG encoder, standing in for the JPEG AI rate-point λ. Lower q → lower bitrate and lower PSNR; higher q → higher bitrate and higher PSNR.</w:t>
            </w:r>
          </w:p>
        </w:tc>
      </w:tr>
      <w:tr>
        <w:tc>
          <w:tcPr>
            <w:tcW w:type="dxa" w:w="2300"/>
            <w:shd w:fill="F2F6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Tamper patch fraction p</w:t>
            </w:r>
          </w:p>
        </w:tc>
        <w:tc>
          <w:tcPr>
            <w:tcW w:type="dxa" w:w="1900"/>
            <w:shd w:fill="F2F6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0.05–0.40, default 0.18</w:t>
            </w:r>
          </w:p>
        </w:tc>
        <w:tc>
          <w:tcPr>
            <w:tcW w:type="dxa" w:w="5300"/>
            <w:shd w:fill="F2F6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Fraction of the 256×256 image's linear dimension used as the side length of the square splice patch (Algorithm 1). Larger p → larger, generally easier-to-localize tampered region.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ELA threshold percentile τ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80–99, default 92</w:t>
            </w:r>
          </w:p>
        </w:tc>
        <w:tc>
          <w:tcPr>
            <w:tcW w:type="dxa" w:w="5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Percentile of the per-pixel ELA difference map (Eq. 6) above which a pixel is classified as tampered. Lower τ → more pixels flagged (higher recall, lower precision, typically); higher τ → fewer pixels flagged (higher precision, lower recall).</w:t>
            </w:r>
          </w:p>
        </w:tc>
      </w:tr>
      <w:tr>
        <w:tc>
          <w:tcPr>
            <w:tcW w:type="dxa" w:w="2300"/>
            <w:shd w:fill="F2F6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Lock random seed</w:t>
            </w:r>
          </w:p>
        </w:tc>
        <w:tc>
          <w:tcPr>
            <w:tcW w:type="dxa" w:w="1900"/>
            <w:shd w:fill="F2F6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off / on</w:t>
            </w:r>
          </w:p>
        </w:tc>
        <w:tc>
          <w:tcPr>
            <w:tcW w:type="dxa" w:w="5300"/>
            <w:shd w:fill="F2F6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When on, fixes the pseudorandom seed controlling the tamper patch location and the donor-patch source location, for reproducible single-image runs.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4C7C"/>
          <w:sz w:val="24"/>
          <w:szCs w:val="24"/>
        </w:rPr>
        <w:t xml:space="preserve">4.2 Metrics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00"/>
        <w:gridCol w:w="48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3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Equation</w:t>
            </w:r>
          </w:p>
        </w:tc>
        <w:tc>
          <w:tcPr>
            <w:tcW w:type="dxa" w:w="48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PSNR (x, x̂)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Eq. (4)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Reconstruction fidelity of the single-pass proxy compression, in dB. Higher is better; typical range in the pilot study was 30–49 dB at q = 75.</w:t>
            </w:r>
          </w:p>
        </w:tc>
      </w:tr>
      <w:tr>
        <w:tc>
          <w:tcPr>
            <w:tcW w:type="dxa" w:w="2400"/>
            <w:shd w:fill="F2F6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Bitrate (bpp)</w:t>
            </w:r>
          </w:p>
        </w:tc>
        <w:tc>
          <w:tcPr>
            <w:tcW w:type="dxa" w:w="2300"/>
            <w:shd w:fill="F2F6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 (bytes × 8 / pixels)</w:t>
            </w:r>
          </w:p>
        </w:tc>
        <w:tc>
          <w:tcPr>
            <w:tcW w:type="dxa" w:w="4800"/>
            <w:shd w:fill="F2F6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Approximate bits-per-pixel of the proxy-compressed image, estimated from the encoded data size.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PSNR after tamper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Eq. (4), applied post-splice + re-encode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Fidelity of the tampered-and-re-encoded image relative to the untampered decoded image; always lower than the single-pass PSNR.</w:t>
            </w:r>
          </w:p>
        </w:tc>
      </w:tr>
      <w:tr>
        <w:tc>
          <w:tcPr>
            <w:tcW w:type="dxa" w:w="2400"/>
            <w:shd w:fill="F2F6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Precision / Recall</w:t>
            </w:r>
          </w:p>
        </w:tc>
        <w:tc>
          <w:tcPr>
            <w:tcW w:type="dxa" w:w="2300"/>
            <w:shd w:fill="F2F6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Eq. (9)</w:t>
            </w:r>
          </w:p>
        </w:tc>
        <w:tc>
          <w:tcPr>
            <w:tcW w:type="dxa" w:w="4800"/>
            <w:shd w:fill="F2F6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Pixel-level precision and recall of the predicted tamper mask against the ground-truth mask.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F1 / IoU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Eq. (9)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Combined localization-accuracy metrics; F1 is the harmonic mean of precision and recall, IoU is intersection-over-union of predicted and ground-truth masks. Both range 0–1 (higher is better).</w:t>
            </w:r>
          </w:p>
        </w:tc>
      </w:tr>
    </w:tbl>
    <w:p>
      <w:pPr>
        <w:pStyle w:val="Heading1"/>
        <w:pBdr>
          <w:bottom w:val="single" w:color="1F3864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5. Troubleshooting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600"/>
      </w:tblGrid>
      <w:tr>
        <w:trPr>
          <w:tblHeader/>
        </w:trPr>
        <w:tc>
          <w:tcPr>
            <w:tcW w:type="dxa" w:w="29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66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Likely cause / fix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“Run Pipeline” stays disabled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target image (x) has been chosen yet — the button only enables after “Image x” is loaded successfully. Confirm the filename appears next to the “Choose File” button.</w:t>
            </w:r>
          </w:p>
        </w:tc>
      </w:tr>
      <w:tr>
        <w:tc>
          <w:tcPr>
            <w:tcW w:type="dxa" w:w="2900"/>
            <w:shd w:fill="F2F6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Results look identical across two runs</w:t>
            </w:r>
          </w:p>
        </w:tc>
        <w:tc>
          <w:tcPr>
            <w:tcW w:type="dxa" w:w="6600"/>
            <w:shd w:fill="F2F6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“Lock random seed” is ticked — untick it to get a new random tamper location, or intentionally keep it ticked when isolating the effect of q, p, or τ.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F1 / IoU are consistently very low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This matches the article's own findings (Section 5.2): the simple percentile-based ELA baseline is intentionally a weak detector, achieving mean F1 ≈ 0.07 in the reference pilot study. Very low scores are expected behavior, not a malfunction — see Section 3.4 and the article's Section 6 for why this motivates the learned detectors proposed in the framework.</w:t>
            </w:r>
          </w:p>
        </w:tc>
      </w:tr>
      <w:tr>
        <w:tc>
          <w:tcPr>
            <w:tcW w:type="dxa" w:w="2900"/>
            <w:shd w:fill="F2F6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“Run Batch” stays disabled</w:t>
            </w:r>
          </w:p>
        </w:tc>
        <w:tc>
          <w:tcPr>
            <w:tcW w:type="dxa" w:w="6600"/>
            <w:shd w:fill="F2F6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Fewer than 2 files are selected. Select at least 2 images (multi-select in the file picker).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Download button does nothing / no file appears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 some hosting contexts the built-in save capability may be unavailable; the interface automatically falls back to a standard browser download in that case. Check the browser's default downloads folder, and check for a blocked-popup or blocked-download notice in the address bar.</w:t>
            </w:r>
          </w:p>
        </w:tc>
      </w:tr>
      <w:tr>
        <w:tc>
          <w:tcPr>
            <w:tcW w:type="dxa" w:w="2900"/>
            <w:shd w:fill="F2F6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Batch run is slow or the tab becomes unresponsive</w:t>
            </w:r>
          </w:p>
        </w:tc>
        <w:tc>
          <w:tcPr>
            <w:tcW w:type="dxa" w:w="6600"/>
            <w:shd w:fill="F2F6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Very large batches (close to the 40-image limit) or very large source images increase processing time. Wait for the status line to report completion; avoid closing the tab mid-run.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Images appear stretched or oddly cropped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This is expected: every uploaded image is center-cropped to a 256×256 square (“cover” fit) to match the fixed-size pilot protocol used throughout the companion article, so non-square source images will lose some content at the top/bottom or left/right edges.</w:t>
            </w:r>
          </w:p>
        </w:tc>
      </w:tr>
    </w:tbl>
    <w:p>
      <w:pPr>
        <w:pStyle w:val="Heading1"/>
        <w:pBdr>
          <w:bottom w:val="single" w:color="1F3864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6. Appendix: Mapping to the Research Framework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appendix cross-references interface elements to the corresponding equations, algorithms, and sections of the companion article, for readers who want to relate what they see on screen to the formal framework.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0"/>
      </w:tblGrid>
      <w:tr>
        <w:trPr>
          <w:tblHeader/>
        </w:trPr>
        <w:tc>
          <w:tcPr>
            <w:tcW w:type="dxa" w:w="38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Interface element</w:t>
            </w:r>
          </w:p>
        </w:tc>
        <w:tc>
          <w:tcPr>
            <w:tcW w:type="dxa" w:w="57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Article reference</w:t>
            </w:r>
          </w:p>
        </w:tc>
      </w:tr>
      <w:t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Proxy compression of the target image (panel a)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Eq. (1)–(2), analysis/synthesis transforms g_a, g_s, with the browser JPEG encoder substituted as described in Section 5</w:t>
            </w:r>
          </w:p>
        </w:tc>
      </w:tr>
      <w:tr>
        <w:tc>
          <w:tcPr>
            <w:tcW w:type="dxa" w:w="3800"/>
            <w:shd w:fill="F2F6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“PSNR (x, x̂)” metric tile</w:t>
            </w:r>
          </w:p>
        </w:tc>
        <w:tc>
          <w:tcPr>
            <w:tcW w:type="dxa" w:w="5700"/>
            <w:shd w:fill="F2F6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Eq. (4)</w:t>
            </w:r>
          </w:p>
        </w:tc>
      </w:tr>
      <w:t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Class B splice tamper (panel b)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Algorithm 1, threat Class B, Section 4.3</w:t>
            </w:r>
          </w:p>
        </w:tc>
      </w:tr>
      <w:tr>
        <w:tc>
          <w:tcPr>
            <w:tcW w:type="dxa" w:w="3800"/>
            <w:shd w:fill="F2F6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Ground-truth mask (panel c)</w:t>
            </w:r>
          </w:p>
        </w:tc>
        <w:tc>
          <w:tcPr>
            <w:tcW w:type="dxa" w:w="5700"/>
            <w:shd w:fill="F2F6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Mask M produced by Algorithm 1</w:t>
            </w:r>
          </w:p>
        </w:tc>
      </w:tr>
      <w:t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ELA-style predicted mask (panel d)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Eq. (6); D_pix baseline, Section 4.5</w:t>
            </w:r>
          </w:p>
        </w:tc>
      </w:tr>
      <w:tr>
        <w:tc>
          <w:tcPr>
            <w:tcW w:type="dxa" w:w="3800"/>
            <w:shd w:fill="F2F6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Precision / Recall / F1 / IoU tiles</w:t>
            </w:r>
          </w:p>
        </w:tc>
        <w:tc>
          <w:tcPr>
            <w:tcW w:type="dxa" w:w="5700"/>
            <w:shd w:fill="F2F6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Eq. (9)</w:t>
            </w:r>
          </w:p>
        </w:tc>
      </w:tr>
      <w:t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Batch Result-Set table and Average row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Algorithm 3; Tables 1–2, Section 5</w:t>
            </w:r>
          </w:p>
        </w:tc>
      </w:tr>
      <w:tr>
        <w:tc>
          <w:tcPr>
            <w:tcW w:type="dxa" w:w="3800"/>
            <w:shd w:fill="F2F6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CSV / JSON export</w:t>
            </w:r>
          </w:p>
        </w:tc>
        <w:tc>
          <w:tcPr>
            <w:tcW w:type="dxa" w:w="5700"/>
            <w:shd w:fill="F2F6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Machine-readable form of the same result set reported in Tables 1–2</w:t>
            </w:r>
          </w:p>
        </w:tc>
      </w:tr>
      <w:tr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“Not implemented” items on the Method tab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Class C latent-domain tamper (Eq. 5); latent-aware detector D_lat and dual-branch fusion (Eq. 7–8) — out of scope for a browser-only tool, per Section 4.5 and Section 6 of the article</w:t>
            </w:r>
          </w:p>
        </w:tc>
      </w:tr>
    </w:tbl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For the full mathematical formulation, threat model, dataset-construction protocol, and discussion of expected outcomes, see the companion article, Sections 3–6.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808080"/>
        <w:sz w:val="16"/>
        <w:szCs w:val="16"/>
      </w:rPr>
      <w:t xml:space="preserve">JPEG AI Forensic Pilot Interface —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1F3864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2E4C7C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63e53ec0324d58977f2a39d9fc0b071fe3fedbb.png"/><Relationship Id="rId10" Type="http://schemas.openxmlformats.org/officeDocument/2006/relationships/image" Target="media/2aa8a130adad9f185a320225ae37c713e65d6fcd.png"/><Relationship Id="rId11" Type="http://schemas.openxmlformats.org/officeDocument/2006/relationships/image" Target="media/e2226484cb6b490e35edb02229ff3e634d518bf9.png"/><Relationship Id="rId12" Type="http://schemas.openxmlformats.org/officeDocument/2006/relationships/image" Target="media/7e1f5c3e5062a406c3a0beeb841e4e8dec46839e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2026-09-14T12:09:59.018Z</dcterms:created>
  <dcterms:modified xsi:type="dcterms:W3CDTF">2026-09-14T12:09:59.018Z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