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C9A961"/>
          <w:spacing w:val="50"/>
          <w:sz w:val="22"/>
          <w:szCs w:val="22"/>
        </w:rPr>
        <w:t xml:space="preserve">BIO 004 · HUMAN ANATOMY</w:t>
      </w:r>
    </w:p>
    <w:p>
      <w:pPr>
        <w:spacing w:after="0" w:before="0"/>
        <w:jc w:val="center"/>
      </w:pPr>
      <w:r>
        <w:rPr>
          <w:rFonts w:ascii="Arial" w:cs="Arial" w:eastAsia="Arial" w:hAnsi="Arial"/>
          <w:color w:val="142940"/>
          <w:sz w:val="36"/>
          <w:szCs w:val="36"/>
        </w:rPr>
        <w:t xml:space="preserve">Clinical Reasoning Simulator</w:t>
      </w:r>
    </w:p>
    <w:p>
      <w:pPr>
        <w:spacing w:after="200" w:before="80"/>
        <w:jc w:val="center"/>
      </w:pPr>
      <w:r>
        <w:rPr>
          <w:rFonts w:ascii="Arial" w:cs="Arial" w:eastAsia="Arial" w:hAnsi="Arial"/>
          <w:b/>
          <w:bCs/>
          <w:color w:val="142940"/>
          <w:sz w:val="56"/>
          <w:szCs w:val="56"/>
        </w:rPr>
        <w:t xml:space="preserve">Week 1 Facilitation Guide</w:t>
      </w:r>
    </w:p>
    <w:p>
      <w:pPr>
        <w:spacing w:after="80" w:before="0"/>
        <w:jc w:val="center"/>
      </w:pPr>
      <w:r>
        <w:rPr>
          <w:rFonts w:ascii="Arial" w:cs="Arial" w:eastAsia="Arial" w:hAnsi="Arial"/>
          <w:i/>
          <w:iCs/>
          <w:color w:val="7C2018"/>
          <w:sz w:val="28"/>
          <w:szCs w:val="28"/>
        </w:rPr>
        <w:t xml:space="preserve">Jordan Patel, 24F</w:t>
      </w:r>
    </w:p>
    <w:p>
      <w:pPr>
        <w:spacing w:after="600" w:before="0"/>
        <w:jc w:val="center"/>
      </w:pPr>
      <w:r>
        <w:rPr>
          <w:rFonts w:ascii="Arial" w:cs="Arial" w:eastAsia="Arial" w:hAnsi="Arial"/>
          <w:color w:val="3D4F5A"/>
          <w:sz w:val="22"/>
          <w:szCs w:val="22"/>
        </w:rPr>
        <w:t xml:space="preserve">Stevens-Johnson Syndrome / TEN overlap, drug-induced (TMP-SMX)</w:t>
      </w:r>
    </w:p>
    <w:p>
      <w:pPr>
        <w:spacing w:after="80" w:before="0"/>
        <w:jc w:val="center"/>
      </w:pPr>
      <w:r>
        <w:rPr>
          <w:rFonts w:ascii="Arial" w:cs="Arial" w:eastAsia="Arial" w:hAnsi="Arial"/>
          <w:color w:val="3D4F5A"/>
          <w:sz w:val="20"/>
          <w:szCs w:val="20"/>
        </w:rPr>
        <w:t xml:space="preserve">Solano Community College   Summer 2026   Section 0</w:t>
      </w:r>
    </w:p>
    <w:p>
      <w:pPr>
        <w:spacing w:after="0" w:before="0"/>
        <w:jc w:val="center"/>
      </w:pPr>
      <w:r>
        <w:rPr>
          <w:rFonts w:ascii="Arial" w:cs="Arial" w:eastAsia="Arial" w:hAnsi="Arial"/>
          <w:b/>
          <w:bCs/>
          <w:color w:val="142940"/>
          <w:sz w:val="22"/>
          <w:szCs w:val="22"/>
        </w:rPr>
        <w:t xml:space="preserve">Dr. Sharilyn Rennie</w:t>
      </w:r>
    </w:p>
    <w:p>
      <w:pPr>
        <w:spacing w:after="1200" w:before="0"/>
        <w:jc w:val="center"/>
      </w:pPr>
      <w:r>
        <w:rPr>
          <w:rFonts w:ascii="Arial" w:cs="Arial" w:eastAsia="Arial" w:hAnsi="Arial"/>
          <w:color w:val="C9A961"/>
          <w:sz w:val="20"/>
          <w:szCs w:val="20"/>
        </w:rPr>
        <w:t xml:space="preserve">MedMasters Collaborative</w:t>
      </w:r>
    </w:p>
    <w:p>
      <w:r>
        <w:br w:type="page"/>
      </w:r>
    </w:p>
    <w:p>
      <w:pPr>
        <w:pStyle w:val="Heading1"/>
        <w:pBdr>
          <w:bottom w:val="single" w:color="C9A961" w:sz="8" w:space="6"/>
        </w:pBdr>
        <w:spacing w:after="200" w:before="360"/>
      </w:pPr>
      <w:r>
        <w:rPr>
          <w:rFonts w:ascii="Arial" w:cs="Arial" w:eastAsia="Arial" w:hAnsi="Arial"/>
          <w:b/>
          <w:bCs/>
          <w:color w:val="142940"/>
          <w:sz w:val="36"/>
          <w:szCs w:val="36"/>
        </w:rPr>
        <w:t xml:space="preserve">Quick reference</w:t>
      </w:r>
    </w:p>
    <w:p>
      <w:pPr>
        <w:spacing w:after="120" w:before="0" w:line="300"/>
        <w:jc w:val="left"/>
      </w:pPr>
      <w:r>
        <w:rPr>
          <w:rFonts w:ascii="Arial" w:cs="Arial" w:eastAsia="Arial" w:hAnsi="Arial"/>
          <w:color w:val="1A1A1A"/>
          <w:sz w:val="22"/>
          <w:szCs w:val="22"/>
        </w:rPr>
        <w:t xml:space="preserve">This is the at-a-glance page. Print it and keep it on your podium.</w:t>
      </w:r>
    </w:p>
    <w:p>
      <w:pPr>
        <w:spacing w:after="120" w:before="120"/>
      </w:pPr>
      <w:r>
        <w:rPr>
          <w:rFonts w:ascii="Arial" w:cs="Arial" w:eastAsia="Arial" w:hAnsi="Arial"/>
        </w:rPr>
        <w:t xml:space="preserve"/>
      </w:r>
    </w:p>
    <w:p>
      <w:pPr>
        <w:pStyle w:val="Heading2"/>
        <w:spacing w:after="160" w:before="320"/>
      </w:pPr>
      <w:r>
        <w:rPr>
          <w:rFonts w:ascii="Arial" w:cs="Arial" w:eastAsia="Arial" w:hAnsi="Arial"/>
          <w:b/>
          <w:bCs/>
          <w:color w:val="142940"/>
          <w:sz w:val="28"/>
          <w:szCs w:val="28"/>
        </w:rPr>
        <w:t xml:space="preserve">Codes</w:t>
      </w:r>
    </w:p>
    <w:p>
      <w:pPr>
        <w:spacing w:after="120" w:before="0" w:line="300"/>
        <w:jc w:val="left"/>
      </w:pPr>
      <w:r>
        <w:rPr>
          <w:rFonts w:ascii="Arial" w:cs="Arial" w:eastAsia="Arial" w:hAnsi="Arial"/>
          <w:color w:val="1A1A1A"/>
          <w:sz w:val="22"/>
          <w:szCs w:val="22"/>
        </w:rPr>
        <w:t xml:space="preserve">Announce these in person at class. Do NOT post in Canvas, syllabus, or anywhere students could find them ahead of schedule.</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USE</w:t>
            </w:r>
          </w:p>
        </w:tc>
        <w:tc>
          <w:tcPr>
            <w:tcW w:type="dxa" w:w="220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CODE</w:t>
            </w:r>
          </w:p>
        </w:tc>
        <w:tc>
          <w:tcPr>
            <w:tcW w:type="dxa" w:w="476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ANNOUNCE THIS WHEN</w:t>
            </w:r>
          </w:p>
        </w:tc>
      </w:tr>
      <w:tr>
        <w:tc>
          <w:tcPr>
            <w:tcW w:type="dxa" w:w="240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Initial access</w:t>
            </w:r>
          </w:p>
        </w:tc>
        <w:tc>
          <w:tcPr>
            <w:tcW w:type="dxa" w:w="220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center"/>
            </w:pPr>
            <w:r>
              <w:rPr>
                <w:rFonts w:ascii="Arial" w:cs="Arial" w:eastAsia="Arial" w:hAnsi="Arial"/>
                <w:b/>
                <w:bCs/>
                <w:color w:val="0A1A2A"/>
                <w:sz w:val="28"/>
                <w:szCs w:val="28"/>
              </w:rPr>
              <w:t xml:space="preserve">DERMIS</w:t>
            </w:r>
          </w:p>
        </w:tc>
        <w:tc>
          <w:tcPr>
            <w:tcW w:type="dxa" w:w="476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Beginning of Monday lecture (Day 1)</w:t>
            </w:r>
          </w:p>
        </w:tc>
      </w:tr>
      <w:tr>
        <w:tc>
          <w:tcPr>
            <w:tcW w:type="dxa" w:w="2400"/>
            <w:tcBorders>
              <w:top w:val="single" w:color="BFC8CD" w:sz="4"/>
              <w:left w:val="single" w:color="BFC8CD" w:sz="4"/>
              <w:bottom w:val="single" w:color="BFC8CD" w:sz="4"/>
              <w:right w:val="single" w:color="BFC8CD" w:sz="4"/>
            </w:tcBorders>
            <w:shd w:fill="F5F2EC"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Day 2 unlock</w:t>
            </w:r>
          </w:p>
        </w:tc>
        <w:tc>
          <w:tcPr>
            <w:tcW w:type="dxa" w:w="2200"/>
            <w:tcBorders>
              <w:top w:val="single" w:color="BFC8CD" w:sz="4"/>
              <w:left w:val="single" w:color="BFC8CD" w:sz="4"/>
              <w:bottom w:val="single" w:color="BFC8CD" w:sz="4"/>
              <w:right w:val="single" w:color="BFC8CD" w:sz="4"/>
            </w:tcBorders>
            <w:shd w:fill="F5F2EC" w:val="clear"/>
            <w:tcMar>
              <w:top w:type="dxa" w:w="100"/>
              <w:left w:type="dxa" w:w="140"/>
              <w:bottom w:type="dxa" w:w="100"/>
              <w:right w:type="dxa" w:w="140"/>
            </w:tcMar>
            <w:vAlign w:val="center"/>
          </w:tcPr>
          <w:p>
            <w:pPr>
              <w:spacing w:after="0" w:before="0"/>
              <w:jc w:val="center"/>
            </w:pPr>
            <w:r>
              <w:rPr>
                <w:rFonts w:ascii="Arial" w:cs="Arial" w:eastAsia="Arial" w:hAnsi="Arial"/>
                <w:b/>
                <w:bCs/>
                <w:color w:val="0A1A2A"/>
                <w:sz w:val="28"/>
                <w:szCs w:val="28"/>
              </w:rPr>
              <w:t xml:space="preserve">NIKOLSKY</w:t>
            </w:r>
          </w:p>
        </w:tc>
        <w:tc>
          <w:tcPr>
            <w:tcW w:type="dxa" w:w="4760"/>
            <w:tcBorders>
              <w:top w:val="single" w:color="BFC8CD" w:sz="4"/>
              <w:left w:val="single" w:color="BFC8CD" w:sz="4"/>
              <w:bottom w:val="single" w:color="BFC8CD" w:sz="4"/>
              <w:right w:val="single" w:color="BFC8CD" w:sz="4"/>
            </w:tcBorders>
            <w:shd w:fill="F5F2EC" w:val="clear"/>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End of Monday lecture, students use it Monday night or Tuesday morning before class</w:t>
            </w:r>
          </w:p>
        </w:tc>
      </w:tr>
      <w:tr>
        <w:tc>
          <w:tcPr>
            <w:tcW w:type="dxa" w:w="240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Day 3 unlock</w:t>
            </w:r>
          </w:p>
        </w:tc>
        <w:tc>
          <w:tcPr>
            <w:tcW w:type="dxa" w:w="220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center"/>
            </w:pPr>
            <w:r>
              <w:rPr>
                <w:rFonts w:ascii="Arial" w:cs="Arial" w:eastAsia="Arial" w:hAnsi="Arial"/>
                <w:b/>
                <w:bCs/>
                <w:color w:val="0A1A2A"/>
                <w:sz w:val="28"/>
                <w:szCs w:val="28"/>
              </w:rPr>
              <w:t xml:space="preserve">SCORTEN</w:t>
            </w:r>
          </w:p>
        </w:tc>
        <w:tc>
          <w:tcPr>
            <w:tcW w:type="dxa" w:w="476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End of Tuesday lecture, students use it Tuesday night or Wednesday morning before class</w:t>
            </w:r>
          </w:p>
        </w:tc>
      </w:tr>
      <w:tr>
        <w:tc>
          <w:tcPr>
            <w:tcW w:type="dxa" w:w="2400"/>
            <w:tcBorders>
              <w:top w:val="single" w:color="BFC8CD" w:sz="4"/>
              <w:left w:val="single" w:color="BFC8CD" w:sz="4"/>
              <w:bottom w:val="single" w:color="BFC8CD" w:sz="4"/>
              <w:right w:val="single" w:color="BFC8CD" w:sz="4"/>
            </w:tcBorders>
            <w:shd w:fill="F5F2EC"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Reveal screen</w:t>
            </w:r>
          </w:p>
        </w:tc>
        <w:tc>
          <w:tcPr>
            <w:tcW w:type="dxa" w:w="2200"/>
            <w:tcBorders>
              <w:top w:val="single" w:color="BFC8CD" w:sz="4"/>
              <w:left w:val="single" w:color="BFC8CD" w:sz="4"/>
              <w:bottom w:val="single" w:color="BFC8CD" w:sz="4"/>
              <w:right w:val="single" w:color="BFC8CD" w:sz="4"/>
            </w:tcBorders>
            <w:shd w:fill="F5F2EC" w:val="clear"/>
            <w:tcMar>
              <w:top w:type="dxa" w:w="100"/>
              <w:left w:type="dxa" w:w="140"/>
              <w:bottom w:type="dxa" w:w="100"/>
              <w:right w:type="dxa" w:w="140"/>
            </w:tcMar>
            <w:vAlign w:val="center"/>
          </w:tcPr>
          <w:p>
            <w:pPr>
              <w:spacing w:after="0" w:before="0"/>
              <w:jc w:val="center"/>
            </w:pPr>
            <w:r>
              <w:rPr>
                <w:rFonts w:ascii="Arial" w:cs="Arial" w:eastAsia="Arial" w:hAnsi="Arial"/>
                <w:b/>
                <w:bCs/>
                <w:color w:val="0A1A2A"/>
                <w:sz w:val="28"/>
                <w:szCs w:val="28"/>
              </w:rPr>
              <w:t xml:space="preserve">CLEAVE</w:t>
            </w:r>
          </w:p>
        </w:tc>
        <w:tc>
          <w:tcPr>
            <w:tcW w:type="dxa" w:w="4760"/>
            <w:tcBorders>
              <w:top w:val="single" w:color="BFC8CD" w:sz="4"/>
              <w:left w:val="single" w:color="BFC8CD" w:sz="4"/>
              <w:bottom w:val="single" w:color="BFC8CD" w:sz="4"/>
              <w:right w:val="single" w:color="BFC8CD" w:sz="4"/>
            </w:tcBorders>
            <w:shd w:fill="F5F2EC" w:val="clear"/>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After Thursday TBL is complete, this unlocks the diagnosis, scoring, and full pathophysiology explanation</w:t>
            </w:r>
          </w:p>
        </w:tc>
      </w:tr>
    </w:tbl>
    <w:p>
      <w:pPr>
        <w:spacing w:after="120" w:before="120"/>
      </w:pPr>
      <w:r>
        <w:rPr>
          <w:rFonts w:ascii="Arial" w:cs="Arial" w:eastAsia="Arial" w:hAnsi="Arial"/>
        </w:rPr>
        <w:t xml:space="preserve"/>
      </w:r>
    </w:p>
    <w:p>
      <w:pPr>
        <w:pStyle w:val="Heading2"/>
        <w:spacing w:after="160" w:before="320"/>
      </w:pPr>
      <w:r>
        <w:rPr>
          <w:rFonts w:ascii="Arial" w:cs="Arial" w:eastAsia="Arial" w:hAnsi="Arial"/>
          <w:b/>
          <w:bCs/>
          <w:color w:val="142940"/>
          <w:sz w:val="28"/>
          <w:szCs w:val="28"/>
        </w:rPr>
        <w:t xml:space="preserve">Weekly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DAY</w:t>
            </w:r>
          </w:p>
        </w:tc>
        <w:tc>
          <w:tcPr>
            <w:tcW w:type="dxa" w:w="180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MOMENT</w:t>
            </w:r>
          </w:p>
        </w:tc>
        <w:tc>
          <w:tcPr>
            <w:tcW w:type="dxa" w:w="596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WHAT YOU DO</w:t>
            </w:r>
          </w:p>
        </w:tc>
      </w:tr>
      <w:tr>
        <w:tc>
          <w:tcPr>
            <w:tcW w:type="dxa" w:w="160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Monday</w:t>
            </w:r>
          </w:p>
        </w:tc>
        <w:tc>
          <w:tcPr>
            <w:tcW w:type="dxa" w:w="180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left"/>
            </w:pPr>
            <w:r>
              <w:rPr>
                <w:rFonts w:ascii="Arial" w:cs="Arial" w:eastAsia="Arial" w:hAnsi="Arial"/>
                <w:b/>
                <w:bCs/>
                <w:color w:val="7C2018"/>
                <w:sz w:val="20"/>
                <w:szCs w:val="20"/>
              </w:rPr>
              <w:t xml:space="preserve">Class start</w:t>
            </w:r>
          </w:p>
        </w:tc>
        <w:tc>
          <w:tcPr>
            <w:tcW w:type="dxa" w:w="596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Announce DERMIS code. Students enter the simulator, name themselves, meet Jordan. They have 10 interview questions for the WEEK and a 200 credit bank.</w:t>
            </w:r>
          </w:p>
        </w:tc>
      </w:tr>
      <w:tr>
        <w:tc>
          <w:tcPr>
            <w:tcW w:type="dxa" w:w="1600"/>
            <w:tcBorders>
              <w:top w:val="single" w:color="BFC8CD" w:sz="4"/>
              <w:left w:val="single" w:color="BFC8CD" w:sz="4"/>
              <w:bottom w:val="single" w:color="BFC8CD" w:sz="4"/>
              <w:right w:val="single" w:color="BFC8CD" w:sz="4"/>
            </w:tcBorders>
            <w:shd w:fill="F5F2EC"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Monday</w:t>
            </w:r>
          </w:p>
        </w:tc>
        <w:tc>
          <w:tcPr>
            <w:tcW w:type="dxa" w:w="1800"/>
            <w:tcBorders>
              <w:top w:val="single" w:color="BFC8CD" w:sz="4"/>
              <w:left w:val="single" w:color="BFC8CD" w:sz="4"/>
              <w:bottom w:val="single" w:color="BFC8CD" w:sz="4"/>
              <w:right w:val="single" w:color="BFC8CD" w:sz="4"/>
            </w:tcBorders>
            <w:shd w:fill="F5F2EC" w:val="clear"/>
            <w:tcMar>
              <w:top w:type="dxa" w:w="100"/>
              <w:left w:type="dxa" w:w="140"/>
              <w:bottom w:type="dxa" w:w="100"/>
              <w:right w:type="dxa" w:w="140"/>
            </w:tcMar>
            <w:vAlign w:val="center"/>
          </w:tcPr>
          <w:p>
            <w:pPr>
              <w:spacing w:after="0" w:before="0"/>
              <w:jc w:val="left"/>
            </w:pPr>
            <w:r>
              <w:rPr>
                <w:rFonts w:ascii="Arial" w:cs="Arial" w:eastAsia="Arial" w:hAnsi="Arial"/>
                <w:b/>
                <w:bCs/>
                <w:color w:val="7C2018"/>
                <w:sz w:val="20"/>
                <w:szCs w:val="20"/>
              </w:rPr>
              <w:t xml:space="preserve">During class</w:t>
            </w:r>
          </w:p>
        </w:tc>
        <w:tc>
          <w:tcPr>
            <w:tcW w:type="dxa" w:w="5960"/>
            <w:tcBorders>
              <w:top w:val="single" w:color="BFC8CD" w:sz="4"/>
              <w:left w:val="single" w:color="BFC8CD" w:sz="4"/>
              <w:bottom w:val="single" w:color="BFC8CD" w:sz="4"/>
              <w:right w:val="single" w:color="BFC8CD" w:sz="4"/>
            </w:tcBorders>
            <w:shd w:fill="F5F2EC" w:val="clear"/>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Students complete the patient interview and Day 1 orders (5 tests, each gated by a body region or directional terminology question).</w:t>
            </w:r>
          </w:p>
        </w:tc>
      </w:tr>
      <w:tr>
        <w:tc>
          <w:tcPr>
            <w:tcW w:type="dxa" w:w="160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Monday</w:t>
            </w:r>
          </w:p>
        </w:tc>
        <w:tc>
          <w:tcPr>
            <w:tcW w:type="dxa" w:w="180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left"/>
            </w:pPr>
            <w:r>
              <w:rPr>
                <w:rFonts w:ascii="Arial" w:cs="Arial" w:eastAsia="Arial" w:hAnsi="Arial"/>
                <w:b/>
                <w:bCs/>
                <w:color w:val="7C2018"/>
                <w:sz w:val="20"/>
                <w:szCs w:val="20"/>
              </w:rPr>
              <w:t xml:space="preserve">End of class</w:t>
            </w:r>
          </w:p>
        </w:tc>
        <w:tc>
          <w:tcPr>
            <w:tcW w:type="dxa" w:w="596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Announce NIKOLSKY for Day 2 unlock. Remind students to read the body cavities chapter for tomorrow.</w:t>
            </w:r>
          </w:p>
        </w:tc>
      </w:tr>
      <w:tr>
        <w:tc>
          <w:tcPr>
            <w:tcW w:type="dxa" w:w="1600"/>
            <w:tcBorders>
              <w:top w:val="single" w:color="BFC8CD" w:sz="4"/>
              <w:left w:val="single" w:color="BFC8CD" w:sz="4"/>
              <w:bottom w:val="single" w:color="BFC8CD" w:sz="4"/>
              <w:right w:val="single" w:color="BFC8CD" w:sz="4"/>
            </w:tcBorders>
            <w:shd w:fill="F5F2EC"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Tuesday</w:t>
            </w:r>
          </w:p>
        </w:tc>
        <w:tc>
          <w:tcPr>
            <w:tcW w:type="dxa" w:w="1800"/>
            <w:tcBorders>
              <w:top w:val="single" w:color="BFC8CD" w:sz="4"/>
              <w:left w:val="single" w:color="BFC8CD" w:sz="4"/>
              <w:bottom w:val="single" w:color="BFC8CD" w:sz="4"/>
              <w:right w:val="single" w:color="BFC8CD" w:sz="4"/>
            </w:tcBorders>
            <w:shd w:fill="F5F2EC" w:val="clear"/>
            <w:tcMar>
              <w:top w:type="dxa" w:w="100"/>
              <w:left w:type="dxa" w:w="140"/>
              <w:bottom w:type="dxa" w:w="100"/>
              <w:right w:type="dxa" w:w="140"/>
            </w:tcMar>
            <w:vAlign w:val="center"/>
          </w:tcPr>
          <w:p>
            <w:pPr>
              <w:spacing w:after="0" w:before="0"/>
              <w:jc w:val="left"/>
            </w:pPr>
            <w:r>
              <w:rPr>
                <w:rFonts w:ascii="Arial" w:cs="Arial" w:eastAsia="Arial" w:hAnsi="Arial"/>
                <w:b/>
                <w:bCs/>
                <w:color w:val="7C2018"/>
                <w:sz w:val="20"/>
                <w:szCs w:val="20"/>
              </w:rPr>
              <w:t xml:space="preserve">Class start</w:t>
            </w:r>
          </w:p>
        </w:tc>
        <w:tc>
          <w:tcPr>
            <w:tcW w:type="dxa" w:w="5960"/>
            <w:tcBorders>
              <w:top w:val="single" w:color="BFC8CD" w:sz="4"/>
              <w:left w:val="single" w:color="BFC8CD" w:sz="4"/>
              <w:bottom w:val="single" w:color="BFC8CD" w:sz="4"/>
              <w:right w:val="single" w:color="BFC8CD" w:sz="4"/>
            </w:tcBorders>
            <w:shd w:fill="F5F2EC" w:val="clear"/>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Students arrive having read body cavities. They enter NIKOLSKY, biopsy result auto-reveals (full thickness epidermal necrosis at DEJ), Day 2 orders open. Five tests gated by body cavity questions.</w:t>
            </w:r>
          </w:p>
        </w:tc>
      </w:tr>
      <w:tr>
        <w:tc>
          <w:tcPr>
            <w:tcW w:type="dxa" w:w="160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Tuesday</w:t>
            </w:r>
          </w:p>
        </w:tc>
        <w:tc>
          <w:tcPr>
            <w:tcW w:type="dxa" w:w="180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left"/>
            </w:pPr>
            <w:r>
              <w:rPr>
                <w:rFonts w:ascii="Arial" w:cs="Arial" w:eastAsia="Arial" w:hAnsi="Arial"/>
                <w:b/>
                <w:bCs/>
                <w:color w:val="7C2018"/>
                <w:sz w:val="20"/>
                <w:szCs w:val="20"/>
              </w:rPr>
              <w:t xml:space="preserve">End of class</w:t>
            </w:r>
          </w:p>
        </w:tc>
        <w:tc>
          <w:tcPr>
            <w:tcW w:type="dxa" w:w="596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Announce SCORTEN for Day 3 unlock. Remind students to read cell structure and the four primary tissue types.</w:t>
            </w:r>
          </w:p>
        </w:tc>
      </w:tr>
      <w:tr>
        <w:tc>
          <w:tcPr>
            <w:tcW w:type="dxa" w:w="1600"/>
            <w:tcBorders>
              <w:top w:val="single" w:color="BFC8CD" w:sz="4"/>
              <w:left w:val="single" w:color="BFC8CD" w:sz="4"/>
              <w:bottom w:val="single" w:color="BFC8CD" w:sz="4"/>
              <w:right w:val="single" w:color="BFC8CD" w:sz="4"/>
            </w:tcBorders>
            <w:shd w:fill="F5F2EC"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Wednesday</w:t>
            </w:r>
          </w:p>
        </w:tc>
        <w:tc>
          <w:tcPr>
            <w:tcW w:type="dxa" w:w="1800"/>
            <w:tcBorders>
              <w:top w:val="single" w:color="BFC8CD" w:sz="4"/>
              <w:left w:val="single" w:color="BFC8CD" w:sz="4"/>
              <w:bottom w:val="single" w:color="BFC8CD" w:sz="4"/>
              <w:right w:val="single" w:color="BFC8CD" w:sz="4"/>
            </w:tcBorders>
            <w:shd w:fill="F5F2EC" w:val="clear"/>
            <w:tcMar>
              <w:top w:type="dxa" w:w="100"/>
              <w:left w:type="dxa" w:w="140"/>
              <w:bottom w:type="dxa" w:w="100"/>
              <w:right w:type="dxa" w:w="140"/>
            </w:tcMar>
            <w:vAlign w:val="center"/>
          </w:tcPr>
          <w:p>
            <w:pPr>
              <w:spacing w:after="0" w:before="0"/>
              <w:jc w:val="left"/>
            </w:pPr>
            <w:r>
              <w:rPr>
                <w:rFonts w:ascii="Arial" w:cs="Arial" w:eastAsia="Arial" w:hAnsi="Arial"/>
                <w:b/>
                <w:bCs/>
                <w:color w:val="7C2018"/>
                <w:sz w:val="20"/>
                <w:szCs w:val="20"/>
              </w:rPr>
              <w:t xml:space="preserve">Class start</w:t>
            </w:r>
          </w:p>
        </w:tc>
        <w:tc>
          <w:tcPr>
            <w:tcW w:type="dxa" w:w="5960"/>
            <w:tcBorders>
              <w:top w:val="single" w:color="BFC8CD" w:sz="4"/>
              <w:left w:val="single" w:color="BFC8CD" w:sz="4"/>
              <w:bottom w:val="single" w:color="BFC8CD" w:sz="4"/>
              <w:right w:val="single" w:color="BFC8CD" w:sz="4"/>
            </w:tcBorders>
            <w:shd w:fill="F5F2EC" w:val="clear"/>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Students enter SCORTEN, overnight progression auto-reveals (BSA up to 12 percent, AKI worsening). Day 3 orders open. Four tests gated by tissue type questions.</w:t>
            </w:r>
          </w:p>
        </w:tc>
      </w:tr>
      <w:tr>
        <w:tc>
          <w:tcPr>
            <w:tcW w:type="dxa" w:w="160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Wednesday</w:t>
            </w:r>
          </w:p>
        </w:tc>
        <w:tc>
          <w:tcPr>
            <w:tcW w:type="dxa" w:w="180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left"/>
            </w:pPr>
            <w:r>
              <w:rPr>
                <w:rFonts w:ascii="Arial" w:cs="Arial" w:eastAsia="Arial" w:hAnsi="Arial"/>
                <w:b/>
                <w:bCs/>
                <w:color w:val="7C2018"/>
                <w:sz w:val="20"/>
                <w:szCs w:val="20"/>
              </w:rPr>
              <w:t xml:space="preserve">Anytime after</w:t>
            </w:r>
          </w:p>
        </w:tc>
        <w:tc>
          <w:tcPr>
            <w:tcW w:type="dxa" w:w="596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Students submit final diagnosis and rationale (private to them). Submission is permanent.</w:t>
            </w:r>
          </w:p>
        </w:tc>
      </w:tr>
      <w:tr>
        <w:tc>
          <w:tcPr>
            <w:tcW w:type="dxa" w:w="1600"/>
            <w:tcBorders>
              <w:top w:val="single" w:color="BFC8CD" w:sz="4"/>
              <w:left w:val="single" w:color="BFC8CD" w:sz="4"/>
              <w:bottom w:val="single" w:color="BFC8CD" w:sz="4"/>
              <w:right w:val="single" w:color="BFC8CD" w:sz="4"/>
            </w:tcBorders>
            <w:shd w:fill="F5F2EC"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Thursday</w:t>
            </w:r>
          </w:p>
        </w:tc>
        <w:tc>
          <w:tcPr>
            <w:tcW w:type="dxa" w:w="1800"/>
            <w:tcBorders>
              <w:top w:val="single" w:color="BFC8CD" w:sz="4"/>
              <w:left w:val="single" w:color="BFC8CD" w:sz="4"/>
              <w:bottom w:val="single" w:color="BFC8CD" w:sz="4"/>
              <w:right w:val="single" w:color="BFC8CD" w:sz="4"/>
            </w:tcBorders>
            <w:shd w:fill="F5F2EC" w:val="clear"/>
            <w:tcMar>
              <w:top w:type="dxa" w:w="100"/>
              <w:left w:type="dxa" w:w="140"/>
              <w:bottom w:type="dxa" w:w="100"/>
              <w:right w:type="dxa" w:w="140"/>
            </w:tcMar>
            <w:vAlign w:val="center"/>
          </w:tcPr>
          <w:p>
            <w:pPr>
              <w:spacing w:after="0" w:before="0"/>
              <w:jc w:val="left"/>
            </w:pPr>
            <w:r>
              <w:rPr>
                <w:rFonts w:ascii="Arial" w:cs="Arial" w:eastAsia="Arial" w:hAnsi="Arial"/>
                <w:b/>
                <w:bCs/>
                <w:color w:val="7C2018"/>
                <w:sz w:val="20"/>
                <w:szCs w:val="20"/>
              </w:rPr>
              <w:t xml:space="preserve">TBL session</w:t>
            </w:r>
          </w:p>
        </w:tc>
        <w:tc>
          <w:tcPr>
            <w:tcW w:type="dxa" w:w="5960"/>
            <w:tcBorders>
              <w:top w:val="single" w:color="BFC8CD" w:sz="4"/>
              <w:left w:val="single" w:color="BFC8CD" w:sz="4"/>
              <w:bottom w:val="single" w:color="BFC8CD" w:sz="4"/>
              <w:right w:val="single" w:color="BFC8CD" w:sz="4"/>
            </w:tcBorders>
            <w:shd w:fill="F5F2EC" w:val="clear"/>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Teams defend their diagnosis through iRAT, tRAT, and application exercise. They have not yet seen the reveal.</w:t>
            </w:r>
          </w:p>
        </w:tc>
      </w:tr>
      <w:tr>
        <w:tc>
          <w:tcPr>
            <w:tcW w:type="dxa" w:w="160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Thursday</w:t>
            </w:r>
          </w:p>
        </w:tc>
        <w:tc>
          <w:tcPr>
            <w:tcW w:type="dxa" w:w="180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left"/>
            </w:pPr>
            <w:r>
              <w:rPr>
                <w:rFonts w:ascii="Arial" w:cs="Arial" w:eastAsia="Arial" w:hAnsi="Arial"/>
                <w:b/>
                <w:bCs/>
                <w:color w:val="7C2018"/>
                <w:sz w:val="20"/>
                <w:szCs w:val="20"/>
              </w:rPr>
              <w:t xml:space="preserve">End of TBL</w:t>
            </w:r>
          </w:p>
        </w:tc>
        <w:tc>
          <w:tcPr>
            <w:tcW w:type="dxa" w:w="5960"/>
            <w:tcBorders>
              <w:top w:val="single" w:color="BFC8CD" w:sz="4"/>
              <w:left w:val="single" w:color="BFC8CD" w:sz="4"/>
              <w:bottom w:val="single" w:color="BFC8CD" w:sz="4"/>
              <w:right w:val="single" w:color="BFC8CD" w:sz="4"/>
            </w:tcBorders>
            <w:shd w:fill="F8F1E0" w:val="clear"/>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Announce CLEAVE. Students enter it on the simulator to unlock the reveal screen with diagnosis, scoring breakdown, and full anatomical pathway.</w:t>
            </w:r>
          </w:p>
        </w:tc>
      </w:tr>
    </w:tbl>
    <w:p>
      <w:r>
        <w:br w:type="page"/>
      </w:r>
    </w:p>
    <w:p>
      <w:pPr>
        <w:pStyle w:val="Heading1"/>
        <w:pBdr>
          <w:bottom w:val="single" w:color="C9A961" w:sz="8" w:space="6"/>
        </w:pBdr>
        <w:spacing w:after="200" w:before="360"/>
      </w:pPr>
      <w:r>
        <w:rPr>
          <w:rFonts w:ascii="Arial" w:cs="Arial" w:eastAsia="Arial" w:hAnsi="Arial"/>
          <w:b/>
          <w:bCs/>
          <w:color w:val="142940"/>
          <w:sz w:val="36"/>
          <w:szCs w:val="36"/>
        </w:rPr>
        <w:t xml:space="preserve">The case at a glance</w:t>
      </w:r>
    </w:p>
    <w:p>
      <w:pPr>
        <w:spacing w:after="120" w:before="0" w:line="300"/>
        <w:jc w:val="left"/>
      </w:pPr>
      <w:r>
        <w:rPr>
          <w:rFonts w:ascii="Arial" w:cs="Arial" w:eastAsia="Arial" w:hAnsi="Arial"/>
          <w:color w:val="1A1A1A"/>
          <w:sz w:val="22"/>
          <w:szCs w:val="22"/>
        </w:rPr>
        <w:t xml:space="preserve">Patient and clinical situation.</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8CD" w:sz="4"/>
              <w:left w:val="single" w:color="BFC8CD" w:sz="4"/>
              <w:bottom w:val="single" w:color="BFC8CD" w:sz="4"/>
              <w:right w:val="single" w:color="BFC8CD" w:sz="4"/>
            </w:tcBorders>
            <w:shd w:fill="E8EDF3"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Name</w:t>
            </w:r>
          </w:p>
        </w:tc>
        <w:tc>
          <w:tcPr>
            <w:tcW w:type="dxa" w:w="69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Jordan Patel</w:t>
            </w:r>
          </w:p>
        </w:tc>
      </w:tr>
      <w:tr>
        <w:tc>
          <w:tcPr>
            <w:tcW w:type="dxa" w:w="2400"/>
            <w:tcBorders>
              <w:top w:val="single" w:color="BFC8CD" w:sz="4"/>
              <w:left w:val="single" w:color="BFC8CD" w:sz="4"/>
              <w:bottom w:val="single" w:color="BFC8CD" w:sz="4"/>
              <w:right w:val="single" w:color="BFC8CD" w:sz="4"/>
            </w:tcBorders>
            <w:shd w:fill="E8EDF3"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Age and gender</w:t>
            </w:r>
          </w:p>
        </w:tc>
        <w:tc>
          <w:tcPr>
            <w:tcW w:type="dxa" w:w="69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24 years old, female</w:t>
            </w:r>
          </w:p>
        </w:tc>
      </w:tr>
      <w:tr>
        <w:tc>
          <w:tcPr>
            <w:tcW w:type="dxa" w:w="2400"/>
            <w:tcBorders>
              <w:top w:val="single" w:color="BFC8CD" w:sz="4"/>
              <w:left w:val="single" w:color="BFC8CD" w:sz="4"/>
              <w:bottom w:val="single" w:color="BFC8CD" w:sz="4"/>
              <w:right w:val="single" w:color="BFC8CD" w:sz="4"/>
            </w:tcBorders>
            <w:shd w:fill="E8EDF3"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Chief complaint</w:t>
            </w:r>
          </w:p>
        </w:tc>
        <w:tc>
          <w:tcPr>
            <w:tcW w:type="dxa" w:w="69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Painful spreading rash, eye and mouth pain, started 2 days ago</w:t>
            </w:r>
          </w:p>
        </w:tc>
      </w:tr>
      <w:tr>
        <w:tc>
          <w:tcPr>
            <w:tcW w:type="dxa" w:w="2400"/>
            <w:tcBorders>
              <w:top w:val="single" w:color="BFC8CD" w:sz="4"/>
              <w:left w:val="single" w:color="BFC8CD" w:sz="4"/>
              <w:bottom w:val="single" w:color="BFC8CD" w:sz="4"/>
              <w:right w:val="single" w:color="BFC8CD" w:sz="4"/>
            </w:tcBorders>
            <w:shd w:fill="E8EDF3"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Trigger drug</w:t>
            </w:r>
          </w:p>
        </w:tc>
        <w:tc>
          <w:tcPr>
            <w:tcW w:type="dxa" w:w="69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TMP-SMX (Bactrim, sulfamethoxazole-trimethoprim)</w:t>
            </w:r>
          </w:p>
        </w:tc>
      </w:tr>
      <w:tr>
        <w:tc>
          <w:tcPr>
            <w:tcW w:type="dxa" w:w="2400"/>
            <w:tcBorders>
              <w:top w:val="single" w:color="BFC8CD" w:sz="4"/>
              <w:left w:val="single" w:color="BFC8CD" w:sz="4"/>
              <w:bottom w:val="single" w:color="BFC8CD" w:sz="4"/>
              <w:right w:val="single" w:color="BFC8CD" w:sz="4"/>
            </w:tcBorders>
            <w:shd w:fill="E8EDF3"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Indication</w:t>
            </w:r>
          </w:p>
        </w:tc>
        <w:tc>
          <w:tcPr>
            <w:tcW w:type="dxa" w:w="69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Uncomplicated UTI, prescribed about 10 days ago</w:t>
            </w:r>
          </w:p>
        </w:tc>
      </w:tr>
      <w:tr>
        <w:tc>
          <w:tcPr>
            <w:tcW w:type="dxa" w:w="2400"/>
            <w:tcBorders>
              <w:top w:val="single" w:color="BFC8CD" w:sz="4"/>
              <w:left w:val="single" w:color="BFC8CD" w:sz="4"/>
              <w:bottom w:val="single" w:color="BFC8CD" w:sz="4"/>
              <w:right w:val="single" w:color="BFC8CD" w:sz="4"/>
            </w:tcBorders>
            <w:shd w:fill="E8EDF3"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Latency</w:t>
            </w:r>
          </w:p>
        </w:tc>
        <w:tc>
          <w:tcPr>
            <w:tcW w:type="dxa" w:w="69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9 days from drug start to mucocutaneous onset (typical for sulfa-induced SJS)</w:t>
            </w:r>
          </w:p>
        </w:tc>
      </w:tr>
      <w:tr>
        <w:tc>
          <w:tcPr>
            <w:tcW w:type="dxa" w:w="2400"/>
            <w:tcBorders>
              <w:top w:val="single" w:color="BFC8CD" w:sz="4"/>
              <w:left w:val="single" w:color="BFC8CD" w:sz="4"/>
              <w:bottom w:val="single" w:color="BFC8CD" w:sz="4"/>
              <w:right w:val="single" w:color="BFC8CD" w:sz="4"/>
            </w:tcBorders>
            <w:shd w:fill="E8EDF3"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Day 1 BSA</w:t>
            </w:r>
          </w:p>
        </w:tc>
        <w:tc>
          <w:tcPr>
            <w:tcW w:type="dxa" w:w="69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Approximately 7 percent detached or detachable (anterior chest, face, neck, both upper arms)</w:t>
            </w:r>
          </w:p>
        </w:tc>
      </w:tr>
      <w:tr>
        <w:tc>
          <w:tcPr>
            <w:tcW w:type="dxa" w:w="2400"/>
            <w:tcBorders>
              <w:top w:val="single" w:color="BFC8CD" w:sz="4"/>
              <w:left w:val="single" w:color="BFC8CD" w:sz="4"/>
              <w:bottom w:val="single" w:color="BFC8CD" w:sz="4"/>
              <w:right w:val="single" w:color="BFC8CD" w:sz="4"/>
            </w:tcBorders>
            <w:shd w:fill="E8EDF3"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Day 3 BSA</w:t>
            </w:r>
          </w:p>
        </w:tc>
        <w:tc>
          <w:tcPr>
            <w:tcW w:type="dxa" w:w="69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Approximately 12 percent (SJS-TEN OVERLAP range, 10 to 30 percent)</w:t>
            </w:r>
          </w:p>
        </w:tc>
      </w:tr>
      <w:tr>
        <w:tc>
          <w:tcPr>
            <w:tcW w:type="dxa" w:w="2400"/>
            <w:tcBorders>
              <w:top w:val="single" w:color="BFC8CD" w:sz="4"/>
              <w:left w:val="single" w:color="BFC8CD" w:sz="4"/>
              <w:bottom w:val="single" w:color="BFC8CD" w:sz="4"/>
              <w:right w:val="single" w:color="BFC8CD" w:sz="4"/>
            </w:tcBorders>
            <w:shd w:fill="E8EDF3"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Confirmed diagnosis</w:t>
            </w:r>
          </w:p>
        </w:tc>
        <w:tc>
          <w:tcPr>
            <w:tcW w:type="dxa" w:w="69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Stevens-Johnson Syndrome / Toxic Epidermal Necrolysis overlap, drug-induced</w:t>
            </w:r>
          </w:p>
        </w:tc>
      </w:tr>
      <w:tr>
        <w:tc>
          <w:tcPr>
            <w:tcW w:type="dxa" w:w="2400"/>
            <w:tcBorders>
              <w:top w:val="single" w:color="BFC8CD" w:sz="4"/>
              <w:left w:val="single" w:color="BFC8CD" w:sz="4"/>
              <w:bottom w:val="single" w:color="BFC8CD" w:sz="4"/>
              <w:right w:val="single" w:color="BFC8CD" w:sz="4"/>
            </w:tcBorders>
            <w:shd w:fill="E8EDF3"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SCORTEN by Day 3</w:t>
            </w:r>
          </w:p>
        </w:tc>
        <w:tc>
          <w:tcPr>
            <w:tcW w:type="dxa" w:w="69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3 (mortality estimate around 35 percent in real-world ICU data)</w:t>
            </w:r>
          </w:p>
        </w:tc>
      </w:tr>
    </w:tbl>
    <w:p>
      <w:pPr>
        <w:spacing w:after="120" w:before="120"/>
      </w:pPr>
      <w:r>
        <w:rPr>
          <w:rFonts w:ascii="Arial" w:cs="Arial" w:eastAsia="Arial" w:hAnsi="Arial"/>
        </w:rPr>
        <w:t xml:space="preserve"/>
      </w:r>
    </w:p>
    <w:p>
      <w:pPr>
        <w:pStyle w:val="Heading2"/>
        <w:spacing w:after="160" w:before="320"/>
      </w:pPr>
      <w:r>
        <w:rPr>
          <w:rFonts w:ascii="Arial" w:cs="Arial" w:eastAsia="Arial" w:hAnsi="Arial"/>
          <w:b/>
          <w:bCs/>
          <w:color w:val="142940"/>
          <w:sz w:val="28"/>
          <w:szCs w:val="28"/>
        </w:rPr>
        <w:t xml:space="preserve">Why this case for Week 1</w:t>
      </w:r>
    </w:p>
    <w:p>
      <w:pPr>
        <w:spacing w:after="120" w:before="0" w:line="300"/>
        <w:jc w:val="left"/>
      </w:pPr>
      <w:r>
        <w:rPr>
          <w:rFonts w:ascii="Arial" w:cs="Arial" w:eastAsia="Arial" w:hAnsi="Arial"/>
          <w:color w:val="1A1A1A"/>
          <w:sz w:val="22"/>
          <w:szCs w:val="22"/>
        </w:rPr>
        <w:t xml:space="preserve">Week 1 is the integumentary system. SJS/TEN destroys the skin's barrier function across multiple body regions and exposes downstream systemic effects (AKI, lost protein, infection risk). The case anchors three foundational anatomy concepts:</w:t>
      </w:r>
    </w:p>
    <w:p>
      <w:pPr>
        <w:pStyle w:val="ListParagraph"/>
        <w:numPr>
          <w:ilvl w:val="0"/>
          <w:numId w:val="2"/>
        </w:numPr>
        <w:spacing w:after="60" w:before="60" w:line="280"/>
      </w:pPr>
      <w:r>
        <w:rPr>
          <w:rFonts w:ascii="Arial" w:cs="Arial" w:eastAsia="Arial" w:hAnsi="Arial"/>
          <w:color w:val="1A1A1A"/>
          <w:sz w:val="22"/>
          <w:szCs w:val="22"/>
        </w:rPr>
        <w:t xml:space="preserve">Body region terminology to describe rash distribution (face, neck, anterior chest, both upper extremities).</w:t>
      </w:r>
    </w:p>
    <w:p>
      <w:pPr>
        <w:pStyle w:val="ListParagraph"/>
        <w:numPr>
          <w:ilvl w:val="0"/>
          <w:numId w:val="2"/>
        </w:numPr>
        <w:spacing w:after="60" w:before="60" w:line="280"/>
      </w:pPr>
      <w:r>
        <w:rPr>
          <w:rFonts w:ascii="Arial" w:cs="Arial" w:eastAsia="Arial" w:hAnsi="Arial"/>
          <w:color w:val="1A1A1A"/>
          <w:sz w:val="22"/>
          <w:szCs w:val="22"/>
        </w:rPr>
        <w:t xml:space="preserve">Body cavities to anchor the systemic findings (kidneys in abdominal cavity affected, lungs in pleural cavities being monitored, heart in mediastinum showing tachycardia).</w:t>
      </w:r>
    </w:p>
    <w:p>
      <w:pPr>
        <w:pStyle w:val="ListParagraph"/>
        <w:numPr>
          <w:ilvl w:val="0"/>
          <w:numId w:val="2"/>
        </w:numPr>
        <w:spacing w:after="60" w:before="60" w:line="280"/>
      </w:pPr>
      <w:r>
        <w:rPr>
          <w:rFonts w:ascii="Arial" w:cs="Arial" w:eastAsia="Arial" w:hAnsi="Arial"/>
          <w:color w:val="1A1A1A"/>
          <w:sz w:val="22"/>
          <w:szCs w:val="22"/>
        </w:rPr>
        <w:t xml:space="preserve">Tissue types to describe what is dying (epidermis = stratified squamous epithelium, dermis = connective tissue, blood = connective tissue).</w:t>
      </w:r>
    </w:p>
    <w:p>
      <w:pPr>
        <w:spacing w:after="120" w:before="120"/>
      </w:pPr>
      <w:r>
        <w:rPr>
          <w:rFonts w:ascii="Arial" w:cs="Arial" w:eastAsia="Arial" w:hAnsi="Arial"/>
        </w:rPr>
        <w:t xml:space="preserve"/>
      </w:r>
    </w:p>
    <w:p>
      <w:pPr>
        <w:spacing w:after="120" w:before="0" w:line="300"/>
        <w:jc w:val="left"/>
      </w:pPr>
      <w:r>
        <w:rPr>
          <w:rFonts w:ascii="Arial" w:cs="Arial" w:eastAsia="Arial" w:hAnsi="Arial"/>
          <w:color w:val="1A1A1A"/>
          <w:sz w:val="22"/>
          <w:szCs w:val="22"/>
        </w:rPr>
        <w:t xml:space="preserve">Students do not need to know SJS pathophysiology entering Monday. They build toward the diagnosis through the case, and the reveal explains the full mechanism on Thursday.</w:t>
      </w:r>
    </w:p>
    <w:p>
      <w:r>
        <w:br w:type="page"/>
      </w:r>
    </w:p>
    <w:p>
      <w:pPr>
        <w:pStyle w:val="Heading1"/>
        <w:pBdr>
          <w:bottom w:val="single" w:color="C9A961" w:sz="8" w:space="6"/>
        </w:pBdr>
        <w:spacing w:after="200" w:before="360"/>
      </w:pPr>
      <w:r>
        <w:rPr>
          <w:rFonts w:ascii="Arial" w:cs="Arial" w:eastAsia="Arial" w:hAnsi="Arial"/>
          <w:b/>
          <w:bCs/>
          <w:color w:val="142940"/>
          <w:sz w:val="36"/>
          <w:szCs w:val="36"/>
        </w:rPr>
        <w:t xml:space="preserve">Gate questions and pre-work alignment</w:t>
      </w:r>
    </w:p>
    <w:p>
      <w:pPr>
        <w:spacing w:after="120" w:before="0" w:line="300"/>
        <w:jc w:val="left"/>
      </w:pPr>
      <w:r>
        <w:rPr>
          <w:rFonts w:ascii="Arial" w:cs="Arial" w:eastAsia="Arial" w:hAnsi="Arial"/>
          <w:color w:val="1A1A1A"/>
          <w:sz w:val="22"/>
          <w:szCs w:val="22"/>
        </w:rPr>
        <w:t xml:space="preserve">Each test order in the simulator is gated by a foundational anatomy question. The questions test what students were assigned to study the night before, applied to Jordan's case.</w:t>
      </w:r>
    </w:p>
    <w:p>
      <w:pPr>
        <w:spacing w:after="120" w:before="120"/>
      </w:pPr>
      <w:r>
        <w:rPr>
          <w:rFonts w:ascii="Arial" w:cs="Arial" w:eastAsia="Arial" w:hAnsi="Arial"/>
        </w:rPr>
        <w:t xml:space="preserve"/>
      </w:r>
    </w:p>
    <w:p>
      <w:pPr>
        <w:pStyle w:val="Heading2"/>
        <w:spacing w:after="160" w:before="320"/>
      </w:pPr>
      <w:r>
        <w:rPr>
          <w:rFonts w:ascii="Arial" w:cs="Arial" w:eastAsia="Arial" w:hAnsi="Arial"/>
          <w:b/>
          <w:bCs/>
          <w:color w:val="142940"/>
          <w:sz w:val="28"/>
          <w:szCs w:val="28"/>
        </w:rPr>
        <w:t xml:space="preserve">Day 1 (Monday): Body regions, directional terms, anatomical position, planes</w:t>
      </w:r>
    </w:p>
    <w:p>
      <w:pPr>
        <w:spacing w:after="120" w:before="0" w:line="300"/>
        <w:jc w:val="left"/>
      </w:pPr>
      <w:r>
        <w:rPr>
          <w:rFonts w:ascii="Arial" w:cs="Arial" w:eastAsia="Arial" w:hAnsi="Arial"/>
          <w:i/>
          <w:iCs/>
          <w:color w:val="3D4F5A"/>
          <w:sz w:val="22"/>
          <w:szCs w:val="22"/>
        </w:rPr>
        <w:t xml:space="preserve">Pre-work assigned: anatomical terminology chapter (Sunday/Monday morning).</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TEST</w:t>
            </w:r>
          </w:p>
        </w:tc>
        <w:tc>
          <w:tcPr>
            <w:tcW w:type="dxa" w:w="240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CONCEPT TESTED</w:t>
            </w:r>
          </w:p>
        </w:tc>
        <w:tc>
          <w:tcPr>
            <w:tcW w:type="dxa" w:w="476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ESSENCE OF THE QUESTION (CORRECT ANSWER A)</w:t>
            </w:r>
          </w:p>
        </w:tc>
      </w:tr>
      <w:tr>
        <w:tc>
          <w:tcPr>
            <w:tcW w:type="dxa" w:w="22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CBC w/ diff</w:t>
            </w:r>
          </w:p>
        </w:tc>
        <w:tc>
          <w:tcPr>
            <w:tcW w:type="dxa" w:w="24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7C2018"/>
                <w:sz w:val="18"/>
                <w:szCs w:val="18"/>
              </w:rPr>
              <w:t xml:space="preserve">Body region (upper limb)</w:t>
            </w:r>
          </w:p>
        </w:tc>
        <w:tc>
          <w:tcPr>
            <w:tcW w:type="dxa" w:w="47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Brachial vs antebrachial vs carpal vs crural. Brachial = upper arm.</w:t>
            </w:r>
          </w:p>
        </w:tc>
      </w:tr>
      <w:tr>
        <w:tc>
          <w:tcPr>
            <w:tcW w:type="dxa" w:w="22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CMP</w:t>
            </w:r>
          </w:p>
        </w:tc>
        <w:tc>
          <w:tcPr>
            <w:tcW w:type="dxa" w:w="24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7C2018"/>
                <w:sz w:val="18"/>
                <w:szCs w:val="18"/>
              </w:rPr>
              <w:t xml:space="preserve">Directional terms</w:t>
            </w:r>
          </w:p>
        </w:tc>
        <w:tc>
          <w:tcPr>
            <w:tcW w:type="dxa" w:w="47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Skin is _____ to muscle. Superficial vs deep vs proximal vs distal. Answer: superficial.</w:t>
            </w:r>
          </w:p>
        </w:tc>
      </w:tr>
      <w:tr>
        <w:tc>
          <w:tcPr>
            <w:tcW w:type="dxa" w:w="22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Nikolsky</w:t>
            </w:r>
          </w:p>
        </w:tc>
        <w:tc>
          <w:tcPr>
            <w:tcW w:type="dxa" w:w="24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7C2018"/>
                <w:sz w:val="18"/>
                <w:szCs w:val="18"/>
              </w:rPr>
              <w:t xml:space="preserve">Anatomical position</w:t>
            </w:r>
          </w:p>
        </w:tc>
        <w:tc>
          <w:tcPr>
            <w:tcW w:type="dxa" w:w="47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Anterior surface = ventral surface (paired terms). Distractors: dorsal, cephalic, caudal.</w:t>
            </w:r>
          </w:p>
        </w:tc>
      </w:tr>
      <w:tr>
        <w:tc>
          <w:tcPr>
            <w:tcW w:type="dxa" w:w="22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Skin swab</w:t>
            </w:r>
          </w:p>
        </w:tc>
        <w:tc>
          <w:tcPr>
            <w:tcW w:type="dxa" w:w="24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7C2018"/>
                <w:sz w:val="18"/>
                <w:szCs w:val="18"/>
              </w:rPr>
              <w:t xml:space="preserve">Body planes</w:t>
            </w:r>
          </w:p>
        </w:tc>
        <w:tc>
          <w:tcPr>
            <w:tcW w:type="dxa" w:w="47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Sagittal plane divides body into right and left. Distractors: frontal/coronal, transverse, oblique.</w:t>
            </w:r>
          </w:p>
        </w:tc>
      </w:tr>
      <w:tr>
        <w:tc>
          <w:tcPr>
            <w:tcW w:type="dxa" w:w="22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Biopsy</w:t>
            </w:r>
          </w:p>
        </w:tc>
        <w:tc>
          <w:tcPr>
            <w:tcW w:type="dxa" w:w="24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7C2018"/>
                <w:sz w:val="18"/>
                <w:szCs w:val="18"/>
              </w:rPr>
              <w:t xml:space="preserve">Regional terms (face)</w:t>
            </w:r>
          </w:p>
        </w:tc>
        <w:tc>
          <w:tcPr>
            <w:tcW w:type="dxa" w:w="47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Buccal = cheek; Frontal = forehead. Distractors include mental, occipital, cervical, lumbar.</w:t>
            </w:r>
          </w:p>
        </w:tc>
      </w:tr>
    </w:tbl>
    <w:p>
      <w:pPr>
        <w:spacing w:after="120" w:before="120"/>
      </w:pPr>
      <w:r>
        <w:rPr>
          <w:rFonts w:ascii="Arial" w:cs="Arial" w:eastAsia="Arial" w:hAnsi="Arial"/>
        </w:rPr>
        <w:t xml:space="preserve"/>
      </w:r>
    </w:p>
    <w:p>
      <w:pPr>
        <w:spacing w:after="100" w:before="200"/>
      </w:pPr>
      <w:r>
        <w:rPr>
          <w:rFonts w:ascii="Arial" w:cs="Arial" w:eastAsia="Arial" w:hAnsi="Arial"/>
          <w:b/>
          <w:bCs/>
          <w:color w:val="142940"/>
          <w:sz w:val="22"/>
          <w:szCs w:val="22"/>
        </w:rPr>
        <w:t xml:space="preserve">Common student stumbles on Day 1</w:t>
      </w:r>
    </w:p>
    <w:p>
      <w:pPr>
        <w:pStyle w:val="ListParagraph"/>
        <w:numPr>
          <w:ilvl w:val="0"/>
          <w:numId w:val="2"/>
        </w:numPr>
        <w:spacing w:after="60" w:before="60" w:line="280"/>
      </w:pPr>
      <w:r>
        <w:rPr>
          <w:rFonts w:ascii="Arial" w:cs="Arial" w:eastAsia="Arial" w:hAnsi="Arial"/>
          <w:color w:val="1A1A1A"/>
          <w:sz w:val="22"/>
          <w:szCs w:val="22"/>
        </w:rPr>
        <w:t xml:space="preserve">Confusing brachial (upper arm) with antebrachial (forearm). The "ante" prefix means "before/in front of," so antebrachial is in front of the brachial when reaching forward.</w:t>
      </w:r>
    </w:p>
    <w:p>
      <w:pPr>
        <w:pStyle w:val="ListParagraph"/>
        <w:numPr>
          <w:ilvl w:val="0"/>
          <w:numId w:val="2"/>
        </w:numPr>
        <w:spacing w:after="60" w:before="60" w:line="280"/>
      </w:pPr>
      <w:r>
        <w:rPr>
          <w:rFonts w:ascii="Arial" w:cs="Arial" w:eastAsia="Arial" w:hAnsi="Arial"/>
          <w:color w:val="1A1A1A"/>
          <w:sz w:val="22"/>
          <w:szCs w:val="22"/>
        </w:rPr>
        <w:t xml:space="preserve">Treating anterior, ventral, superficial, and superior as interchangeable. They are distinct paired opposites.</w:t>
      </w:r>
    </w:p>
    <w:p>
      <w:pPr>
        <w:pStyle w:val="ListParagraph"/>
        <w:numPr>
          <w:ilvl w:val="0"/>
          <w:numId w:val="2"/>
        </w:numPr>
        <w:spacing w:after="60" w:before="60" w:line="280"/>
      </w:pPr>
      <w:r>
        <w:rPr>
          <w:rFonts w:ascii="Arial" w:cs="Arial" w:eastAsia="Arial" w:hAnsi="Arial"/>
          <w:color w:val="1A1A1A"/>
          <w:sz w:val="22"/>
          <w:szCs w:val="22"/>
        </w:rPr>
        <w:t xml:space="preserve">Mixing sagittal (right/left) with frontal/coronal (anterior/posterior). The "sagitta" means arrow, picture an arrow shot down the midline.</w:t>
      </w:r>
    </w:p>
    <w:p>
      <w:r>
        <w:br w:type="page"/>
      </w:r>
    </w:p>
    <w:p>
      <w:pPr>
        <w:pStyle w:val="Heading2"/>
        <w:spacing w:after="160" w:before="320"/>
      </w:pPr>
      <w:r>
        <w:rPr>
          <w:rFonts w:ascii="Arial" w:cs="Arial" w:eastAsia="Arial" w:hAnsi="Arial"/>
          <w:b/>
          <w:bCs/>
          <w:color w:val="142940"/>
          <w:sz w:val="28"/>
          <w:szCs w:val="28"/>
        </w:rPr>
        <w:t xml:space="preserve">Day 2 (Tuesday): Body cavities, abdominal regions and quadrants</w:t>
      </w:r>
    </w:p>
    <w:p>
      <w:pPr>
        <w:spacing w:after="120" w:before="0" w:line="300"/>
        <w:jc w:val="left"/>
      </w:pPr>
      <w:r>
        <w:rPr>
          <w:rFonts w:ascii="Arial" w:cs="Arial" w:eastAsia="Arial" w:hAnsi="Arial"/>
          <w:i/>
          <w:iCs/>
          <w:color w:val="3D4F5A"/>
          <w:sz w:val="22"/>
          <w:szCs w:val="22"/>
        </w:rPr>
        <w:t xml:space="preserve">Pre-work assigned: body cavities, dorsal vs ventral cavities, subdivisions, abdominal quadrants and regions (Monday night).</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TEST</w:t>
            </w:r>
          </w:p>
        </w:tc>
        <w:tc>
          <w:tcPr>
            <w:tcW w:type="dxa" w:w="240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CONCEPT TESTED</w:t>
            </w:r>
          </w:p>
        </w:tc>
        <w:tc>
          <w:tcPr>
            <w:tcW w:type="dxa" w:w="476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ESSENCE OF THE QUESTION (CORRECT ANSWER A)</w:t>
            </w:r>
          </w:p>
        </w:tc>
      </w:tr>
      <w:tr>
        <w:tc>
          <w:tcPr>
            <w:tcW w:type="dxa" w:w="22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Repeat CBC</w:t>
            </w:r>
          </w:p>
        </w:tc>
        <w:tc>
          <w:tcPr>
            <w:tcW w:type="dxa" w:w="24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7C2018"/>
                <w:sz w:val="18"/>
                <w:szCs w:val="18"/>
              </w:rPr>
              <w:t xml:space="preserve">Thoracic cavity</w:t>
            </w:r>
          </w:p>
        </w:tc>
        <w:tc>
          <w:tcPr>
            <w:tcW w:type="dxa" w:w="47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Sternum and ribs form wall of which cavity? Thoracic.</w:t>
            </w:r>
          </w:p>
        </w:tc>
      </w:tr>
      <w:tr>
        <w:tc>
          <w:tcPr>
            <w:tcW w:type="dxa" w:w="22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LDH</w:t>
            </w:r>
          </w:p>
        </w:tc>
        <w:tc>
          <w:tcPr>
            <w:tcW w:type="dxa" w:w="24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7C2018"/>
                <w:sz w:val="18"/>
                <w:szCs w:val="18"/>
              </w:rPr>
              <w:t xml:space="preserve">Mediastinum</w:t>
            </w:r>
          </w:p>
        </w:tc>
        <w:tc>
          <w:tcPr>
            <w:tcW w:type="dxa" w:w="47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Heart sits in mediastinum, a subdivision of thoracic cavity.</w:t>
            </w:r>
          </w:p>
        </w:tc>
      </w:tr>
      <w:tr>
        <w:tc>
          <w:tcPr>
            <w:tcW w:type="dxa" w:w="22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HSV PCR</w:t>
            </w:r>
          </w:p>
        </w:tc>
        <w:tc>
          <w:tcPr>
            <w:tcW w:type="dxa" w:w="24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7C2018"/>
                <w:sz w:val="18"/>
                <w:szCs w:val="18"/>
              </w:rPr>
              <w:t xml:space="preserve">Cranial / orbital</w:t>
            </w:r>
          </w:p>
        </w:tc>
        <w:tc>
          <w:tcPr>
            <w:tcW w:type="dxa" w:w="47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Eyes housed in orbits, near cranial cavity (which holds the brain).</w:t>
            </w:r>
          </w:p>
        </w:tc>
      </w:tr>
      <w:tr>
        <w:tc>
          <w:tcPr>
            <w:tcW w:type="dxa" w:w="22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HIV serology</w:t>
            </w:r>
          </w:p>
        </w:tc>
        <w:tc>
          <w:tcPr>
            <w:tcW w:type="dxa" w:w="24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7C2018"/>
                <w:sz w:val="18"/>
                <w:szCs w:val="18"/>
              </w:rPr>
              <w:t xml:space="preserve">Abdominal quadrants</w:t>
            </w:r>
          </w:p>
        </w:tc>
        <w:tc>
          <w:tcPr>
            <w:tcW w:type="dxa" w:w="47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Spleen sits in left upper quadrant (LUQ).</w:t>
            </w:r>
          </w:p>
        </w:tc>
      </w:tr>
      <w:tr>
        <w:tc>
          <w:tcPr>
            <w:tcW w:type="dxa" w:w="22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Mycoplasma</w:t>
            </w:r>
          </w:p>
        </w:tc>
        <w:tc>
          <w:tcPr>
            <w:tcW w:type="dxa" w:w="24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7C2018"/>
                <w:sz w:val="18"/>
                <w:szCs w:val="18"/>
              </w:rPr>
              <w:t xml:space="preserve">Pleural cavities</w:t>
            </w:r>
          </w:p>
        </w:tc>
        <w:tc>
          <w:tcPr>
            <w:tcW w:type="dxa" w:w="47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Lungs sit in pleural cavities, within the thoracic cavity.</w:t>
            </w:r>
          </w:p>
        </w:tc>
      </w:tr>
    </w:tbl>
    <w:p>
      <w:pPr>
        <w:spacing w:after="120" w:before="120"/>
      </w:pPr>
      <w:r>
        <w:rPr>
          <w:rFonts w:ascii="Arial" w:cs="Arial" w:eastAsia="Arial" w:hAnsi="Arial"/>
        </w:rPr>
        <w:t xml:space="preserve"/>
      </w:r>
    </w:p>
    <w:p>
      <w:pPr>
        <w:spacing w:after="100" w:before="200"/>
      </w:pPr>
      <w:r>
        <w:rPr>
          <w:rFonts w:ascii="Arial" w:cs="Arial" w:eastAsia="Arial" w:hAnsi="Arial"/>
          <w:b/>
          <w:bCs/>
          <w:color w:val="142940"/>
          <w:sz w:val="22"/>
          <w:szCs w:val="22"/>
        </w:rPr>
        <w:t xml:space="preserve">Common student stumbles on Day 2</w:t>
      </w:r>
    </w:p>
    <w:p>
      <w:pPr>
        <w:pStyle w:val="ListParagraph"/>
        <w:numPr>
          <w:ilvl w:val="0"/>
          <w:numId w:val="2"/>
        </w:numPr>
        <w:spacing w:after="60" w:before="60" w:line="280"/>
      </w:pPr>
      <w:r>
        <w:rPr>
          <w:rFonts w:ascii="Arial" w:cs="Arial" w:eastAsia="Arial" w:hAnsi="Arial"/>
          <w:color w:val="1A1A1A"/>
          <w:sz w:val="22"/>
          <w:szCs w:val="22"/>
        </w:rPr>
        <w:t xml:space="preserve">Forgetting that the heart is NOT in a pleural cavity. It is in the pericardial cavity within the mediastinum, which sits between the pleural cavities.</w:t>
      </w:r>
    </w:p>
    <w:p>
      <w:pPr>
        <w:pStyle w:val="ListParagraph"/>
        <w:numPr>
          <w:ilvl w:val="0"/>
          <w:numId w:val="2"/>
        </w:numPr>
        <w:spacing w:after="60" w:before="60" w:line="280"/>
      </w:pPr>
      <w:r>
        <w:rPr>
          <w:rFonts w:ascii="Arial" w:cs="Arial" w:eastAsia="Arial" w:hAnsi="Arial"/>
          <w:color w:val="1A1A1A"/>
          <w:sz w:val="22"/>
          <w:szCs w:val="22"/>
        </w:rPr>
        <w:t xml:space="preserve">Confusing the four-quadrant scheme with the nine-region scheme. Both exist; quadrants are simpler and more clinical.</w:t>
      </w:r>
    </w:p>
    <w:p>
      <w:pPr>
        <w:pStyle w:val="ListParagraph"/>
        <w:numPr>
          <w:ilvl w:val="0"/>
          <w:numId w:val="2"/>
        </w:numPr>
        <w:spacing w:after="60" w:before="60" w:line="280"/>
      </w:pPr>
      <w:r>
        <w:rPr>
          <w:rFonts w:ascii="Arial" w:cs="Arial" w:eastAsia="Arial" w:hAnsi="Arial"/>
          <w:color w:val="1A1A1A"/>
          <w:sz w:val="22"/>
          <w:szCs w:val="22"/>
        </w:rPr>
        <w:t xml:space="preserve">Forgetting that the orbits are part of the skull's bony cavities, near but distinct from the cranial cavity proper.</w:t>
      </w:r>
    </w:p>
    <w:p>
      <w:pPr>
        <w:spacing w:after="120" w:before="120"/>
      </w:pPr>
      <w:r>
        <w:rPr>
          <w:rFonts w:ascii="Arial" w:cs="Arial" w:eastAsia="Arial" w:hAnsi="Arial"/>
        </w:rPr>
        <w:t xml:space="preserve"/>
      </w:r>
    </w:p>
    <w:p>
      <w:pPr>
        <w:pStyle w:val="Heading2"/>
        <w:spacing w:after="160" w:before="320"/>
      </w:pPr>
      <w:r>
        <w:rPr>
          <w:rFonts w:ascii="Arial" w:cs="Arial" w:eastAsia="Arial" w:hAnsi="Arial"/>
          <w:b/>
          <w:bCs/>
          <w:color w:val="142940"/>
          <w:sz w:val="28"/>
          <w:szCs w:val="28"/>
        </w:rPr>
        <w:t xml:space="preserve">Day 3 (Wednesday): Tissue types</w:t>
      </w:r>
    </w:p>
    <w:p>
      <w:pPr>
        <w:spacing w:after="120" w:before="0" w:line="300"/>
        <w:jc w:val="left"/>
      </w:pPr>
      <w:r>
        <w:rPr>
          <w:rFonts w:ascii="Arial" w:cs="Arial" w:eastAsia="Arial" w:hAnsi="Arial"/>
          <w:i/>
          <w:iCs/>
          <w:color w:val="3D4F5A"/>
          <w:sz w:val="22"/>
          <w:szCs w:val="22"/>
        </w:rPr>
        <w:t xml:space="preserve">Pre-work assigned: cell structure (Tuesday night, brief) and the four primary tissue types (epithelial, connective, muscle, nervous).</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TEST</w:t>
            </w:r>
          </w:p>
        </w:tc>
        <w:tc>
          <w:tcPr>
            <w:tcW w:type="dxa" w:w="240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CONCEPT TESTED</w:t>
            </w:r>
          </w:p>
        </w:tc>
        <w:tc>
          <w:tcPr>
            <w:tcW w:type="dxa" w:w="476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ESSENCE OF THE QUESTION (CORRECT ANSWER A)</w:t>
            </w:r>
          </w:p>
        </w:tc>
      </w:tr>
      <w:tr>
        <w:tc>
          <w:tcPr>
            <w:tcW w:type="dxa" w:w="22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Repeat CMP</w:t>
            </w:r>
          </w:p>
        </w:tc>
        <w:tc>
          <w:tcPr>
            <w:tcW w:type="dxa" w:w="24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7C2018"/>
                <w:sz w:val="18"/>
                <w:szCs w:val="18"/>
              </w:rPr>
              <w:t xml:space="preserve">Epithelial tissue</w:t>
            </w:r>
          </w:p>
        </w:tc>
        <w:tc>
          <w:tcPr>
            <w:tcW w:type="dxa" w:w="47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Glomerulus filtration layer is epithelial tissue.</w:t>
            </w:r>
          </w:p>
        </w:tc>
      </w:tr>
      <w:tr>
        <w:tc>
          <w:tcPr>
            <w:tcW w:type="dxa" w:w="22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SCORTEN</w:t>
            </w:r>
          </w:p>
        </w:tc>
        <w:tc>
          <w:tcPr>
            <w:tcW w:type="dxa" w:w="24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7C2018"/>
                <w:sz w:val="18"/>
                <w:szCs w:val="18"/>
              </w:rPr>
              <w:t xml:space="preserve">Stratified squamous epithelium</w:t>
            </w:r>
          </w:p>
        </w:tc>
        <w:tc>
          <w:tcPr>
            <w:tcW w:type="dxa" w:w="47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Epidermis is keratinized stratified squamous epithelium.</w:t>
            </w:r>
          </w:p>
        </w:tc>
      </w:tr>
      <w:tr>
        <w:tc>
          <w:tcPr>
            <w:tcW w:type="dxa" w:w="22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Lactate</w:t>
            </w:r>
          </w:p>
        </w:tc>
        <w:tc>
          <w:tcPr>
            <w:tcW w:type="dxa" w:w="24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7C2018"/>
                <w:sz w:val="18"/>
                <w:szCs w:val="18"/>
              </w:rPr>
              <w:t xml:space="preserve">Connective tissue (dermis)</w:t>
            </w:r>
          </w:p>
        </w:tc>
        <w:tc>
          <w:tcPr>
            <w:tcW w:type="dxa" w:w="47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Dermis is dense irregular connective tissue.</w:t>
            </w:r>
          </w:p>
        </w:tc>
      </w:tr>
      <w:tr>
        <w:tc>
          <w:tcPr>
            <w:tcW w:type="dxa" w:w="22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Procalcitonin</w:t>
            </w:r>
          </w:p>
        </w:tc>
        <w:tc>
          <w:tcPr>
            <w:tcW w:type="dxa" w:w="24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7C2018"/>
                <w:sz w:val="18"/>
                <w:szCs w:val="18"/>
              </w:rPr>
              <w:t xml:space="preserve">Blood as connective tissue</w:t>
            </w:r>
          </w:p>
        </w:tc>
        <w:tc>
          <w:tcPr>
            <w:tcW w:type="dxa" w:w="47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Blood is connective tissue with fluid extracellular matrix (plasma).</w:t>
            </w:r>
          </w:p>
        </w:tc>
      </w:tr>
    </w:tbl>
    <w:p>
      <w:pPr>
        <w:spacing w:after="120" w:before="120"/>
      </w:pPr>
      <w:r>
        <w:rPr>
          <w:rFonts w:ascii="Arial" w:cs="Arial" w:eastAsia="Arial" w:hAnsi="Arial"/>
        </w:rPr>
        <w:t xml:space="preserve"/>
      </w:r>
    </w:p>
    <w:p>
      <w:pPr>
        <w:spacing w:after="100" w:before="200"/>
      </w:pPr>
      <w:r>
        <w:rPr>
          <w:rFonts w:ascii="Arial" w:cs="Arial" w:eastAsia="Arial" w:hAnsi="Arial"/>
          <w:b/>
          <w:bCs/>
          <w:color w:val="142940"/>
          <w:sz w:val="22"/>
          <w:szCs w:val="22"/>
        </w:rPr>
        <w:t xml:space="preserve">Common student stumbles on Day 3</w:t>
      </w:r>
    </w:p>
    <w:p>
      <w:pPr>
        <w:pStyle w:val="ListParagraph"/>
        <w:numPr>
          <w:ilvl w:val="0"/>
          <w:numId w:val="2"/>
        </w:numPr>
        <w:spacing w:after="60" w:before="60" w:line="280"/>
      </w:pPr>
      <w:r>
        <w:rPr>
          <w:rFonts w:ascii="Arial" w:cs="Arial" w:eastAsia="Arial" w:hAnsi="Arial"/>
          <w:color w:val="1A1A1A"/>
          <w:sz w:val="22"/>
          <w:szCs w:val="22"/>
        </w:rPr>
        <w:t xml:space="preserve">Thinking blood is its own category. Blood is CONNECTIVE tissue, characterized by fluid extracellular matrix (plasma).</w:t>
      </w:r>
    </w:p>
    <w:p>
      <w:pPr>
        <w:pStyle w:val="ListParagraph"/>
        <w:numPr>
          <w:ilvl w:val="0"/>
          <w:numId w:val="2"/>
        </w:numPr>
        <w:spacing w:after="60" w:before="60" w:line="280"/>
      </w:pPr>
      <w:r>
        <w:rPr>
          <w:rFonts w:ascii="Arial" w:cs="Arial" w:eastAsia="Arial" w:hAnsi="Arial"/>
          <w:color w:val="1A1A1A"/>
          <w:sz w:val="22"/>
          <w:szCs w:val="22"/>
        </w:rPr>
        <w:t xml:space="preserve">Confusing simple squamous with stratified squamous. Simple = one layer (alveoli, glomerulus, endothelium). Stratified = multiple layers (skin, esophagus, vagina).</w:t>
      </w:r>
    </w:p>
    <w:p>
      <w:pPr>
        <w:pStyle w:val="ListParagraph"/>
        <w:numPr>
          <w:ilvl w:val="0"/>
          <w:numId w:val="2"/>
        </w:numPr>
        <w:spacing w:after="60" w:before="60" w:line="280"/>
      </w:pPr>
      <w:r>
        <w:rPr>
          <w:rFonts w:ascii="Arial" w:cs="Arial" w:eastAsia="Arial" w:hAnsi="Arial"/>
          <w:color w:val="1A1A1A"/>
          <w:sz w:val="22"/>
          <w:szCs w:val="22"/>
        </w:rPr>
        <w:t xml:space="preserve">Calling the dermis epithelial. The dermis is connective tissue. Only the EPIDERMIS is epithelial.</w:t>
      </w:r>
    </w:p>
    <w:p>
      <w:r>
        <w:br w:type="page"/>
      </w:r>
    </w:p>
    <w:p>
      <w:pPr>
        <w:pStyle w:val="Heading1"/>
        <w:pBdr>
          <w:bottom w:val="single" w:color="C9A961" w:sz="8" w:space="6"/>
        </w:pBdr>
        <w:spacing w:after="200" w:before="360"/>
      </w:pPr>
      <w:r>
        <w:rPr>
          <w:rFonts w:ascii="Arial" w:cs="Arial" w:eastAsia="Arial" w:hAnsi="Arial"/>
          <w:b/>
          <w:bCs/>
          <w:color w:val="142940"/>
          <w:sz w:val="36"/>
          <w:szCs w:val="36"/>
        </w:rPr>
        <w:t xml:space="preserve">Scoring</w:t>
      </w:r>
    </w:p>
    <w:p>
      <w:pPr>
        <w:spacing w:after="120" w:before="0" w:line="300"/>
        <w:jc w:val="left"/>
      </w:pPr>
      <w:r>
        <w:rPr>
          <w:rFonts w:ascii="Arial" w:cs="Arial" w:eastAsia="Arial" w:hAnsi="Arial"/>
          <w:color w:val="1A1A1A"/>
          <w:sz w:val="22"/>
          <w:szCs w:val="22"/>
        </w:rPr>
        <w:t xml:space="preserve">Total possible: 85 points. Score appears on the reveal screen after Thursday TBL.</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CATEGORY</w:t>
            </w:r>
          </w:p>
        </w:tc>
        <w:tc>
          <w:tcPr>
            <w:tcW w:type="dxa" w:w="120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PTS</w:t>
            </w:r>
          </w:p>
        </w:tc>
        <w:tc>
          <w:tcPr>
            <w:tcW w:type="dxa" w:w="536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HOW IT IS GRADED</w:t>
            </w:r>
          </w:p>
        </w:tc>
      </w:tr>
      <w:tr>
        <w:tc>
          <w:tcPr>
            <w:tcW w:type="dxa" w:w="28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Diagnostic accuracy</w:t>
            </w:r>
          </w:p>
        </w:tc>
        <w:tc>
          <w:tcPr>
            <w:tcW w:type="dxa" w:w="12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center"/>
            </w:pPr>
            <w:r>
              <w:rPr>
                <w:rFonts w:ascii="Arial" w:cs="Arial" w:eastAsia="Arial" w:hAnsi="Arial"/>
                <w:b/>
                <w:bCs/>
                <w:color w:val="7C2018"/>
                <w:sz w:val="22"/>
                <w:szCs w:val="22"/>
              </w:rPr>
              <w:t xml:space="preserve">35</w:t>
            </w:r>
          </w:p>
        </w:tc>
        <w:tc>
          <w:tcPr>
            <w:tcW w:type="dxa" w:w="53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Final diagnosis text matches "stevens-johnson," "TEN," or "SJS" (20 pts). Plus up to 15 pts for using week 1 anatomy terminology in rationale (body region, tissue type, body cavity, directional, drug name).</w:t>
            </w:r>
          </w:p>
        </w:tc>
      </w:tr>
      <w:tr>
        <w:tc>
          <w:tcPr>
            <w:tcW w:type="dxa" w:w="28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Data efficiency</w:t>
            </w:r>
          </w:p>
        </w:tc>
        <w:tc>
          <w:tcPr>
            <w:tcW w:type="dxa" w:w="12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center"/>
            </w:pPr>
            <w:r>
              <w:rPr>
                <w:rFonts w:ascii="Arial" w:cs="Arial" w:eastAsia="Arial" w:hAnsi="Arial"/>
                <w:b/>
                <w:bCs/>
                <w:color w:val="7C2018"/>
                <w:sz w:val="22"/>
                <w:szCs w:val="22"/>
              </w:rPr>
              <w:t xml:space="preserve">20</w:t>
            </w:r>
          </w:p>
        </w:tc>
        <w:tc>
          <w:tcPr>
            <w:tcW w:type="dxa" w:w="53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Credits remaining out of 200 at end of Day 3, scaled. Encourages purposeful ordering, not panic-buying.</w:t>
            </w:r>
          </w:p>
        </w:tc>
      </w:tr>
      <w:tr>
        <w:tc>
          <w:tcPr>
            <w:tcW w:type="dxa" w:w="28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Interview quality</w:t>
            </w:r>
          </w:p>
        </w:tc>
        <w:tc>
          <w:tcPr>
            <w:tcW w:type="dxa" w:w="12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center"/>
            </w:pPr>
            <w:r>
              <w:rPr>
                <w:rFonts w:ascii="Arial" w:cs="Arial" w:eastAsia="Arial" w:hAnsi="Arial"/>
                <w:b/>
                <w:bCs/>
                <w:color w:val="7C2018"/>
                <w:sz w:val="22"/>
                <w:szCs w:val="22"/>
              </w:rPr>
              <w:t xml:space="preserve">15</w:t>
            </w:r>
          </w:p>
        </w:tc>
        <w:tc>
          <w:tcPr>
            <w:tcW w:type="dxa" w:w="53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Six topic areas tracked (medications, onset, skin, mucous, history, social). Each covered = 2.5 pts.</w:t>
            </w:r>
          </w:p>
        </w:tc>
      </w:tr>
      <w:tr>
        <w:tc>
          <w:tcPr>
            <w:tcW w:type="dxa" w:w="28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Gate performance</w:t>
            </w:r>
          </w:p>
        </w:tc>
        <w:tc>
          <w:tcPr>
            <w:tcW w:type="dxa" w:w="12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center"/>
            </w:pPr>
            <w:r>
              <w:rPr>
                <w:rFonts w:ascii="Arial" w:cs="Arial" w:eastAsia="Arial" w:hAnsi="Arial"/>
                <w:b/>
                <w:bCs/>
                <w:color w:val="7C2018"/>
                <w:sz w:val="22"/>
                <w:szCs w:val="22"/>
              </w:rPr>
              <w:t xml:space="preserve">10</w:t>
            </w:r>
          </w:p>
        </w:tc>
        <w:tc>
          <w:tcPr>
            <w:tcW w:type="dxa" w:w="53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Starts at 10. Each wrong gate retry, minus 2.</w:t>
            </w:r>
          </w:p>
        </w:tc>
      </w:tr>
      <w:tr>
        <w:tc>
          <w:tcPr>
            <w:tcW w:type="dxa" w:w="28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b/>
                <w:bCs/>
                <w:color w:val="142940"/>
                <w:sz w:val="20"/>
                <w:szCs w:val="20"/>
              </w:rPr>
              <w:t xml:space="preserve">Completion bonus</w:t>
            </w:r>
          </w:p>
        </w:tc>
        <w:tc>
          <w:tcPr>
            <w:tcW w:type="dxa" w:w="120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center"/>
            </w:pPr>
            <w:r>
              <w:rPr>
                <w:rFonts w:ascii="Arial" w:cs="Arial" w:eastAsia="Arial" w:hAnsi="Arial"/>
                <w:b/>
                <w:bCs/>
                <w:color w:val="7C2018"/>
                <w:sz w:val="22"/>
                <w:szCs w:val="22"/>
              </w:rPr>
              <w:t xml:space="preserve">5</w:t>
            </w:r>
          </w:p>
        </w:tc>
        <w:tc>
          <w:tcPr>
            <w:tcW w:type="dxa" w:w="53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Awarded if student unlocks Day 3 (proves week-long engagement).</w:t>
            </w:r>
          </w:p>
        </w:tc>
      </w:tr>
      <w:tr>
        <w:tc>
          <w:tcPr>
            <w:tcW w:type="dxa" w:w="280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2"/>
                <w:szCs w:val="22"/>
              </w:rPr>
              <w:t xml:space="preserve">TOTAL</w:t>
            </w:r>
          </w:p>
        </w:tc>
        <w:tc>
          <w:tcPr>
            <w:tcW w:type="dxa" w:w="120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4"/>
                <w:szCs w:val="24"/>
              </w:rPr>
              <w:t xml:space="preserve">85</w:t>
            </w:r>
          </w:p>
        </w:tc>
        <w:tc>
          <w:tcPr>
            <w:tcW w:type="dxa" w:w="5360"/>
            <w:tcBorders>
              <w:top w:val="single" w:color="BFC8CD" w:sz="4"/>
              <w:left w:val="single" w:color="BFC8CD" w:sz="4"/>
              <w:bottom w:val="single" w:color="BFC8CD" w:sz="4"/>
              <w:right w:val="single" w:color="BFC8CD" w:sz="4"/>
            </w:tcBorders>
            <w:shd w:fill="E8EDF3" w:val="clear"/>
            <w:tcMar>
              <w:top w:type="dxa" w:w="100"/>
              <w:left w:type="dxa" w:w="140"/>
              <w:bottom w:type="dxa" w:w="100"/>
              <w:right w:type="dxa" w:w="140"/>
            </w:tcMar>
            <w:vAlign w:val="center"/>
          </w:tcPr>
          <w:p>
            <w:pPr>
              <w:spacing w:after="0" w:before="0"/>
              <w:jc w:val="left"/>
            </w:pPr>
            <w:r>
              <w:rPr>
                <w:rFonts w:ascii="Arial" w:cs="Arial" w:eastAsia="Arial" w:hAnsi="Arial"/>
                <w:color w:val="1A1A1A"/>
                <w:sz w:val="20"/>
                <w:szCs w:val="20"/>
              </w:rPr>
              <w:t xml:space="preserve">Score is shown to student on the reveal screen along with full pathophysiology.</w:t>
            </w:r>
          </w:p>
        </w:tc>
      </w:tr>
    </w:tbl>
    <w:p>
      <w:pPr>
        <w:spacing w:after="120" w:before="120"/>
      </w:pPr>
      <w:r>
        <w:rPr>
          <w:rFonts w:ascii="Arial" w:cs="Arial" w:eastAsia="Arial" w:hAnsi="Arial"/>
        </w:rPr>
        <w:t xml:space="preserve"/>
      </w:r>
    </w:p>
    <w:p>
      <w:pPr>
        <w:pStyle w:val="Heading3"/>
        <w:spacing w:after="120" w:before="240"/>
      </w:pPr>
      <w:r>
        <w:rPr>
          <w:rFonts w:ascii="Arial" w:cs="Arial" w:eastAsia="Arial" w:hAnsi="Arial"/>
          <w:b/>
          <w:bCs/>
          <w:color w:val="7C2018"/>
          <w:sz w:val="22"/>
          <w:szCs w:val="22"/>
        </w:rPr>
        <w:t xml:space="preserve">How to use scores</w:t>
      </w:r>
    </w:p>
    <w:p>
      <w:pPr>
        <w:spacing w:after="120" w:before="0" w:line="300"/>
        <w:jc w:val="left"/>
      </w:pPr>
      <w:r>
        <w:rPr>
          <w:rFonts w:ascii="Arial" w:cs="Arial" w:eastAsia="Arial" w:hAnsi="Arial"/>
          <w:color w:val="1A1A1A"/>
          <w:sz w:val="22"/>
          <w:szCs w:val="22"/>
        </w:rPr>
        <w:t xml:space="preserve">Suggested grading approach: count the simulator score as a portion of the Week 1 lab quiz (10 percent of course grade) or as bonus points toward Scholar Points. The simulator was not built to replace any required course assessment; it complements TBL preparation.</w:t>
      </w:r>
    </w:p>
    <w:p>
      <w:pPr>
        <w:spacing w:after="120" w:before="120"/>
      </w:pPr>
      <w:r>
        <w:rPr>
          <w:rFonts w:ascii="Arial" w:cs="Arial" w:eastAsia="Arial" w:hAnsi="Arial"/>
        </w:rPr>
        <w:t xml:space="preserve"/>
      </w:r>
    </w:p>
    <w:p>
      <w:pPr>
        <w:spacing w:after="120" w:before="0" w:line="300"/>
        <w:jc w:val="left"/>
      </w:pPr>
      <w:r>
        <w:rPr>
          <w:rFonts w:ascii="Arial" w:cs="Arial" w:eastAsia="Arial" w:hAnsi="Arial"/>
          <w:color w:val="1A1A1A"/>
          <w:sz w:val="22"/>
          <w:szCs w:val="22"/>
        </w:rPr>
        <w:t xml:space="preserve">Some students will score in the 50s with the right diagnosis but weak rationale. Others will score 70+ with a wrong diagnosis but excellent terminology use. Both patterns are pedagogically useful, the rationale criteria reward foundational anatomy understanding.</w:t>
      </w:r>
    </w:p>
    <w:p>
      <w:r>
        <w:br w:type="page"/>
      </w:r>
    </w:p>
    <w:p>
      <w:pPr>
        <w:pStyle w:val="Heading1"/>
        <w:pBdr>
          <w:bottom w:val="single" w:color="C9A961" w:sz="8" w:space="6"/>
        </w:pBdr>
        <w:spacing w:after="200" w:before="360"/>
      </w:pPr>
      <w:r>
        <w:rPr>
          <w:rFonts w:ascii="Arial" w:cs="Arial" w:eastAsia="Arial" w:hAnsi="Arial"/>
          <w:b/>
          <w:bCs/>
          <w:color w:val="142940"/>
          <w:sz w:val="36"/>
          <w:szCs w:val="36"/>
        </w:rPr>
        <w:t xml:space="preserve">Anticipated student questions</w:t>
      </w:r>
    </w:p>
    <w:p>
      <w:pPr>
        <w:spacing w:after="120" w:before="0" w:line="300"/>
        <w:jc w:val="left"/>
      </w:pPr>
      <w:r>
        <w:rPr>
          <w:rFonts w:ascii="Arial" w:cs="Arial" w:eastAsia="Arial" w:hAnsi="Arial"/>
          <w:color w:val="1A1A1A"/>
          <w:sz w:val="22"/>
          <w:szCs w:val="22"/>
        </w:rPr>
        <w:t xml:space="preserve">Things they will ask, and how to answer them.</w:t>
      </w:r>
    </w:p>
    <w:p>
      <w:pPr>
        <w:spacing w:after="120" w:before="120"/>
      </w:pPr>
      <w:r>
        <w:rPr>
          <w:rFonts w:ascii="Arial" w:cs="Arial" w:eastAsia="Arial" w:hAnsi="Arial"/>
        </w:rPr>
        <w:t xml:space="preserve"/>
      </w:r>
    </w:p>
    <w:p>
      <w:pPr>
        <w:spacing w:after="60" w:before="200"/>
      </w:pPr>
      <w:r>
        <w:rPr>
          <w:rFonts w:ascii="Arial" w:cs="Arial" w:eastAsia="Arial" w:hAnsi="Arial"/>
          <w:b/>
          <w:bCs/>
          <w:color w:val="142940"/>
          <w:sz w:val="22"/>
          <w:szCs w:val="22"/>
        </w:rPr>
        <w:t xml:space="preserve">Q: I ran out of credits, can I get more?</w:t>
      </w:r>
    </w:p>
    <w:p>
      <w:pPr>
        <w:spacing w:after="80" w:before="0" w:line="280"/>
        <w:ind w:left="360"/>
      </w:pPr>
      <w:r>
        <w:rPr>
          <w:rFonts w:ascii="Arial" w:cs="Arial" w:eastAsia="Arial" w:hAnsi="Arial"/>
          <w:color w:val="1A1A1A"/>
          <w:sz w:val="22"/>
          <w:szCs w:val="22"/>
        </w:rPr>
        <w:t xml:space="preserve">A: No. The 200 credit budget is part of the lesson. Wrong gate retries cost 15 each. Students who finish with credits remaining earn higher efficiency points.</w:t>
      </w:r>
    </w:p>
    <w:p>
      <w:pPr>
        <w:spacing w:after="60" w:before="200"/>
      </w:pPr>
      <w:r>
        <w:rPr>
          <w:rFonts w:ascii="Arial" w:cs="Arial" w:eastAsia="Arial" w:hAnsi="Arial"/>
          <w:b/>
          <w:bCs/>
          <w:color w:val="142940"/>
          <w:sz w:val="22"/>
          <w:szCs w:val="22"/>
        </w:rPr>
        <w:t xml:space="preserve">Q: I have used all 10 interview questions and need more info.</w:t>
      </w:r>
    </w:p>
    <w:p>
      <w:pPr>
        <w:spacing w:after="80" w:before="0" w:line="280"/>
        <w:ind w:left="360"/>
      </w:pPr>
      <w:r>
        <w:rPr>
          <w:rFonts w:ascii="Arial" w:cs="Arial" w:eastAsia="Arial" w:hAnsi="Arial"/>
          <w:color w:val="1A1A1A"/>
          <w:sz w:val="22"/>
          <w:szCs w:val="22"/>
        </w:rPr>
        <w:t xml:space="preserve">A: No. The interview limit is fixed for the week. Direct them to the free bedside data and the test orders. They will get plenty more information through those.</w:t>
      </w:r>
    </w:p>
    <w:p>
      <w:pPr>
        <w:spacing w:after="60" w:before="200"/>
      </w:pPr>
      <w:r>
        <w:rPr>
          <w:rFonts w:ascii="Arial" w:cs="Arial" w:eastAsia="Arial" w:hAnsi="Arial"/>
          <w:b/>
          <w:bCs/>
          <w:color w:val="142940"/>
          <w:sz w:val="22"/>
          <w:szCs w:val="22"/>
        </w:rPr>
        <w:t xml:space="preserve">Q: The reveal code is not working.</w:t>
      </w:r>
    </w:p>
    <w:p>
      <w:pPr>
        <w:spacing w:after="80" w:before="0" w:line="280"/>
        <w:ind w:left="360"/>
      </w:pPr>
      <w:r>
        <w:rPr>
          <w:rFonts w:ascii="Arial" w:cs="Arial" w:eastAsia="Arial" w:hAnsi="Arial"/>
          <w:color w:val="1A1A1A"/>
          <w:sz w:val="22"/>
          <w:szCs w:val="22"/>
        </w:rPr>
        <w:t xml:space="preserve">A: Make sure the student submitted their final diagnosis first. Reveal only unlocks AFTER submission. They should be on the "Submitted" screen with the code field visible.</w:t>
      </w:r>
    </w:p>
    <w:p>
      <w:pPr>
        <w:spacing w:after="60" w:before="200"/>
      </w:pPr>
      <w:r>
        <w:rPr>
          <w:rFonts w:ascii="Arial" w:cs="Arial" w:eastAsia="Arial" w:hAnsi="Arial"/>
          <w:b/>
          <w:bCs/>
          <w:color w:val="142940"/>
          <w:sz w:val="22"/>
          <w:szCs w:val="22"/>
        </w:rPr>
        <w:t xml:space="preserve">Q: I closed the browser tab and lost my progress.</w:t>
      </w:r>
    </w:p>
    <w:p>
      <w:pPr>
        <w:spacing w:after="80" w:before="0" w:line="280"/>
        <w:ind w:left="360"/>
      </w:pPr>
      <w:r>
        <w:rPr>
          <w:rFonts w:ascii="Arial" w:cs="Arial" w:eastAsia="Arial" w:hAnsi="Arial"/>
          <w:color w:val="1A1A1A"/>
          <w:sz w:val="22"/>
          <w:szCs w:val="22"/>
        </w:rPr>
        <w:t xml:space="preserve">A: Progress is saved to the browser's localStorage. As long as they reopen on the SAME browser and SAME device, progress should be intact. Switching devices, using incognito mode, or clearing site data WILL erase progress (the simulator does not sync across devices).</w:t>
      </w:r>
    </w:p>
    <w:p>
      <w:pPr>
        <w:spacing w:after="60" w:before="200"/>
      </w:pPr>
      <w:r>
        <w:rPr>
          <w:rFonts w:ascii="Arial" w:cs="Arial" w:eastAsia="Arial" w:hAnsi="Arial"/>
          <w:b/>
          <w:bCs/>
          <w:color w:val="142940"/>
          <w:sz w:val="22"/>
          <w:szCs w:val="22"/>
        </w:rPr>
        <w:t xml:space="preserve">Q: I cannot screenshot.</w:t>
      </w:r>
    </w:p>
    <w:p>
      <w:pPr>
        <w:spacing w:after="80" w:before="0" w:line="280"/>
        <w:ind w:left="360"/>
      </w:pPr>
      <w:r>
        <w:rPr>
          <w:rFonts w:ascii="Arial" w:cs="Arial" w:eastAsia="Arial" w:hAnsi="Arial"/>
          <w:color w:val="1A1A1A"/>
          <w:sz w:val="22"/>
          <w:szCs w:val="22"/>
        </w:rPr>
        <w:t xml:space="preserve">A: That is by design. Print, copy, right-click, and most keyboard shortcuts are blocked, and a watermark with the student's name appears on every screen.</w:t>
      </w:r>
    </w:p>
    <w:p>
      <w:pPr>
        <w:spacing w:after="60" w:before="200"/>
      </w:pPr>
      <w:r>
        <w:rPr>
          <w:rFonts w:ascii="Arial" w:cs="Arial" w:eastAsia="Arial" w:hAnsi="Arial"/>
          <w:b/>
          <w:bCs/>
          <w:color w:val="142940"/>
          <w:sz w:val="22"/>
          <w:szCs w:val="22"/>
        </w:rPr>
        <w:t xml:space="preserve">Q: I do not know the diagnosis. Should I just guess?</w:t>
      </w:r>
    </w:p>
    <w:p>
      <w:pPr>
        <w:spacing w:after="80" w:before="0" w:line="280"/>
        <w:ind w:left="360"/>
      </w:pPr>
      <w:r>
        <w:rPr>
          <w:rFonts w:ascii="Arial" w:cs="Arial" w:eastAsia="Arial" w:hAnsi="Arial"/>
          <w:color w:val="1A1A1A"/>
          <w:sz w:val="22"/>
          <w:szCs w:val="22"/>
        </w:rPr>
        <w:t xml:space="preserve">A: Yes, submit your best guess. The rationale section awards partial credit for using anatomy terminology correctly even if the diagnosis is wrong. The case is built so they can succeed on the rationale even with an imperfect diagnosis.</w:t>
      </w:r>
    </w:p>
    <w:p>
      <w:pPr>
        <w:spacing w:after="60" w:before="200"/>
      </w:pPr>
      <w:r>
        <w:rPr>
          <w:rFonts w:ascii="Arial" w:cs="Arial" w:eastAsia="Arial" w:hAnsi="Arial"/>
          <w:b/>
          <w:bCs/>
          <w:color w:val="142940"/>
          <w:sz w:val="22"/>
          <w:szCs w:val="22"/>
        </w:rPr>
        <w:t xml:space="preserve">Q: What if a student misses Tuesday or Wednesday class and does not get the unlock code?</w:t>
      </w:r>
    </w:p>
    <w:p>
      <w:pPr>
        <w:spacing w:after="80" w:before="0" w:line="280"/>
        <w:ind w:left="360"/>
      </w:pPr>
      <w:r>
        <w:rPr>
          <w:rFonts w:ascii="Arial" w:cs="Arial" w:eastAsia="Arial" w:hAnsi="Arial"/>
          <w:color w:val="1A1A1A"/>
          <w:sz w:val="22"/>
          <w:szCs w:val="22"/>
        </w:rPr>
        <w:t xml:space="preserve">A: Email them the code privately, or have them check the course Canvas announcements. Treat it like missing a passcode for any other secured resource. Do NOT post the codes publicly on Canvas, and do NOT include them in the syllabus.</w:t>
      </w:r>
    </w:p>
    <w:p>
      <w:pPr>
        <w:spacing w:after="60" w:before="200"/>
      </w:pPr>
      <w:r>
        <w:rPr>
          <w:rFonts w:ascii="Arial" w:cs="Arial" w:eastAsia="Arial" w:hAnsi="Arial"/>
          <w:b/>
          <w:bCs/>
          <w:color w:val="142940"/>
          <w:sz w:val="22"/>
          <w:szCs w:val="22"/>
        </w:rPr>
        <w:t xml:space="preserve">Q: A student is struggling with the interview, getting "could you ask another way" repeatedly.</w:t>
      </w:r>
    </w:p>
    <w:p>
      <w:pPr>
        <w:spacing w:after="80" w:before="0" w:line="280"/>
        <w:ind w:left="360"/>
      </w:pPr>
      <w:r>
        <w:rPr>
          <w:rFonts w:ascii="Arial" w:cs="Arial" w:eastAsia="Arial" w:hAnsi="Arial"/>
          <w:color w:val="1A1A1A"/>
          <w:sz w:val="22"/>
          <w:szCs w:val="22"/>
        </w:rPr>
        <w:t xml:space="preserve">A: The interview matcher uses keyword detection, not natural language understanding. Suggest they ask short, focused questions using clinical terminology (medication, onset, history, family history, allergies). Off-topic questions still cost from the 10 question budget, this is a feature.</w:t>
      </w:r>
    </w:p>
    <w:p>
      <w:r>
        <w:br w:type="page"/>
      </w:r>
    </w:p>
    <w:p>
      <w:pPr>
        <w:pStyle w:val="Heading1"/>
        <w:pBdr>
          <w:bottom w:val="single" w:color="C9A961" w:sz="8" w:space="6"/>
        </w:pBdr>
        <w:spacing w:after="200" w:before="360"/>
      </w:pPr>
      <w:r>
        <w:rPr>
          <w:rFonts w:ascii="Arial" w:cs="Arial" w:eastAsia="Arial" w:hAnsi="Arial"/>
          <w:b/>
          <w:bCs/>
          <w:color w:val="142940"/>
          <w:sz w:val="36"/>
          <w:szCs w:val="36"/>
        </w:rPr>
        <w:t xml:space="preserve">Tech and deployment</w:t>
      </w:r>
    </w:p>
    <w:p>
      <w:pPr>
        <w:spacing w:after="120" w:before="0" w:line="300"/>
        <w:jc w:val="left"/>
      </w:pPr>
      <w:r>
        <w:rPr>
          <w:rFonts w:ascii="Arial" w:cs="Arial" w:eastAsia="Arial" w:hAnsi="Arial"/>
          <w:color w:val="1A1A1A"/>
          <w:sz w:val="22"/>
          <w:szCs w:val="22"/>
        </w:rPr>
        <w:t xml:space="preserve">How the file should be hosted and what to do when something breaks.</w:t>
      </w:r>
    </w:p>
    <w:p>
      <w:pPr>
        <w:spacing w:after="120" w:before="120"/>
      </w:pPr>
      <w:r>
        <w:rPr>
          <w:rFonts w:ascii="Arial" w:cs="Arial" w:eastAsia="Arial" w:hAnsi="Arial"/>
        </w:rPr>
        <w:t xml:space="preserve"/>
      </w:r>
    </w:p>
    <w:p>
      <w:pPr>
        <w:pStyle w:val="Heading3"/>
        <w:spacing w:after="120" w:before="240"/>
      </w:pPr>
      <w:r>
        <w:rPr>
          <w:rFonts w:ascii="Arial" w:cs="Arial" w:eastAsia="Arial" w:hAnsi="Arial"/>
          <w:b/>
          <w:bCs/>
          <w:color w:val="7C2018"/>
          <w:sz w:val="22"/>
          <w:szCs w:val="22"/>
        </w:rPr>
        <w:t xml:space="preserve">Where to host</w:t>
      </w:r>
    </w:p>
    <w:p>
      <w:pPr>
        <w:pStyle w:val="ListParagraph"/>
        <w:numPr>
          <w:ilvl w:val="0"/>
          <w:numId w:val="2"/>
        </w:numPr>
        <w:spacing w:after="60" w:before="60" w:line="280"/>
      </w:pPr>
      <w:r>
        <w:rPr>
          <w:rFonts w:ascii="Arial" w:cs="Arial" w:eastAsia="Arial" w:hAnsi="Arial"/>
          <w:color w:val="1A1A1A"/>
          <w:sz w:val="22"/>
          <w:szCs w:val="22"/>
        </w:rPr>
        <w:t xml:space="preserve">Recommended: GitHub Pages at drsrennie-stack.github.io/BIOL4-Solano/week-1-case-sim.html (or your preferred subdirectory). The simulator is one self-contained HTML file with no external dependencies except Google Fonts.</w:t>
      </w:r>
    </w:p>
    <w:p>
      <w:pPr>
        <w:pStyle w:val="ListParagraph"/>
        <w:numPr>
          <w:ilvl w:val="0"/>
          <w:numId w:val="2"/>
        </w:numPr>
        <w:spacing w:after="60" w:before="60" w:line="280"/>
      </w:pPr>
      <w:r>
        <w:rPr>
          <w:rFonts w:ascii="Arial" w:cs="Arial" w:eastAsia="Arial" w:hAnsi="Arial"/>
          <w:color w:val="1A1A1A"/>
          <w:sz w:val="22"/>
          <w:szCs w:val="22"/>
        </w:rPr>
        <w:t xml:space="preserve">Embed in Canvas via iframe in the Week 1 module. The file already includes the iframe height-sender script.</w:t>
      </w:r>
    </w:p>
    <w:p>
      <w:pPr>
        <w:pStyle w:val="ListParagraph"/>
        <w:numPr>
          <w:ilvl w:val="0"/>
          <w:numId w:val="2"/>
        </w:numPr>
        <w:spacing w:after="60" w:before="60" w:line="280"/>
      </w:pPr>
      <w:r>
        <w:rPr>
          <w:rFonts w:ascii="Arial" w:cs="Arial" w:eastAsia="Arial" w:hAnsi="Arial"/>
          <w:color w:val="1A1A1A"/>
          <w:sz w:val="22"/>
          <w:szCs w:val="22"/>
        </w:rPr>
        <w:t xml:space="preserve">Suggested iframe code:</w:t>
      </w:r>
    </w:p>
    <w:p>
      <w:pPr>
        <w:shd w:fill="F5F2EC" w:val="clear"/>
        <w:spacing w:after="200" w:before="100" w:line="280"/>
        <w:ind w:left="360"/>
      </w:pPr>
      <w:r>
        <w:rPr>
          <w:rFonts w:ascii="Courier New" w:cs="Courier New" w:eastAsia="Courier New" w:hAnsi="Courier New"/>
          <w:color w:val="3D4F5A"/>
          <w:sz w:val="18"/>
          <w:szCs w:val="18"/>
        </w:rPr>
        <w:t xml:space="preserve">&lt;iframe src="https://drsrennie-stack.github.io/BIOL4-Solano/week-1-case-sim.html" id="bio004-w1-jordan-sim" width="100%" height="3500" style="border:none;border-radius:8px"&gt;&lt;/iframe&gt;</w:t>
      </w:r>
    </w:p>
    <w:p>
      <w:pPr>
        <w:spacing w:after="120" w:before="120"/>
      </w:pPr>
      <w:r>
        <w:rPr>
          <w:rFonts w:ascii="Arial" w:cs="Arial" w:eastAsia="Arial" w:hAnsi="Arial"/>
        </w:rPr>
        <w:t xml:space="preserve"/>
      </w:r>
    </w:p>
    <w:p>
      <w:pPr>
        <w:pStyle w:val="Heading3"/>
        <w:spacing w:after="120" w:before="240"/>
      </w:pPr>
      <w:r>
        <w:rPr>
          <w:rFonts w:ascii="Arial" w:cs="Arial" w:eastAsia="Arial" w:hAnsi="Arial"/>
          <w:b/>
          <w:bCs/>
          <w:color w:val="7C2018"/>
          <w:sz w:val="22"/>
          <w:szCs w:val="22"/>
        </w:rPr>
        <w:t xml:space="preserve">If something breaks</w:t>
      </w:r>
    </w:p>
    <w:p>
      <w:pPr>
        <w:pStyle w:val="ListParagraph"/>
        <w:numPr>
          <w:ilvl w:val="0"/>
          <w:numId w:val="2"/>
        </w:numPr>
        <w:spacing w:after="60" w:before="60" w:line="280"/>
      </w:pPr>
      <w:r>
        <w:rPr>
          <w:rFonts w:ascii="Arial" w:cs="Arial" w:eastAsia="Arial" w:hAnsi="Arial"/>
          <w:color w:val="1A1A1A"/>
          <w:sz w:val="22"/>
          <w:szCs w:val="22"/>
        </w:rPr>
        <w:t xml:space="preserve">Page will not render in Canvas: check that iframe src URL is correct, the file is committed to the gh-pages branch, and the Canvas page allows iframes.</w:t>
      </w:r>
    </w:p>
    <w:p>
      <w:pPr>
        <w:pStyle w:val="ListParagraph"/>
        <w:numPr>
          <w:ilvl w:val="0"/>
          <w:numId w:val="2"/>
        </w:numPr>
        <w:spacing w:after="60" w:before="60" w:line="280"/>
      </w:pPr>
      <w:r>
        <w:rPr>
          <w:rFonts w:ascii="Arial" w:cs="Arial" w:eastAsia="Arial" w:hAnsi="Arial"/>
          <w:color w:val="1A1A1A"/>
          <w:sz w:val="22"/>
          <w:szCs w:val="22"/>
        </w:rPr>
        <w:t xml:space="preserve">Watermark not showing: requires JavaScript. Make sure the student has JS enabled in their browser (default in all modern browsers).</w:t>
      </w:r>
    </w:p>
    <w:p>
      <w:pPr>
        <w:pStyle w:val="ListParagraph"/>
        <w:numPr>
          <w:ilvl w:val="0"/>
          <w:numId w:val="2"/>
        </w:numPr>
        <w:spacing w:after="60" w:before="60" w:line="280"/>
      </w:pPr>
      <w:r>
        <w:rPr>
          <w:rFonts w:ascii="Arial" w:cs="Arial" w:eastAsia="Arial" w:hAnsi="Arial"/>
          <w:color w:val="1A1A1A"/>
          <w:sz w:val="22"/>
          <w:szCs w:val="22"/>
        </w:rPr>
        <w:t xml:space="preserve">Student name not appearing on watermark: they need to type their name on the entry screen. The watermark only renders after they enter.</w:t>
      </w:r>
    </w:p>
    <w:p>
      <w:pPr>
        <w:pStyle w:val="ListParagraph"/>
        <w:numPr>
          <w:ilvl w:val="0"/>
          <w:numId w:val="2"/>
        </w:numPr>
        <w:spacing w:after="60" w:before="60" w:line="280"/>
      </w:pPr>
      <w:r>
        <w:rPr>
          <w:rFonts w:ascii="Arial" w:cs="Arial" w:eastAsia="Arial" w:hAnsi="Arial"/>
          <w:color w:val="1A1A1A"/>
          <w:sz w:val="22"/>
          <w:szCs w:val="22"/>
        </w:rPr>
        <w:t xml:space="preserve">Codes are not working: they are case-insensitive and trim whitespace, but check for typos. The four valid codes are DERMIS, NIKOLSKY, SCORTEN, and CLEAVE.</w:t>
      </w:r>
    </w:p>
    <w:p>
      <w:pPr>
        <w:pStyle w:val="ListParagraph"/>
        <w:numPr>
          <w:ilvl w:val="0"/>
          <w:numId w:val="2"/>
        </w:numPr>
        <w:spacing w:after="60" w:before="60" w:line="280"/>
      </w:pPr>
      <w:r>
        <w:rPr>
          <w:rFonts w:ascii="Arial" w:cs="Arial" w:eastAsia="Arial" w:hAnsi="Arial"/>
          <w:color w:val="1A1A1A"/>
          <w:sz w:val="22"/>
          <w:szCs w:val="22"/>
        </w:rPr>
        <w:t xml:space="preserve">Student wants to start over: there is a "Restart Week 1" button on the reveal screen. Or they can manually clear localStorage in browser settings.</w:t>
      </w:r>
    </w:p>
    <w:p>
      <w:r>
        <w:br w:type="page"/>
      </w:r>
    </w:p>
    <w:p>
      <w:pPr>
        <w:pStyle w:val="Heading1"/>
        <w:pBdr>
          <w:bottom w:val="single" w:color="C9A961" w:sz="8" w:space="6"/>
        </w:pBdr>
        <w:spacing w:after="200" w:before="360"/>
      </w:pPr>
      <w:r>
        <w:rPr>
          <w:rFonts w:ascii="Arial" w:cs="Arial" w:eastAsia="Arial" w:hAnsi="Arial"/>
          <w:b/>
          <w:bCs/>
          <w:color w:val="142940"/>
          <w:sz w:val="36"/>
          <w:szCs w:val="36"/>
        </w:rPr>
        <w:t xml:space="preserve">Differential answer key</w:t>
      </w:r>
    </w:p>
    <w:p>
      <w:pPr>
        <w:spacing w:after="120" w:before="0" w:line="300"/>
        <w:jc w:val="left"/>
      </w:pPr>
      <w:r>
        <w:rPr>
          <w:rFonts w:ascii="Arial" w:cs="Arial" w:eastAsia="Arial" w:hAnsi="Arial"/>
          <w:color w:val="1A1A1A"/>
          <w:sz w:val="22"/>
          <w:szCs w:val="22"/>
        </w:rPr>
        <w:t xml:space="preserve">The 10 differentials presented in the Week 1 module page. Use this to evaluate student rationale on Thursday and grade their diagnostic reasoning.</w:t>
      </w:r>
    </w:p>
    <w:p>
      <w:pPr>
        <w:spacing w:after="120" w:before="120"/>
      </w:pPr>
      <w:r>
        <w:rPr>
          <w:rFonts w:ascii="Arial" w:cs="Arial" w:eastAsia="Arial" w:hAnsi="Arial"/>
        </w:rPr>
        <w:t xml:space="preserve"/>
      </w:r>
    </w:p>
    <w:p>
      <w:pPr>
        <w:spacing w:after="120" w:before="0" w:line="300"/>
        <w:jc w:val="left"/>
      </w:pPr>
      <w:r>
        <w:rPr>
          <w:rFonts w:ascii="Arial" w:cs="Arial" w:eastAsia="Arial" w:hAnsi="Arial"/>
          <w:color w:val="1A1A1A"/>
          <w:sz w:val="22"/>
          <w:szCs w:val="22"/>
        </w:rPr>
        <w:t xml:space="preserve">Confirmed diagnosis:</w:t>
      </w:r>
    </w:p>
    <w:p>
      <w:pPr>
        <w:spacing w:after="200" w:before="100"/>
      </w:pPr>
      <w:r>
        <w:rPr>
          <w:rFonts w:ascii="Arial" w:cs="Arial" w:eastAsia="Arial" w:hAnsi="Arial"/>
          <w:b/>
          <w:bCs/>
          <w:color w:val="7C2018"/>
          <w:sz w:val="24"/>
          <w:szCs w:val="24"/>
        </w:rPr>
        <w:t xml:space="preserve">Stevens-Johnson Syndrome / Toxic Epidermal Necrolysis overlap, drug-induced (TMP-SMX)</w:t>
      </w:r>
    </w:p>
    <w:p>
      <w:pPr>
        <w:spacing w:after="120" w:before="0" w:line="300"/>
        <w:jc w:val="left"/>
      </w:pPr>
      <w:r>
        <w:rPr>
          <w:rFonts w:ascii="Arial" w:cs="Arial" w:eastAsia="Arial" w:hAnsi="Arial"/>
          <w:color w:val="1A1A1A"/>
          <w:sz w:val="22"/>
          <w:szCs w:val="22"/>
        </w:rPr>
        <w:t xml:space="preserve">Why this is the right answer:</w:t>
      </w:r>
    </w:p>
    <w:p>
      <w:pPr>
        <w:pStyle w:val="ListParagraph"/>
        <w:numPr>
          <w:ilvl w:val="0"/>
          <w:numId w:val="2"/>
        </w:numPr>
        <w:spacing w:after="60" w:before="60" w:line="280"/>
      </w:pPr>
      <w:r>
        <w:rPr>
          <w:rFonts w:ascii="Arial" w:cs="Arial" w:eastAsia="Arial" w:hAnsi="Arial"/>
          <w:color w:val="1A1A1A"/>
          <w:sz w:val="22"/>
          <w:szCs w:val="22"/>
        </w:rPr>
        <w:t xml:space="preserve">Drug exposure (sulfa antibiotic) within typical SJS latency window (4 to 28 days).</w:t>
      </w:r>
    </w:p>
    <w:p>
      <w:pPr>
        <w:pStyle w:val="ListParagraph"/>
        <w:numPr>
          <w:ilvl w:val="0"/>
          <w:numId w:val="2"/>
        </w:numPr>
        <w:spacing w:after="60" w:before="60" w:line="280"/>
      </w:pPr>
      <w:r>
        <w:rPr>
          <w:rFonts w:ascii="Arial" w:cs="Arial" w:eastAsia="Arial" w:hAnsi="Arial"/>
          <w:color w:val="1A1A1A"/>
          <w:sz w:val="22"/>
          <w:szCs w:val="22"/>
        </w:rPr>
        <w:t xml:space="preserve">Both severe mucous membrane involvement AND extensive skin necrosis.</w:t>
      </w:r>
    </w:p>
    <w:p>
      <w:pPr>
        <w:pStyle w:val="ListParagraph"/>
        <w:numPr>
          <w:ilvl w:val="0"/>
          <w:numId w:val="2"/>
        </w:numPr>
        <w:spacing w:after="60" w:before="60" w:line="280"/>
      </w:pPr>
      <w:r>
        <w:rPr>
          <w:rFonts w:ascii="Arial" w:cs="Arial" w:eastAsia="Arial" w:hAnsi="Arial"/>
          <w:color w:val="1A1A1A"/>
          <w:sz w:val="22"/>
          <w:szCs w:val="22"/>
        </w:rPr>
        <w:t xml:space="preserve">Positive Nikolsky and Asboe-Hansen signs.</w:t>
      </w:r>
    </w:p>
    <w:p>
      <w:pPr>
        <w:pStyle w:val="ListParagraph"/>
        <w:numPr>
          <w:ilvl w:val="0"/>
          <w:numId w:val="2"/>
        </w:numPr>
        <w:spacing w:after="60" w:before="60" w:line="280"/>
      </w:pPr>
      <w:r>
        <w:rPr>
          <w:rFonts w:ascii="Arial" w:cs="Arial" w:eastAsia="Arial" w:hAnsi="Arial"/>
          <w:color w:val="1A1A1A"/>
          <w:sz w:val="22"/>
          <w:szCs w:val="22"/>
        </w:rPr>
        <w:t xml:space="preserve">Full-thickness epidermal necrosis on biopsy with subepidermal cleavage at the dermal-epidermal junction.</w:t>
      </w:r>
    </w:p>
    <w:p>
      <w:pPr>
        <w:pStyle w:val="ListParagraph"/>
        <w:numPr>
          <w:ilvl w:val="0"/>
          <w:numId w:val="2"/>
        </w:numPr>
        <w:spacing w:after="60" w:before="60" w:line="280"/>
      </w:pPr>
      <w:r>
        <w:rPr>
          <w:rFonts w:ascii="Arial" w:cs="Arial" w:eastAsia="Arial" w:hAnsi="Arial"/>
          <w:color w:val="1A1A1A"/>
          <w:sz w:val="22"/>
          <w:szCs w:val="22"/>
        </w:rPr>
        <w:t xml:space="preserve">Negative direct immunofluorescence (DIF) excludes autoimmune blistering disorders.</w:t>
      </w:r>
    </w:p>
    <w:p>
      <w:pPr>
        <w:pStyle w:val="ListParagraph"/>
        <w:numPr>
          <w:ilvl w:val="0"/>
          <w:numId w:val="2"/>
        </w:numPr>
        <w:spacing w:after="60" w:before="60" w:line="280"/>
      </w:pPr>
      <w:r>
        <w:rPr>
          <w:rFonts w:ascii="Arial" w:cs="Arial" w:eastAsia="Arial" w:hAnsi="Arial"/>
          <w:color w:val="1A1A1A"/>
          <w:sz w:val="22"/>
          <w:szCs w:val="22"/>
        </w:rPr>
        <w:t xml:space="preserve">BSA detached 12 percent on Day 3 places her in SJS-TEN OVERLAP range (10 to 30 percent).</w:t>
      </w:r>
    </w:p>
    <w:p>
      <w:pPr>
        <w:spacing w:after="120" w:before="120"/>
      </w:pPr>
      <w:r>
        <w:rPr>
          <w:rFonts w:ascii="Arial" w:cs="Arial" w:eastAsia="Arial" w:hAnsi="Arial"/>
        </w:rPr>
        <w:t xml:space="preserve"/>
      </w:r>
    </w:p>
    <w:p>
      <w:pPr>
        <w:spacing w:after="120" w:before="0" w:line="300"/>
        <w:jc w:val="left"/>
      </w:pPr>
      <w:r>
        <w:rPr>
          <w:rFonts w:ascii="Arial" w:cs="Arial" w:eastAsia="Arial" w:hAnsi="Arial"/>
          <w:color w:val="1A1A1A"/>
          <w:sz w:val="22"/>
          <w:szCs w:val="22"/>
        </w:rPr>
        <w:t xml:space="preserve">Why each alternative is excluded:</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DIFFERENTIAL</w:t>
            </w:r>
          </w:p>
        </w:tc>
        <w:tc>
          <w:tcPr>
            <w:tcW w:type="dxa" w:w="6360"/>
            <w:tcBorders>
              <w:top w:val="single" w:color="BFC8CD" w:sz="4"/>
              <w:left w:val="single" w:color="BFC8CD" w:sz="4"/>
              <w:bottom w:val="single" w:color="BFC8CD" w:sz="4"/>
              <w:right w:val="single" w:color="BFC8CD" w:sz="4"/>
            </w:tcBorders>
            <w:shd w:fill="1429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WHY IT IS NOT THIS (KEY EVIDENCE)</w:t>
            </w:r>
          </w:p>
        </w:tc>
      </w:tr>
      <w:tr>
        <w:tc>
          <w:tcPr>
            <w:tcW w:type="dxa" w:w="3000"/>
            <w:tcBorders>
              <w:top w:val="single" w:color="BFC8CD" w:sz="4"/>
              <w:left w:val="single" w:color="BFC8CD" w:sz="4"/>
              <w:bottom w:val="single" w:color="BFC8CD" w:sz="4"/>
              <w:right w:val="single" w:color="BFC8CD" w:sz="4"/>
            </w:tcBorders>
            <w:shd w:fill="EEF4F0"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Staphylococcal scalded skin syndrome (SSSS)</w:t>
            </w:r>
          </w:p>
        </w:tc>
        <w:tc>
          <w:tcPr>
            <w:tcW w:type="dxa" w:w="63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Cleavage at stratum granulosum (very superficial). Toxin-mediated. Children mostly. Negative bacterial swab here, full-thickness necrosis on biopsy excludes.</w:t>
            </w:r>
          </w:p>
        </w:tc>
      </w:tr>
      <w:tr>
        <w:tc>
          <w:tcPr>
            <w:tcW w:type="dxa" w:w="3000"/>
            <w:tcBorders>
              <w:top w:val="single" w:color="BFC8CD" w:sz="4"/>
              <w:left w:val="single" w:color="BFC8CD" w:sz="4"/>
              <w:bottom w:val="single" w:color="BFC8CD" w:sz="4"/>
              <w:right w:val="single" w:color="BFC8CD" w:sz="4"/>
            </w:tcBorders>
            <w:shd w:fill="EEF4F0"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Pemphigus vulgaris</w:t>
            </w:r>
          </w:p>
        </w:tc>
        <w:tc>
          <w:tcPr>
            <w:tcW w:type="dxa" w:w="63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Suprabasal intraepidermal cleavage (above basale). Anti-desmoglein-3 IgG autoantibodies. DIF would be POSITIVE for IgG along basement membrane. Jordan's DIF was negative, excludes.</w:t>
            </w:r>
          </w:p>
        </w:tc>
      </w:tr>
      <w:tr>
        <w:tc>
          <w:tcPr>
            <w:tcW w:type="dxa" w:w="3000"/>
            <w:tcBorders>
              <w:top w:val="single" w:color="BFC8CD" w:sz="4"/>
              <w:left w:val="single" w:color="BFC8CD" w:sz="4"/>
              <w:bottom w:val="single" w:color="BFC8CD" w:sz="4"/>
              <w:right w:val="single" w:color="BFC8CD" w:sz="4"/>
            </w:tcBorders>
            <w:shd w:fill="EEF4F0"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Bullous pemphigoid</w:t>
            </w:r>
          </w:p>
        </w:tc>
        <w:tc>
          <w:tcPr>
            <w:tcW w:type="dxa" w:w="63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Subepidermal cleavage but with eosinophilic infiltrate and IgG/C3 along basement membrane on DIF. Older patients typically. DIF negative excludes.</w:t>
            </w:r>
          </w:p>
        </w:tc>
      </w:tr>
      <w:tr>
        <w:tc>
          <w:tcPr>
            <w:tcW w:type="dxa" w:w="3000"/>
            <w:tcBorders>
              <w:top w:val="single" w:color="BFC8CD" w:sz="4"/>
              <w:left w:val="single" w:color="BFC8CD" w:sz="4"/>
              <w:bottom w:val="single" w:color="BFC8CD" w:sz="4"/>
              <w:right w:val="single" w:color="BFC8CD" w:sz="4"/>
            </w:tcBorders>
            <w:shd w:fill="EEF4F0"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Erythema multiforme major</w:t>
            </w:r>
          </w:p>
        </w:tc>
        <w:tc>
          <w:tcPr>
            <w:tcW w:type="dxa" w:w="63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Typically post-HSV. Acral target lesions, partial-thickness damage, limited mucosal involvement. HSV PCR negative, distribution is truncal not acral, full-thickness necrosis excludes.</w:t>
            </w:r>
          </w:p>
        </w:tc>
      </w:tr>
      <w:tr>
        <w:tc>
          <w:tcPr>
            <w:tcW w:type="dxa" w:w="3000"/>
            <w:tcBorders>
              <w:top w:val="single" w:color="BFC8CD" w:sz="4"/>
              <w:left w:val="single" w:color="BFC8CD" w:sz="4"/>
              <w:bottom w:val="single" w:color="BFC8CD" w:sz="4"/>
              <w:right w:val="single" w:color="BFC8CD" w:sz="4"/>
            </w:tcBorders>
            <w:shd w:fill="EEF4F0"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Mycoplasma-induced rash and mucositis (MIRM)</w:t>
            </w:r>
          </w:p>
        </w:tc>
        <w:tc>
          <w:tcPr>
            <w:tcW w:type="dxa" w:w="63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Mucositis-dominant with sparse skin lesions. Younger patients. Mycoplasma serology negative, Jordan has BOTH severe mucositis AND extensive necrosis, excludes.</w:t>
            </w:r>
          </w:p>
        </w:tc>
      </w:tr>
      <w:tr>
        <w:tc>
          <w:tcPr>
            <w:tcW w:type="dxa" w:w="3000"/>
            <w:tcBorders>
              <w:top w:val="single" w:color="BFC8CD" w:sz="4"/>
              <w:left w:val="single" w:color="BFC8CD" w:sz="4"/>
              <w:bottom w:val="single" w:color="BFC8CD" w:sz="4"/>
              <w:right w:val="single" w:color="BFC8CD" w:sz="4"/>
            </w:tcBorders>
            <w:shd w:fill="EEF4F0"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Acute generalized exanthematous pustulosis (AGEP)</w:t>
            </w:r>
          </w:p>
        </w:tc>
        <w:tc>
          <w:tcPr>
            <w:tcW w:type="dxa" w:w="63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Drug-induced sterile pustules on erythematous base. Neutrophilic infiltrate. Biopsy shows different pattern, no pustules clinically.</w:t>
            </w:r>
          </w:p>
        </w:tc>
      </w:tr>
      <w:tr>
        <w:tc>
          <w:tcPr>
            <w:tcW w:type="dxa" w:w="3000"/>
            <w:tcBorders>
              <w:top w:val="single" w:color="BFC8CD" w:sz="4"/>
              <w:left w:val="single" w:color="BFC8CD" w:sz="4"/>
              <w:bottom w:val="single" w:color="BFC8CD" w:sz="4"/>
              <w:right w:val="single" w:color="BFC8CD" w:sz="4"/>
            </w:tcBorders>
            <w:shd w:fill="EEF4F0"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DRESS syndrome</w:t>
            </w:r>
          </w:p>
        </w:tc>
        <w:tc>
          <w:tcPr>
            <w:tcW w:type="dxa" w:w="63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Drug reaction with eosinophilia and systemic symptoms. 2 to 8 week latency. LFTs elevated. No eosinophilia, normal LFTs, full-thickness necrosis on biopsy excludes.</w:t>
            </w:r>
          </w:p>
        </w:tc>
      </w:tr>
      <w:tr>
        <w:tc>
          <w:tcPr>
            <w:tcW w:type="dxa" w:w="3000"/>
            <w:tcBorders>
              <w:top w:val="single" w:color="BFC8CD" w:sz="4"/>
              <w:left w:val="single" w:color="BFC8CD" w:sz="4"/>
              <w:bottom w:val="single" w:color="BFC8CD" w:sz="4"/>
              <w:right w:val="single" w:color="BFC8CD" w:sz="4"/>
            </w:tcBorders>
            <w:shd w:fill="EEF4F0"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Severe thermal burn</w:t>
            </w:r>
          </w:p>
        </w:tc>
        <w:tc>
          <w:tcPr>
            <w:tcW w:type="dxa" w:w="63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Mechanism (heat exposure) absent in history. Distribution does not fit accidental burn pattern. Mucosal involvement is uncommon.</w:t>
            </w:r>
          </w:p>
        </w:tc>
      </w:tr>
      <w:tr>
        <w:tc>
          <w:tcPr>
            <w:tcW w:type="dxa" w:w="3000"/>
            <w:tcBorders>
              <w:top w:val="single" w:color="BFC8CD" w:sz="4"/>
              <w:left w:val="single" w:color="BFC8CD" w:sz="4"/>
              <w:bottom w:val="single" w:color="BFC8CD" w:sz="4"/>
              <w:right w:val="single" w:color="BFC8CD" w:sz="4"/>
            </w:tcBorders>
            <w:shd w:fill="EEF4F0"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Erythema multiforme minor</w:t>
            </w:r>
          </w:p>
        </w:tc>
        <w:tc>
          <w:tcPr>
            <w:tcW w:type="dxa" w:w="63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Same as EM major reasoning, plus minor form has no mucosal involvement. Rules out by mucosal severity alone.</w:t>
            </w:r>
          </w:p>
        </w:tc>
      </w:tr>
      <w:tr>
        <w:tc>
          <w:tcPr>
            <w:tcW w:type="dxa" w:w="3000"/>
            <w:tcBorders>
              <w:top w:val="single" w:color="BFC8CD" w:sz="4"/>
              <w:left w:val="single" w:color="BFC8CD" w:sz="4"/>
              <w:bottom w:val="single" w:color="BFC8CD" w:sz="4"/>
              <w:right w:val="single" w:color="BFC8CD" w:sz="4"/>
            </w:tcBorders>
            <w:shd w:fill="EEF4F0" w:val="clear"/>
            <w:tcMar>
              <w:top w:type="dxa" w:w="100"/>
              <w:left w:type="dxa" w:w="140"/>
              <w:bottom w:type="dxa" w:w="100"/>
              <w:right w:type="dxa" w:w="140"/>
            </w:tcMar>
            <w:vAlign w:val="center"/>
          </w:tcPr>
          <w:p>
            <w:pPr>
              <w:spacing w:after="0" w:before="0"/>
              <w:jc w:val="left"/>
            </w:pPr>
            <w:r>
              <w:rPr>
                <w:rFonts w:ascii="Arial" w:cs="Arial" w:eastAsia="Arial" w:hAnsi="Arial"/>
                <w:b/>
                <w:bCs/>
                <w:color w:val="142940"/>
                <w:sz w:val="18"/>
                <w:szCs w:val="18"/>
              </w:rPr>
              <w:t xml:space="preserve">Pemphigus foliaceus</w:t>
            </w:r>
          </w:p>
        </w:tc>
        <w:tc>
          <w:tcPr>
            <w:tcW w:type="dxa" w:w="6360"/>
            <w:tcBorders>
              <w:top w:val="single" w:color="BFC8CD" w:sz="4"/>
              <w:left w:val="single" w:color="BFC8CD" w:sz="4"/>
              <w:bottom w:val="single" w:color="BFC8CD" w:sz="4"/>
              <w:right w:val="single" w:color="BFC8CD" w:sz="4"/>
            </w:tcBorders>
            <w:tcMar>
              <w:top w:type="dxa" w:w="100"/>
              <w:left w:type="dxa" w:w="140"/>
              <w:bottom w:type="dxa" w:w="100"/>
              <w:right w:type="dxa" w:w="140"/>
            </w:tcMar>
            <w:vAlign w:val="center"/>
          </w:tcPr>
          <w:p>
            <w:pPr>
              <w:spacing w:after="0" w:before="0"/>
              <w:jc w:val="left"/>
            </w:pPr>
            <w:r>
              <w:rPr>
                <w:rFonts w:ascii="Arial" w:cs="Arial" w:eastAsia="Arial" w:hAnsi="Arial"/>
                <w:color w:val="1A1A1A"/>
                <w:sz w:val="18"/>
                <w:szCs w:val="18"/>
              </w:rPr>
              <w:t xml:space="preserve">Cleavage in superficial granular layer (anti-desmoglein-1). Spares mucous membranes. Mucosal involvement here excludes.</w:t>
            </w:r>
          </w:p>
        </w:tc>
      </w:tr>
    </w:tbl>
    <w:p>
      <w:r>
        <w:br w:type="page"/>
      </w:r>
    </w:p>
    <w:p>
      <w:pPr>
        <w:pStyle w:val="Heading1"/>
        <w:pBdr>
          <w:bottom w:val="single" w:color="C9A961" w:sz="8" w:space="6"/>
        </w:pBdr>
        <w:spacing w:after="200" w:before="360"/>
      </w:pPr>
      <w:r>
        <w:rPr>
          <w:rFonts w:ascii="Arial" w:cs="Arial" w:eastAsia="Arial" w:hAnsi="Arial"/>
          <w:b/>
          <w:bCs/>
          <w:color w:val="142940"/>
          <w:sz w:val="36"/>
          <w:szCs w:val="36"/>
        </w:rPr>
        <w:t xml:space="preserve">Notes for next term</w:t>
      </w:r>
    </w:p>
    <w:p>
      <w:pPr>
        <w:pStyle w:val="Heading3"/>
        <w:spacing w:after="120" w:before="240"/>
      </w:pPr>
      <w:r>
        <w:rPr>
          <w:rFonts w:ascii="Arial" w:cs="Arial" w:eastAsia="Arial" w:hAnsi="Arial"/>
          <w:b/>
          <w:bCs/>
          <w:color w:val="7C2018"/>
          <w:sz w:val="22"/>
          <w:szCs w:val="22"/>
        </w:rPr>
        <w:t xml:space="preserve">What to evaluate after summer 2026</w:t>
      </w:r>
    </w:p>
    <w:p>
      <w:pPr>
        <w:pStyle w:val="ListParagraph"/>
        <w:numPr>
          <w:ilvl w:val="0"/>
          <w:numId w:val="2"/>
        </w:numPr>
        <w:spacing w:after="60" w:before="60" w:line="280"/>
      </w:pPr>
      <w:r>
        <w:rPr>
          <w:rFonts w:ascii="Arial" w:cs="Arial" w:eastAsia="Arial" w:hAnsi="Arial"/>
          <w:color w:val="1A1A1A"/>
          <w:sz w:val="22"/>
          <w:szCs w:val="22"/>
        </w:rPr>
        <w:t xml:space="preserve">Did students score above 60/85 on average? If lower, the gate questions may be too hard or unfamiliar; consider scaffolding more in pre-work.</w:t>
      </w:r>
    </w:p>
    <w:p>
      <w:pPr>
        <w:pStyle w:val="ListParagraph"/>
        <w:numPr>
          <w:ilvl w:val="0"/>
          <w:numId w:val="2"/>
        </w:numPr>
        <w:spacing w:after="60" w:before="60" w:line="280"/>
      </w:pPr>
      <w:r>
        <w:rPr>
          <w:rFonts w:ascii="Arial" w:cs="Arial" w:eastAsia="Arial" w:hAnsi="Arial"/>
          <w:color w:val="1A1A1A"/>
          <w:sz w:val="22"/>
          <w:szCs w:val="22"/>
        </w:rPr>
        <w:t xml:space="preserve">Did most students reach Day 3? If not, the unlock code workflow may need adjusting (push codes earlier or via Canvas announcement).</w:t>
      </w:r>
    </w:p>
    <w:p>
      <w:pPr>
        <w:pStyle w:val="ListParagraph"/>
        <w:numPr>
          <w:ilvl w:val="0"/>
          <w:numId w:val="2"/>
        </w:numPr>
        <w:spacing w:after="60" w:before="60" w:line="280"/>
      </w:pPr>
      <w:r>
        <w:rPr>
          <w:rFonts w:ascii="Arial" w:cs="Arial" w:eastAsia="Arial" w:hAnsi="Arial"/>
          <w:color w:val="1A1A1A"/>
          <w:sz w:val="22"/>
          <w:szCs w:val="22"/>
        </w:rPr>
        <w:t xml:space="preserve">How many students used all 10 interview questions? Many should. Few using them suggests the case is too forgiving with bedside data.</w:t>
      </w:r>
    </w:p>
    <w:p>
      <w:pPr>
        <w:pStyle w:val="ListParagraph"/>
        <w:numPr>
          <w:ilvl w:val="0"/>
          <w:numId w:val="2"/>
        </w:numPr>
        <w:spacing w:after="60" w:before="60" w:line="280"/>
      </w:pPr>
      <w:r>
        <w:rPr>
          <w:rFonts w:ascii="Arial" w:cs="Arial" w:eastAsia="Arial" w:hAnsi="Arial"/>
          <w:color w:val="1A1A1A"/>
          <w:sz w:val="22"/>
          <w:szCs w:val="22"/>
        </w:rPr>
        <w:t xml:space="preserve">What rationale terminology do students reach for? If they default to vague "the rash spread" instead of using body region terms, the rubric isn't pulling its weight, tighten the prompt.</w:t>
      </w:r>
    </w:p>
    <w:p>
      <w:pPr>
        <w:spacing w:after="120" w:before="120"/>
      </w:pPr>
      <w:r>
        <w:rPr>
          <w:rFonts w:ascii="Arial" w:cs="Arial" w:eastAsia="Arial" w:hAnsi="Arial"/>
        </w:rPr>
        <w:t xml:space="preserve"/>
      </w:r>
    </w:p>
    <w:p>
      <w:pPr>
        <w:pStyle w:val="Heading3"/>
        <w:spacing w:after="120" w:before="240"/>
      </w:pPr>
      <w:r>
        <w:rPr>
          <w:rFonts w:ascii="Arial" w:cs="Arial" w:eastAsia="Arial" w:hAnsi="Arial"/>
          <w:b/>
          <w:bCs/>
          <w:color w:val="7C2018"/>
          <w:sz w:val="22"/>
          <w:szCs w:val="22"/>
        </w:rPr>
        <w:t xml:space="preserve">Questions to ask Dr. Rennie before next term</w:t>
      </w:r>
    </w:p>
    <w:p>
      <w:pPr>
        <w:pStyle w:val="ListParagraph"/>
        <w:numPr>
          <w:ilvl w:val="0"/>
          <w:numId w:val="2"/>
        </w:numPr>
        <w:spacing w:after="60" w:before="60" w:line="280"/>
      </w:pPr>
      <w:r>
        <w:rPr>
          <w:rFonts w:ascii="Arial" w:cs="Arial" w:eastAsia="Arial" w:hAnsi="Arial"/>
          <w:color w:val="1A1A1A"/>
          <w:sz w:val="22"/>
          <w:szCs w:val="22"/>
        </w:rPr>
        <w:t xml:space="preserve">Should Day 3 pre-work include the integumentary chapter or only tissue types? (Currently Day 3 gates assume tissue types only.)</w:t>
      </w:r>
    </w:p>
    <w:p>
      <w:pPr>
        <w:pStyle w:val="ListParagraph"/>
        <w:numPr>
          <w:ilvl w:val="0"/>
          <w:numId w:val="2"/>
        </w:numPr>
        <w:spacing w:after="60" w:before="60" w:line="280"/>
      </w:pPr>
      <w:r>
        <w:rPr>
          <w:rFonts w:ascii="Arial" w:cs="Arial" w:eastAsia="Arial" w:hAnsi="Arial"/>
          <w:color w:val="1A1A1A"/>
          <w:sz w:val="22"/>
          <w:szCs w:val="22"/>
        </w:rPr>
        <w:t xml:space="preserve">Should the rationale rubric require BOTH diagnosis correctness AND terminology use, or accept either alone?</w:t>
      </w:r>
    </w:p>
    <w:p>
      <w:pPr>
        <w:pStyle w:val="ListParagraph"/>
        <w:numPr>
          <w:ilvl w:val="0"/>
          <w:numId w:val="2"/>
        </w:numPr>
        <w:spacing w:after="60" w:before="60" w:line="280"/>
      </w:pPr>
      <w:r>
        <w:rPr>
          <w:rFonts w:ascii="Arial" w:cs="Arial" w:eastAsia="Arial" w:hAnsi="Arial"/>
          <w:color w:val="1A1A1A"/>
          <w:sz w:val="22"/>
          <w:szCs w:val="22"/>
        </w:rPr>
        <w:t xml:space="preserve">Add a "family explanation" mini-task at the end (write a 3-sentence explanation for Jordan's mother in plain language)?</w:t>
      </w:r>
    </w:p>
    <w:p>
      <w:pPr>
        <w:spacing w:after="120" w:before="120"/>
      </w:pPr>
      <w:r>
        <w:rPr>
          <w:rFonts w:ascii="Arial" w:cs="Arial" w:eastAsia="Arial" w:hAnsi="Arial"/>
        </w:rPr>
        <w:t xml:space="preserve"/>
      </w:r>
    </w:p>
    <w:p>
      <w:pPr>
        <w:spacing w:after="120" w:before="0" w:line="300"/>
        <w:jc w:val="left"/>
      </w:pPr>
      <w:r>
        <w:rPr>
          <w:rFonts w:ascii="Arial" w:cs="Arial" w:eastAsia="Arial" w:hAnsi="Arial"/>
          <w:color w:val="1A1A1A"/>
          <w:sz w:val="22"/>
          <w:szCs w:val="22"/>
        </w:rPr>
        <w:t xml:space="preserve">This guide and the simulator file (week-1-case-sim.html) are your two deliverables for Week 1. The full week-1-* iframe references are already in iframe-embed-snippets.html.</w:t>
      </w:r>
    </w:p>
    <w:p>
      <w:pPr>
        <w:spacing w:after="120" w:before="120"/>
      </w:pPr>
      <w:r>
        <w:rPr>
          <w:rFonts w:ascii="Arial" w:cs="Arial" w:eastAsia="Arial" w:hAnsi="Arial"/>
        </w:rPr>
        <w:t xml:space="preserve"/>
      </w:r>
    </w:p>
    <w:p>
      <w:pPr>
        <w:spacing w:after="120" w:before="0" w:line="300"/>
        <w:jc w:val="left"/>
      </w:pPr>
      <w:r>
        <w:rPr>
          <w:rFonts w:ascii="Arial" w:cs="Arial" w:eastAsia="Arial" w:hAnsi="Arial"/>
          <w:i/>
          <w:iCs/>
          <w:color w:val="3D4F5A"/>
          <w:sz w:val="22"/>
          <w:szCs w:val="22"/>
        </w:rPr>
        <w:t xml:space="preserve">Authored for the BIO 004 Summer 2026 launch. Dr. Sharilyn Rennie, MedMasters Collaborative.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D4F5A"/>
        <w:sz w:val="16"/>
        <w:szCs w:val="16"/>
      </w:rPr>
      <w:t xml:space="preserve">Page </w:t>
    </w:r>
    <w:r>
      <w:rPr>
        <w:rFonts w:ascii="Arial" w:cs="Arial" w:eastAsia="Arial" w:hAnsi="Arial"/>
        <w:color w:val="3D4F5A"/>
        <w:sz w:val="16"/>
        <w:szCs w:val="16"/>
      </w:rPr>
      <w:fldChar w:fldCharType="begin"/>
      <w:instrText xml:space="preserve">PAGE</w:instrText>
      <w:fldChar w:fldCharType="separate"/>
      <w:fldChar w:fldCharType="end"/>
    </w:r>
    <w:r>
      <w:rPr>
        <w:rFonts w:ascii="Arial" w:cs="Arial" w:eastAsia="Arial" w:hAnsi="Arial"/>
        <w:color w:val="3D4F5A"/>
        <w:sz w:val="16"/>
        <w:szCs w:val="16"/>
      </w:rPr>
      <w:t xml:space="preserve"> of </w:t>
    </w:r>
    <w:r>
      <w:rPr>
        <w:rFonts w:ascii="Arial" w:cs="Arial" w:eastAsia="Arial" w:hAnsi="Arial"/>
        <w:color w:val="3D4F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4" w:space="4"/>
      </w:pBdr>
      <w:jc w:val="right"/>
    </w:pPr>
    <w:r>
      <w:rPr>
        <w:rFonts w:ascii="Arial" w:cs="Arial" w:eastAsia="Arial" w:hAnsi="Arial"/>
        <w:color w:val="3D4F5A"/>
        <w:sz w:val="16"/>
        <w:szCs w:val="16"/>
      </w:rPr>
      <w:t xml:space="preserve">BIO 004 · Week 1 Facilitation Guide   ·   Dr. Sharilyn Rennie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4294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4294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7C20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 004 Week 1 Clinical Reasoning Simulator · Facilitation Guide</dc:title>
  <dc:creator>Dr. Sharilyn Rennie</dc:creator>
  <dc:description>Instructor facilitation guide for Week 1 clinical reasoning simulator (Jordan Patel, SJS/TEN)</dc:description>
  <cp:lastModifiedBy>Un-named</cp:lastModifiedBy>
  <cp:revision>1</cp:revision>
  <dcterms:created xsi:type="dcterms:W3CDTF">2026-05-07T03:02:29.810Z</dcterms:created>
  <dcterms:modified xsi:type="dcterms:W3CDTF">2026-05-07T03:02:29.810Z</dcterms:modified>
</cp:coreProperties>
</file>

<file path=docProps/custom.xml><?xml version="1.0" encoding="utf-8"?>
<Properties xmlns="http://schemas.openxmlformats.org/officeDocument/2006/custom-properties" xmlns:vt="http://schemas.openxmlformats.org/officeDocument/2006/docPropsVTypes"/>
</file>