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3D4C"/>
          <w:sz w:val="44"/>
          <w:szCs w:val="44"/>
        </w:rPr>
        <w:t xml:space="preserve">MedMasters Research Workbook System</w:t>
      </w:r>
    </w:p>
    <w:p>
      <w:pPr>
        <w:spacing w:after="160"/>
      </w:pPr>
      <w:r>
        <w:rPr>
          <w:rFonts w:ascii="Arial" w:cs="Arial" w:eastAsia="Arial" w:hAnsi="Arial"/>
          <w:i/>
          <w:iCs/>
          <w:color w:val="7C2018"/>
          <w:sz w:val="24"/>
          <w:szCs w:val="24"/>
        </w:rPr>
        <w:t xml:space="preserve">Build instructions and design reference</w:t>
      </w:r>
    </w:p>
    <w:p>
      <w:pPr>
        <w:pBdr>
          <w:bottom w:val="single" w:color="7C2018" w:sz="12" w:space="8"/>
        </w:pBdr>
        <w:spacing w:after="240"/>
      </w:pPr>
      <w:r>
        <w:rPr>
          <w:rFonts w:ascii="Arial" w:cs="Arial" w:eastAsia="Arial" w:hAnsi="Arial"/>
          <w:i/>
          <w:iCs/>
          <w:color w:val="3D4F5A"/>
          <w:sz w:val="22"/>
          <w:szCs w:val="22"/>
        </w:rPr>
        <w:t xml:space="preserve">Reference document for building research workbooks for BIO 004 (Human Anatomy), BIO 431 (Human A&amp;P combined), BIO 304 (Online A&amp;P), or any anatomy or A&amp;P course using Team-Based Learning with case-based weekly modules.</w:t>
      </w:r>
    </w:p>
    <w:p>
      <w:pPr>
        <w:spacing w:after="160"/>
      </w:pPr>
    </w:p>
    <w:p>
      <w:pPr>
        <w:pStyle w:val="Heading1"/>
        <w:spacing w:after="200" w:before="360"/>
      </w:pPr>
      <w:r>
        <w:rPr>
          <w:rFonts w:ascii="Arial" w:cs="Arial" w:eastAsia="Arial" w:hAnsi="Arial"/>
          <w:b/>
          <w:bCs/>
          <w:color w:val="1E3D4C"/>
          <w:sz w:val="36"/>
          <w:szCs w:val="36"/>
        </w:rPr>
        <w:t xml:space="preserve">1. What this system produces</w:t>
      </w:r>
    </w:p>
    <w:p>
      <w:pPr>
        <w:spacing w:after="100" w:before="0"/>
      </w:pPr>
      <w:r>
        <w:rPr>
          <w:rFonts w:ascii="Arial" w:cs="Arial" w:eastAsia="Arial" w:hAnsi="Arial"/>
          <w:b w:val="false"/>
          <w:bCs w:val="false"/>
          <w:i w:val="false"/>
          <w:iCs w:val="false"/>
          <w:color w:val="15262F"/>
          <w:sz w:val="22"/>
          <w:szCs w:val="22"/>
        </w:rPr>
        <w:t xml:space="preserve">The system generates weekly research workbooks for an intensive anatomy or A&amp;P course taught with Team-Based Learning (TBL) and case-based weekly modules. Each weekly workbook is a 30 to 45 page Word document that students complete across the week.</w:t>
      </w:r>
    </w:p>
    <w:p>
      <w:pPr>
        <w:spacing w:after="100" w:before="0"/>
      </w:pPr>
      <w:r>
        <w:rPr>
          <w:rFonts w:ascii="Arial" w:cs="Arial" w:eastAsia="Arial" w:hAnsi="Arial"/>
          <w:b w:val="false"/>
          <w:bCs w:val="false"/>
          <w:i w:val="false"/>
          <w:iCs w:val="false"/>
          <w:color w:val="15262F"/>
          <w:sz w:val="22"/>
          <w:szCs w:val="22"/>
        </w:rPr>
        <w:t xml:space="preserve">Key design principle: students do the research, not Claude. The workbook is question-scaffolded, not a content packet. Students learn anatomy by answering questions in their own words from their atlas and textbook. The case unfolds in class with clues recorded live, never given in advance.</w:t>
      </w:r>
    </w:p>
    <w:p>
      <w:pPr>
        <w:spacing w:after="100" w:before="0"/>
      </w:pPr>
      <w:r>
        <w:rPr>
          <w:rFonts w:ascii="Arial" w:cs="Arial" w:eastAsia="Arial" w:hAnsi="Arial"/>
          <w:b w:val="false"/>
          <w:bCs w:val="false"/>
          <w:i w:val="false"/>
          <w:iCs w:val="false"/>
          <w:color w:val="15262F"/>
          <w:sz w:val="22"/>
          <w:szCs w:val="22"/>
        </w:rPr>
        <w:t xml:space="preserve">Each weekly workbook contains six sections: foundation anatomy research (Section A), differential research (Section B), live case clue tracker (Section C), nightly synthesis with lab prep and Other exploration (Section D), Thursday TBL preparation checklist (Section E), and weekend lab exam prep with transition (Section F).</w:t>
      </w:r>
    </w:p>
    <w:p>
      <w:pPr>
        <w:pStyle w:val="Heading1"/>
        <w:spacing w:after="200" w:before="360"/>
      </w:pPr>
      <w:r>
        <w:rPr>
          <w:rFonts w:ascii="Arial" w:cs="Arial" w:eastAsia="Arial" w:hAnsi="Arial"/>
          <w:b/>
          <w:bCs/>
          <w:color w:val="1E3D4C"/>
          <w:sz w:val="36"/>
          <w:szCs w:val="36"/>
        </w:rPr>
        <w:t xml:space="preserve">2. Design philosophy and rules</w:t>
      </w:r>
    </w:p>
    <w:p>
      <w:pPr>
        <w:pStyle w:val="Heading3"/>
        <w:spacing w:after="100" w:before="200"/>
      </w:pPr>
      <w:r>
        <w:rPr>
          <w:rFonts w:ascii="Arial" w:cs="Arial" w:eastAsia="Arial" w:hAnsi="Arial"/>
          <w:b/>
          <w:bCs/>
          <w:color w:val="7C2018"/>
          <w:sz w:val="24"/>
          <w:szCs w:val="24"/>
        </w:rPr>
        <w:t xml:space="preserve">Why research workbooks instead of study guides</w:t>
      </w:r>
    </w:p>
    <w:p>
      <w:pPr>
        <w:spacing w:after="100" w:before="0"/>
      </w:pPr>
      <w:r>
        <w:rPr>
          <w:rFonts w:ascii="Arial" w:cs="Arial" w:eastAsia="Arial" w:hAnsi="Arial"/>
          <w:b w:val="false"/>
          <w:bCs w:val="false"/>
          <w:i w:val="false"/>
          <w:iCs w:val="false"/>
          <w:color w:val="15262F"/>
          <w:sz w:val="22"/>
          <w:szCs w:val="22"/>
        </w:rPr>
        <w:t xml:space="preserve">A study guide hands students the answer. A research workbook makes them find it. The act of researching, naming, locating, and committing to an answer is the learning. By forcing students to write answers themselves, you (a) make the work harder to AI through, (b) generate gradeable artifacts, and (c) force commitment to a position rather than passive recognition.</w:t>
      </w:r>
    </w:p>
    <w:p>
      <w:pPr>
        <w:pStyle w:val="Heading3"/>
        <w:spacing w:after="100" w:before="200"/>
      </w:pPr>
      <w:r>
        <w:rPr>
          <w:rFonts w:ascii="Arial" w:cs="Arial" w:eastAsia="Arial" w:hAnsi="Arial"/>
          <w:b/>
          <w:bCs/>
          <w:color w:val="7C2018"/>
          <w:sz w:val="24"/>
          <w:szCs w:val="24"/>
        </w:rPr>
        <w:t xml:space="preserve">Question scaffolding pattern</w:t>
      </w:r>
    </w:p>
    <w:p>
      <w:pPr>
        <w:spacing w:after="100" w:before="0"/>
      </w:pPr>
      <w:r>
        <w:rPr>
          <w:rFonts w:ascii="Arial" w:cs="Arial" w:eastAsia="Arial" w:hAnsi="Arial"/>
          <w:b w:val="false"/>
          <w:bCs w:val="false"/>
          <w:i w:val="false"/>
          <w:iCs w:val="false"/>
          <w:color w:val="15262F"/>
          <w:sz w:val="22"/>
          <w:szCs w:val="22"/>
        </w:rPr>
        <w:t xml:space="preserve">Every research module uses the same six-step question pattern, sequenced so each answer builds on the prior:</w:t>
      </w:r>
    </w:p>
    <w:p>
      <w:pPr>
        <w:pStyle w:val="ListParagraph"/>
        <w:numPr>
          <w:ilvl w:val="0"/>
          <w:numId w:val="2"/>
        </w:numPr>
        <w:spacing w:after="60"/>
      </w:pPr>
      <w:r>
        <w:rPr>
          <w:rFonts w:ascii="Arial" w:cs="Arial" w:eastAsia="Arial" w:hAnsi="Arial"/>
          <w:color w:val="15262F"/>
          <w:sz w:val="22"/>
          <w:szCs w:val="22"/>
        </w:rPr>
        <w:t xml:space="preserve">Define the term or structure</w:t>
      </w:r>
    </w:p>
    <w:p>
      <w:pPr>
        <w:pStyle w:val="ListParagraph"/>
        <w:numPr>
          <w:ilvl w:val="0"/>
          <w:numId w:val="2"/>
        </w:numPr>
        <w:spacing w:after="60"/>
      </w:pPr>
      <w:r>
        <w:rPr>
          <w:rFonts w:ascii="Arial" w:cs="Arial" w:eastAsia="Arial" w:hAnsi="Arial"/>
          <w:color w:val="15262F"/>
          <w:sz w:val="22"/>
          <w:szCs w:val="22"/>
        </w:rPr>
        <w:t xml:space="preserve">Name the components or parts</w:t>
      </w:r>
    </w:p>
    <w:p>
      <w:pPr>
        <w:pStyle w:val="ListParagraph"/>
        <w:numPr>
          <w:ilvl w:val="0"/>
          <w:numId w:val="2"/>
        </w:numPr>
        <w:spacing w:after="60"/>
      </w:pPr>
      <w:r>
        <w:rPr>
          <w:rFonts w:ascii="Arial" w:cs="Arial" w:eastAsia="Arial" w:hAnsi="Arial"/>
          <w:color w:val="15262F"/>
          <w:sz w:val="22"/>
          <w:szCs w:val="22"/>
        </w:rPr>
        <w:t xml:space="preserve">Locate them on atlas or model</w:t>
      </w:r>
    </w:p>
    <w:p>
      <w:pPr>
        <w:pStyle w:val="ListParagraph"/>
        <w:numPr>
          <w:ilvl w:val="0"/>
          <w:numId w:val="2"/>
        </w:numPr>
        <w:spacing w:after="60"/>
      </w:pPr>
      <w:r>
        <w:rPr>
          <w:rFonts w:ascii="Arial" w:cs="Arial" w:eastAsia="Arial" w:hAnsi="Arial"/>
          <w:color w:val="15262F"/>
          <w:sz w:val="22"/>
          <w:szCs w:val="22"/>
        </w:rPr>
        <w:t xml:space="preserve">Relate one structure to another (or to function)</w:t>
      </w:r>
    </w:p>
    <w:p>
      <w:pPr>
        <w:pStyle w:val="ListParagraph"/>
        <w:numPr>
          <w:ilvl w:val="0"/>
          <w:numId w:val="2"/>
        </w:numPr>
        <w:spacing w:after="60"/>
      </w:pPr>
      <w:r>
        <w:rPr>
          <w:rFonts w:ascii="Arial" w:cs="Arial" w:eastAsia="Arial" w:hAnsi="Arial"/>
          <w:color w:val="15262F"/>
          <w:sz w:val="22"/>
          <w:szCs w:val="22"/>
        </w:rPr>
        <w:t xml:space="preserve">Compare similar structures (e.g., right vs left, type 1 vs type 2)</w:t>
      </w:r>
    </w:p>
    <w:p>
      <w:pPr>
        <w:pStyle w:val="ListParagraph"/>
        <w:numPr>
          <w:ilvl w:val="0"/>
          <w:numId w:val="2"/>
        </w:numPr>
        <w:spacing w:after="60"/>
      </w:pPr>
      <w:r>
        <w:rPr>
          <w:rFonts w:ascii="Arial" w:cs="Arial" w:eastAsia="Arial" w:hAnsi="Arial"/>
          <w:color w:val="15262F"/>
          <w:sz w:val="22"/>
          <w:szCs w:val="22"/>
        </w:rPr>
        <w:t xml:space="preserve">Apply to clinical or functional context</w:t>
      </w:r>
    </w:p>
    <w:p>
      <w:pPr>
        <w:spacing w:after="120"/>
      </w:pPr>
    </w:p>
    <w:p>
      <w:pPr>
        <w:spacing w:after="100" w:before="0"/>
      </w:pPr>
      <w:r>
        <w:rPr>
          <w:rFonts w:ascii="Arial" w:cs="Arial" w:eastAsia="Arial" w:hAnsi="Arial"/>
          <w:b w:val="false"/>
          <w:bCs w:val="false"/>
          <w:i w:val="false"/>
          <w:iCs w:val="false"/>
          <w:color w:val="15262F"/>
          <w:sz w:val="22"/>
          <w:szCs w:val="22"/>
        </w:rPr>
        <w:t xml:space="preserve">Not every module hits all six. Definitional modules use steps 1 to 3. Comparative modules emphasize step 5. Clinical modules emphasize step 6. The pattern is a default sequence, not a rigid formula.</w:t>
      </w:r>
    </w:p>
    <w:p>
      <w:pPr>
        <w:pStyle w:val="Heading3"/>
        <w:spacing w:after="100" w:before="200"/>
      </w:pPr>
      <w:r>
        <w:rPr>
          <w:rFonts w:ascii="Arial" w:cs="Arial" w:eastAsia="Arial" w:hAnsi="Arial"/>
          <w:b/>
          <w:bCs/>
          <w:color w:val="7C2018"/>
          <w:sz w:val="24"/>
          <w:szCs w:val="24"/>
        </w:rPr>
        <w:t xml:space="preserve">Hard rules (apply to every deliverable)</w:t>
      </w:r>
    </w:p>
    <w:p>
      <w:pPr>
        <w:pStyle w:val="ListParagraph"/>
        <w:numPr>
          <w:ilvl w:val="0"/>
          <w:numId w:val="2"/>
        </w:numPr>
        <w:spacing w:after="60"/>
      </w:pPr>
      <w:r>
        <w:rPr>
          <w:rFonts w:ascii="Arial" w:cs="Arial" w:eastAsia="Arial" w:hAnsi="Arial"/>
          <w:color w:val="15262F"/>
          <w:sz w:val="22"/>
          <w:szCs w:val="22"/>
        </w:rPr>
        <w:t xml:space="preserve">No em dashes anywhere. Replace with commas, periods, or rewrite the sentence.</w:t>
      </w:r>
    </w:p>
    <w:p>
      <w:pPr>
        <w:pStyle w:val="ListParagraph"/>
        <w:numPr>
          <w:ilvl w:val="0"/>
          <w:numId w:val="2"/>
        </w:numPr>
        <w:spacing w:after="60"/>
      </w:pPr>
      <w:r>
        <w:rPr>
          <w:rFonts w:ascii="Arial" w:cs="Arial" w:eastAsia="Arial" w:hAnsi="Arial"/>
          <w:color w:val="15262F"/>
          <w:sz w:val="22"/>
          <w:szCs w:val="22"/>
        </w:rPr>
        <w:t xml:space="preserve">No purple in the design system.</w:t>
      </w:r>
    </w:p>
    <w:p>
      <w:pPr>
        <w:pStyle w:val="ListParagraph"/>
        <w:numPr>
          <w:ilvl w:val="0"/>
          <w:numId w:val="2"/>
        </w:numPr>
        <w:spacing w:after="60"/>
      </w:pPr>
      <w:r>
        <w:rPr>
          <w:rFonts w:ascii="Arial" w:cs="Arial" w:eastAsia="Arial" w:hAnsi="Arial"/>
          <w:color w:val="15262F"/>
          <w:sz w:val="22"/>
          <w:szCs w:val="22"/>
        </w:rPr>
        <w:t xml:space="preserve">No all-caps body text.</w:t>
      </w:r>
    </w:p>
    <w:p>
      <w:pPr>
        <w:pStyle w:val="ListParagraph"/>
        <w:numPr>
          <w:ilvl w:val="0"/>
          <w:numId w:val="2"/>
        </w:numPr>
        <w:spacing w:after="60"/>
      </w:pPr>
      <w:r>
        <w:rPr>
          <w:rFonts w:ascii="Arial" w:cs="Arial" w:eastAsia="Arial" w:hAnsi="Arial"/>
          <w:color w:val="15262F"/>
          <w:sz w:val="22"/>
          <w:szCs w:val="22"/>
        </w:rPr>
        <w:t xml:space="preserve">No monospace fonts in student-facing materials.</w:t>
      </w:r>
    </w:p>
    <w:p>
      <w:pPr>
        <w:pStyle w:val="ListParagraph"/>
        <w:numPr>
          <w:ilvl w:val="0"/>
          <w:numId w:val="2"/>
        </w:numPr>
        <w:spacing w:after="60"/>
      </w:pPr>
      <w:r>
        <w:rPr>
          <w:rFonts w:ascii="Arial" w:cs="Arial" w:eastAsia="Arial" w:hAnsi="Arial"/>
          <w:color w:val="15262F"/>
          <w:sz w:val="22"/>
          <w:szCs w:val="22"/>
        </w:rPr>
        <w:t xml:space="preserve">Faculty-only diagnoses are never written into the workbook. Students see option names only and research discriminators themselves.</w:t>
      </w:r>
    </w:p>
    <w:p>
      <w:pPr>
        <w:pStyle w:val="ListParagraph"/>
        <w:numPr>
          <w:ilvl w:val="0"/>
          <w:numId w:val="2"/>
        </w:numPr>
        <w:spacing w:after="60"/>
      </w:pPr>
      <w:r>
        <w:rPr>
          <w:rFonts w:ascii="Arial" w:cs="Arial" w:eastAsia="Arial" w:hAnsi="Arial"/>
          <w:color w:val="15262F"/>
          <w:sz w:val="22"/>
          <w:szCs w:val="22"/>
        </w:rPr>
        <w:t xml:space="preserve">Case clues are never written into the workbook. Students record them live in class.</w:t>
      </w:r>
    </w:p>
    <w:p>
      <w:pPr>
        <w:pStyle w:val="ListParagraph"/>
        <w:numPr>
          <w:ilvl w:val="0"/>
          <w:numId w:val="2"/>
        </w:numPr>
        <w:spacing w:after="60"/>
      </w:pPr>
      <w:r>
        <w:rPr>
          <w:rFonts w:ascii="Arial" w:cs="Arial" w:eastAsia="Arial" w:hAnsi="Arial"/>
          <w:color w:val="15262F"/>
          <w:sz w:val="22"/>
          <w:szCs w:val="22"/>
        </w:rPr>
        <w:t xml:space="preserve">Case ledes are generic across all weeks. Students must not be able to reverse-engineer the diagnosis from the lede.</w:t>
      </w:r>
    </w:p>
    <w:p>
      <w:pPr>
        <w:pStyle w:val="ListParagraph"/>
        <w:numPr>
          <w:ilvl w:val="0"/>
          <w:numId w:val="2"/>
        </w:numPr>
        <w:spacing w:after="60"/>
      </w:pPr>
      <w:r>
        <w:rPr>
          <w:rFonts w:ascii="Arial" w:cs="Arial" w:eastAsia="Arial" w:hAnsi="Arial"/>
          <w:color w:val="15262F"/>
          <w:sz w:val="22"/>
          <w:szCs w:val="22"/>
        </w:rPr>
        <w:t xml:space="preserve">Atlas page references are not currently included in workbooks (atlas is being recreated). When the new atlas is finished, atlas page references can be added back.</w:t>
      </w:r>
    </w:p>
    <w:p>
      <w:pPr>
        <w:pStyle w:val="ListParagraph"/>
        <w:numPr>
          <w:ilvl w:val="0"/>
          <w:numId w:val="2"/>
        </w:numPr>
        <w:spacing w:after="60"/>
      </w:pPr>
      <w:r>
        <w:rPr>
          <w:rFonts w:ascii="Arial" w:cs="Arial" w:eastAsia="Arial" w:hAnsi="Arial"/>
          <w:color w:val="15262F"/>
          <w:sz w:val="22"/>
          <w:szCs w:val="22"/>
        </w:rPr>
        <w:t xml:space="preserve">Bylines and signatures use 'Dr. Sharilyn Rennie' with no credential suffix in student-facing materials.</w:t>
      </w:r>
    </w:p>
    <w:p>
      <w:pPr>
        <w:pStyle w:val="Heading3"/>
        <w:spacing w:after="100" w:before="200"/>
      </w:pPr>
      <w:r>
        <w:rPr>
          <w:rFonts w:ascii="Arial" w:cs="Arial" w:eastAsia="Arial" w:hAnsi="Arial"/>
          <w:b/>
          <w:bCs/>
          <w:color w:val="7C2018"/>
          <w:sz w:val="24"/>
          <w:szCs w:val="24"/>
        </w:rPr>
        <w:t xml:space="preserve">Course-specific rules</w:t>
      </w:r>
    </w:p>
    <w:p>
      <w:pPr>
        <w:pStyle w:val="ListParagraph"/>
        <w:numPr>
          <w:ilvl w:val="0"/>
          <w:numId w:val="2"/>
        </w:numPr>
        <w:spacing w:after="60"/>
      </w:pPr>
      <w:r>
        <w:rPr>
          <w:rFonts w:ascii="Arial" w:cs="Arial" w:eastAsia="Arial" w:hAnsi="Arial"/>
          <w:color w:val="15262F"/>
          <w:sz w:val="22"/>
          <w:szCs w:val="22"/>
        </w:rPr>
        <w:t xml:space="preserve">BIO 004 (anatomy only): physiology mechanisms (action potentials, hormone cascades, ventilation mechanics) are out of scope. Basic functional integration is in scope.</w:t>
      </w:r>
    </w:p>
    <w:p>
      <w:pPr>
        <w:pStyle w:val="ListParagraph"/>
        <w:numPr>
          <w:ilvl w:val="0"/>
          <w:numId w:val="2"/>
        </w:numPr>
        <w:spacing w:after="60"/>
      </w:pPr>
      <w:r>
        <w:rPr>
          <w:rFonts w:ascii="Arial" w:cs="Arial" w:eastAsia="Arial" w:hAnsi="Arial"/>
          <w:color w:val="15262F"/>
          <w:sz w:val="22"/>
          <w:szCs w:val="22"/>
        </w:rPr>
        <w:t xml:space="preserve">BIO 431 (A&amp;P combined): physiology mechanisms are in scope.</w:t>
      </w:r>
    </w:p>
    <w:p>
      <w:pPr>
        <w:pStyle w:val="ListParagraph"/>
        <w:numPr>
          <w:ilvl w:val="0"/>
          <w:numId w:val="2"/>
        </w:numPr>
        <w:spacing w:after="60"/>
      </w:pPr>
      <w:r>
        <w:rPr>
          <w:rFonts w:ascii="Arial" w:cs="Arial" w:eastAsia="Arial" w:hAnsi="Arial"/>
          <w:color w:val="15262F"/>
          <w:sz w:val="22"/>
          <w:szCs w:val="22"/>
        </w:rPr>
        <w:t xml:space="preserve">BIO 304 (online A&amp;P): no TBL, no Thursday in-person sessions. Workbooks for this course should not reference TBL, Thursday sessions, team activities, or in-person lab.</w:t>
      </w:r>
    </w:p>
    <w:p>
      <w:pPr>
        <w:pStyle w:val="Heading1"/>
        <w:spacing w:after="200" w:before="360"/>
      </w:pPr>
      <w:r>
        <w:rPr>
          <w:rFonts w:ascii="Arial" w:cs="Arial" w:eastAsia="Arial" w:hAnsi="Arial"/>
          <w:b/>
          <w:bCs/>
          <w:color w:val="1E3D4C"/>
          <w:sz w:val="36"/>
          <w:szCs w:val="36"/>
        </w:rPr>
        <w:t xml:space="preserve">3. Workbook structure section by section</w:t>
      </w:r>
    </w:p>
    <w:p>
      <w:pPr>
        <w:pStyle w:val="Heading3"/>
        <w:spacing w:after="100" w:before="200"/>
      </w:pPr>
      <w:r>
        <w:rPr>
          <w:rFonts w:ascii="Arial" w:cs="Arial" w:eastAsia="Arial" w:hAnsi="Arial"/>
          <w:b/>
          <w:bCs/>
          <w:color w:val="7C2018"/>
          <w:sz w:val="24"/>
          <w:szCs w:val="24"/>
        </w:rPr>
        <w:t xml:space="preserve">Front matter</w:t>
      </w:r>
    </w:p>
    <w:p>
      <w:pPr>
        <w:spacing w:after="100" w:before="0"/>
      </w:pPr>
      <w:r>
        <w:rPr>
          <w:rFonts w:ascii="Arial" w:cs="Arial" w:eastAsia="Arial" w:hAnsi="Arial"/>
          <w:b w:val="false"/>
          <w:bCs w:val="false"/>
          <w:i w:val="false"/>
          <w:iCs w:val="false"/>
          <w:color w:val="15262F"/>
          <w:sz w:val="22"/>
          <w:szCs w:val="22"/>
        </w:rPr>
        <w:t xml:space="preserve">Title block (week number, module title, dates, byline). 'How to use this workbook' explanation. Workbook plan TOC: a single-table summary mapping each section A through F to what it covers and when students work on it. Week at a glance: 4-row table with Mon, Tue, Wed, Thu showing role, lecture focus, and lab focus per day. Lab Exam block (when applicable) showing the upcoming Monday's lab exam (covers prior week).</w:t>
      </w:r>
    </w:p>
    <w:p>
      <w:pPr>
        <w:pStyle w:val="Heading3"/>
        <w:spacing w:after="100" w:before="200"/>
      </w:pPr>
      <w:r>
        <w:rPr>
          <w:rFonts w:ascii="Arial" w:cs="Arial" w:eastAsia="Arial" w:hAnsi="Arial"/>
          <w:b/>
          <w:bCs/>
          <w:color w:val="7C2018"/>
          <w:sz w:val="24"/>
          <w:szCs w:val="24"/>
        </w:rPr>
        <w:t xml:space="preserve">Section A: Foundation anatomy research</w:t>
      </w:r>
    </w:p>
    <w:p>
      <w:pPr>
        <w:spacing w:after="100" w:before="0"/>
      </w:pPr>
      <w:r>
        <w:rPr>
          <w:rFonts w:ascii="Arial" w:cs="Arial" w:eastAsia="Arial" w:hAnsi="Arial"/>
          <w:b w:val="false"/>
          <w:bCs w:val="false"/>
          <w:i w:val="false"/>
          <w:iCs w:val="false"/>
          <w:color w:val="15262F"/>
          <w:sz w:val="22"/>
          <w:szCs w:val="22"/>
        </w:rPr>
        <w:t xml:space="preserve">The largest section, typically 12 to 22 modules. Each module covers one curriculum learning objective. Two module types exist:</w:t>
      </w:r>
    </w:p>
    <w:p>
      <w:pPr>
        <w:spacing w:after="100" w:before="0"/>
      </w:pPr>
      <w:r>
        <w:rPr>
          <w:rFonts w:ascii="Arial" w:cs="Arial" w:eastAsia="Arial" w:hAnsi="Arial"/>
          <w:b/>
          <w:bCs/>
          <w:i w:val="false"/>
          <w:iCs w:val="false"/>
          <w:color w:val="7C2018"/>
          <w:sz w:val="22"/>
          <w:szCs w:val="22"/>
        </w:rPr>
        <w:t xml:space="preserve">type: 'questions' </w:t>
      </w:r>
      <w:r>
        <w:rPr>
          <w:rFonts w:ascii="Arial" w:cs="Arial" w:eastAsia="Arial" w:hAnsi="Arial"/>
          <w:b w:val="false"/>
          <w:bCs w:val="false"/>
          <w:i w:val="false"/>
          <w:iCs w:val="false"/>
          <w:color w:val="15262F"/>
          <w:sz w:val="22"/>
          <w:szCs w:val="22"/>
        </w:rPr>
        <w:t xml:space="preserve"> - 4 to 8 numbered research questions with scaled answer space (2-line for definitions, 3-line for descriptions, 4-line for comparisons or explanations, 5-line for trace-the-pathway questions). The question scaffolding generator detects question type from keywords (trace, list every, name in order = 5 lines; compare, distinguish, differentiate = 4 lines; explain, why = 4 lines; default = 2 lines).</w:t>
      </w:r>
    </w:p>
    <w:p>
      <w:pPr>
        <w:spacing w:after="60"/>
      </w:pPr>
    </w:p>
    <w:p>
      <w:pPr>
        <w:spacing w:after="100" w:before="0"/>
      </w:pPr>
      <w:r>
        <w:rPr>
          <w:rFonts w:ascii="Arial" w:cs="Arial" w:eastAsia="Arial" w:hAnsi="Arial"/>
          <w:b/>
          <w:bCs/>
          <w:i w:val="false"/>
          <w:iCs w:val="false"/>
          <w:color w:val="7C2018"/>
          <w:sz w:val="22"/>
          <w:szCs w:val="22"/>
        </w:rPr>
        <w:t xml:space="preserve">type: 'muscle_table' </w:t>
      </w:r>
      <w:r>
        <w:rPr>
          <w:rFonts w:ascii="Arial" w:cs="Arial" w:eastAsia="Arial" w:hAnsi="Arial"/>
          <w:b w:val="false"/>
          <w:bCs w:val="false"/>
          <w:i w:val="false"/>
          <w:iCs w:val="false"/>
          <w:color w:val="15262F"/>
          <w:sz w:val="22"/>
          <w:szCs w:val="22"/>
        </w:rPr>
        <w:t xml:space="preserve"> - IOA table with rows per muscle and columns Muscle / Origin / Insertion / Action / Innervation. Muscle name is pre-filled, other columns blank for students to fill in. Optional follow-up research questions (3 lines each) below the table.</w:t>
      </w:r>
    </w:p>
    <w:p>
      <w:pPr>
        <w:spacing w:after="120"/>
      </w:pPr>
    </w:p>
    <w:p>
      <w:pPr>
        <w:spacing w:after="100" w:before="0"/>
      </w:pPr>
      <w:r>
        <w:rPr>
          <w:rFonts w:ascii="Arial" w:cs="Arial" w:eastAsia="Arial" w:hAnsi="Arial"/>
          <w:b w:val="false"/>
          <w:bCs w:val="false"/>
          <w:i w:val="false"/>
          <w:iCs w:val="false"/>
          <w:color w:val="15262F"/>
          <w:sz w:val="22"/>
          <w:szCs w:val="22"/>
        </w:rPr>
        <w:t xml:space="preserve">Modules are numbered A1, A2, A3 and so on within Section A. Day banners (subtle gold-accented callouts) appear between module groups marking where each night's research begins (Sunday night before A1, Monday night at the appropriate boundary, etc.). Day boundaries depend on the week's total module count.</w:t>
      </w:r>
    </w:p>
    <w:p>
      <w:pPr>
        <w:pStyle w:val="Heading3"/>
        <w:spacing w:after="100" w:before="200"/>
      </w:pPr>
      <w:r>
        <w:rPr>
          <w:rFonts w:ascii="Arial" w:cs="Arial" w:eastAsia="Arial" w:hAnsi="Arial"/>
          <w:b/>
          <w:bCs/>
          <w:color w:val="7C2018"/>
          <w:sz w:val="24"/>
          <w:szCs w:val="24"/>
        </w:rPr>
        <w:t xml:space="preserve">Section B: Differential research</w:t>
      </w:r>
    </w:p>
    <w:p>
      <w:pPr>
        <w:spacing w:after="100" w:before="0"/>
      </w:pPr>
      <w:r>
        <w:rPr>
          <w:rFonts w:ascii="Arial" w:cs="Arial" w:eastAsia="Arial" w:hAnsi="Arial"/>
          <w:b w:val="false"/>
          <w:bCs w:val="false"/>
          <w:i w:val="false"/>
          <w:iCs w:val="false"/>
          <w:color w:val="15262F"/>
          <w:sz w:val="22"/>
          <w:szCs w:val="22"/>
        </w:rPr>
        <w:t xml:space="preserve">5 to 7 differential options listed by name only. Each option gets a research scaffold with prompts and answer space:</w:t>
      </w:r>
    </w:p>
    <w:p>
      <w:pPr>
        <w:pStyle w:val="ListParagraph"/>
        <w:numPr>
          <w:ilvl w:val="0"/>
          <w:numId w:val="2"/>
        </w:numPr>
        <w:spacing w:after="60"/>
      </w:pPr>
      <w:r>
        <w:rPr>
          <w:rFonts w:ascii="Arial" w:cs="Arial" w:eastAsia="Arial" w:hAnsi="Arial"/>
          <w:color w:val="15262F"/>
          <w:sz w:val="22"/>
          <w:szCs w:val="22"/>
        </w:rPr>
        <w:t xml:space="preserve">Underlying basis (anatomy, structure, or genetics) - 2 lines</w:t>
      </w:r>
    </w:p>
    <w:p>
      <w:pPr>
        <w:pStyle w:val="ListParagraph"/>
        <w:numPr>
          <w:ilvl w:val="0"/>
          <w:numId w:val="2"/>
        </w:numPr>
        <w:spacing w:after="60"/>
      </w:pPr>
      <w:r>
        <w:rPr>
          <w:rFonts w:ascii="Arial" w:cs="Arial" w:eastAsia="Arial" w:hAnsi="Arial"/>
          <w:color w:val="15262F"/>
          <w:sz w:val="22"/>
          <w:szCs w:val="22"/>
        </w:rPr>
        <w:t xml:space="preserve">Specific anatomic structures affected - 3 lines</w:t>
      </w:r>
    </w:p>
    <w:p>
      <w:pPr>
        <w:pStyle w:val="ListParagraph"/>
        <w:numPr>
          <w:ilvl w:val="0"/>
          <w:numId w:val="2"/>
        </w:numPr>
        <w:spacing w:after="60"/>
      </w:pPr>
      <w:r>
        <w:rPr>
          <w:rFonts w:ascii="Arial" w:cs="Arial" w:eastAsia="Arial" w:hAnsi="Arial"/>
          <w:color w:val="15262F"/>
          <w:sz w:val="22"/>
          <w:szCs w:val="22"/>
        </w:rPr>
        <w:t xml:space="preserve">Inheritance or developmental pattern (if applicable) - 1 line</w:t>
      </w:r>
    </w:p>
    <w:p>
      <w:pPr>
        <w:pStyle w:val="ListParagraph"/>
        <w:numPr>
          <w:ilvl w:val="0"/>
          <w:numId w:val="2"/>
        </w:numPr>
        <w:spacing w:after="60"/>
      </w:pPr>
      <w:r>
        <w:rPr>
          <w:rFonts w:ascii="Arial" w:cs="Arial" w:eastAsia="Arial" w:hAnsi="Arial"/>
          <w:color w:val="15262F"/>
          <w:sz w:val="22"/>
          <w:szCs w:val="22"/>
        </w:rPr>
        <w:t xml:space="preserve">Three to four characteristic findings (exam, imaging, pathology) - 4 lines</w:t>
      </w:r>
    </w:p>
    <w:p>
      <w:pPr>
        <w:pStyle w:val="ListParagraph"/>
        <w:numPr>
          <w:ilvl w:val="0"/>
          <w:numId w:val="2"/>
        </w:numPr>
        <w:spacing w:after="60"/>
      </w:pPr>
      <w:r>
        <w:rPr>
          <w:rFonts w:ascii="Arial" w:cs="Arial" w:eastAsia="Arial" w:hAnsi="Arial"/>
          <w:color w:val="15262F"/>
          <w:sz w:val="22"/>
          <w:szCs w:val="22"/>
        </w:rPr>
        <w:t xml:space="preserve">Anatomic feature that distinguishes this option from the others - 2 lines</w:t>
      </w:r>
    </w:p>
    <w:p>
      <w:pPr>
        <w:pStyle w:val="ListParagraph"/>
        <w:numPr>
          <w:ilvl w:val="0"/>
          <w:numId w:val="2"/>
        </w:numPr>
        <w:spacing w:after="60"/>
      </w:pPr>
      <w:r>
        <w:rPr>
          <w:rFonts w:ascii="Arial" w:cs="Arial" w:eastAsia="Arial" w:hAnsi="Arial"/>
          <w:color w:val="15262F"/>
          <w:sz w:val="22"/>
          <w:szCs w:val="22"/>
        </w:rPr>
        <w:t xml:space="preserve">Sources cited (atlas, textbook, journal) - 1 line</w:t>
      </w:r>
    </w:p>
    <w:p>
      <w:pPr>
        <w:spacing w:after="120"/>
      </w:pPr>
    </w:p>
    <w:p>
      <w:pPr>
        <w:spacing w:after="100" w:before="0"/>
      </w:pPr>
      <w:r>
        <w:rPr>
          <w:rFonts w:ascii="Arial" w:cs="Arial" w:eastAsia="Arial" w:hAnsi="Arial"/>
          <w:b w:val="false"/>
          <w:bCs w:val="false"/>
          <w:i w:val="false"/>
          <w:iCs w:val="false"/>
          <w:color w:val="15262F"/>
          <w:sz w:val="22"/>
          <w:szCs w:val="22"/>
        </w:rPr>
        <w:t xml:space="preserve">The discriminator data lives in the underlying data file but is never rendered to the workbook. Students research and write their own discriminators. Discriminators can be used for a future facilitator manual.</w:t>
      </w:r>
    </w:p>
    <w:p>
      <w:pPr>
        <w:pStyle w:val="Heading3"/>
        <w:spacing w:after="100" w:before="200"/>
      </w:pPr>
      <w:r>
        <w:rPr>
          <w:rFonts w:ascii="Arial" w:cs="Arial" w:eastAsia="Arial" w:hAnsi="Arial"/>
          <w:b/>
          <w:bCs/>
          <w:color w:val="7C2018"/>
          <w:sz w:val="24"/>
          <w:szCs w:val="24"/>
        </w:rPr>
        <w:t xml:space="preserve">Section C: Unknown Case N clue tracker</w:t>
      </w:r>
    </w:p>
    <w:p>
      <w:pPr>
        <w:spacing w:after="100" w:before="0"/>
      </w:pPr>
      <w:r>
        <w:rPr>
          <w:rFonts w:ascii="Arial" w:cs="Arial" w:eastAsia="Arial" w:hAnsi="Arial"/>
          <w:b w:val="false"/>
          <w:bCs w:val="false"/>
          <w:i w:val="false"/>
          <w:iCs w:val="false"/>
          <w:color w:val="15262F"/>
          <w:sz w:val="22"/>
          <w:szCs w:val="22"/>
        </w:rPr>
        <w:t xml:space="preserve">Generic case lede (identical wording across all weeks): 'Your case unfolds Monday through Thursday as new anatomic clues are revealed in class.' Demographic blurb (age range, presentation context). Then four blank fields with answer lines:</w:t>
      </w:r>
    </w:p>
    <w:p>
      <w:pPr>
        <w:pStyle w:val="ListParagraph"/>
        <w:numPr>
          <w:ilvl w:val="0"/>
          <w:numId w:val="2"/>
        </w:numPr>
        <w:spacing w:after="60"/>
      </w:pPr>
      <w:r>
        <w:rPr>
          <w:rFonts w:ascii="Arial" w:cs="Arial" w:eastAsia="Arial" w:hAnsi="Arial"/>
          <w:color w:val="15262F"/>
          <w:sz w:val="22"/>
          <w:szCs w:val="22"/>
        </w:rPr>
        <w:t xml:space="preserve">Monday in-class clue (4 lines)</w:t>
      </w:r>
    </w:p>
    <w:p>
      <w:pPr>
        <w:pStyle w:val="ListParagraph"/>
        <w:numPr>
          <w:ilvl w:val="0"/>
          <w:numId w:val="2"/>
        </w:numPr>
        <w:spacing w:after="60"/>
      </w:pPr>
      <w:r>
        <w:rPr>
          <w:rFonts w:ascii="Arial" w:cs="Arial" w:eastAsia="Arial" w:hAnsi="Arial"/>
          <w:color w:val="15262F"/>
          <w:sz w:val="22"/>
          <w:szCs w:val="22"/>
        </w:rPr>
        <w:t xml:space="preserve">Tuesday in-class clue (4 lines)</w:t>
      </w:r>
    </w:p>
    <w:p>
      <w:pPr>
        <w:pStyle w:val="ListParagraph"/>
        <w:numPr>
          <w:ilvl w:val="0"/>
          <w:numId w:val="2"/>
        </w:numPr>
        <w:spacing w:after="60"/>
      </w:pPr>
      <w:r>
        <w:rPr>
          <w:rFonts w:ascii="Arial" w:cs="Arial" w:eastAsia="Arial" w:hAnsi="Arial"/>
          <w:color w:val="15262F"/>
          <w:sz w:val="22"/>
          <w:szCs w:val="22"/>
        </w:rPr>
        <w:t xml:space="preserve">Wednesday in-class clue (4 lines)</w:t>
      </w:r>
    </w:p>
    <w:p>
      <w:pPr>
        <w:pStyle w:val="ListParagraph"/>
        <w:numPr>
          <w:ilvl w:val="0"/>
          <w:numId w:val="2"/>
        </w:numPr>
        <w:spacing w:after="60"/>
      </w:pPr>
      <w:r>
        <w:rPr>
          <w:rFonts w:ascii="Arial" w:cs="Arial" w:eastAsia="Arial" w:hAnsi="Arial"/>
          <w:color w:val="15262F"/>
          <w:sz w:val="22"/>
          <w:szCs w:val="22"/>
        </w:rPr>
        <w:t xml:space="preserve">Thursday TBL morning reveal (4 lines)</w:t>
      </w:r>
    </w:p>
    <w:p>
      <w:pPr>
        <w:pStyle w:val="Heading3"/>
        <w:spacing w:after="100" w:before="200"/>
      </w:pPr>
      <w:r>
        <w:rPr>
          <w:rFonts w:ascii="Arial" w:cs="Arial" w:eastAsia="Arial" w:hAnsi="Arial"/>
          <w:b/>
          <w:bCs/>
          <w:color w:val="7C2018"/>
          <w:sz w:val="24"/>
          <w:szCs w:val="24"/>
        </w:rPr>
        <w:t xml:space="preserve">Section D: Nightly synthesis</w:t>
      </w:r>
    </w:p>
    <w:p>
      <w:pPr>
        <w:spacing w:after="100" w:before="0"/>
      </w:pPr>
      <w:r>
        <w:rPr>
          <w:rFonts w:ascii="Arial" w:cs="Arial" w:eastAsia="Arial" w:hAnsi="Arial"/>
          <w:b w:val="false"/>
          <w:bCs w:val="false"/>
          <w:i w:val="false"/>
          <w:iCs w:val="false"/>
          <w:color w:val="15262F"/>
          <w:sz w:val="22"/>
          <w:szCs w:val="22"/>
        </w:rPr>
        <w:t xml:space="preserve">Each night gets its own page with a page break before. Per-night structure:</w:t>
      </w:r>
    </w:p>
    <w:p>
      <w:pPr>
        <w:pStyle w:val="ListParagraph"/>
        <w:numPr>
          <w:ilvl w:val="0"/>
          <w:numId w:val="2"/>
        </w:numPr>
        <w:spacing w:after="60"/>
      </w:pPr>
      <w:r>
        <w:rPr>
          <w:rFonts w:ascii="Arial" w:cs="Arial" w:eastAsia="Arial" w:hAnsi="Arial"/>
          <w:color w:val="15262F"/>
          <w:sz w:val="22"/>
          <w:szCs w:val="22"/>
        </w:rPr>
        <w:t xml:space="preserve">'Aim to complete tonight' - which Section A modules and Section B options to finish</w:t>
      </w:r>
    </w:p>
    <w:p>
      <w:pPr>
        <w:pStyle w:val="ListParagraph"/>
        <w:numPr>
          <w:ilvl w:val="0"/>
          <w:numId w:val="2"/>
        </w:numPr>
        <w:spacing w:after="60"/>
      </w:pPr>
      <w:r>
        <w:rPr>
          <w:rFonts w:ascii="Arial" w:cs="Arial" w:eastAsia="Arial" w:hAnsi="Arial"/>
          <w:color w:val="15262F"/>
          <w:sz w:val="22"/>
          <w:szCs w:val="22"/>
        </w:rPr>
        <w:t xml:space="preserve">'Lab prep tonight' block with the 75/25 split (75% pre-study tomorrow's lab, 25% review today's lab and earlier weak spots; cross-references to Section A modules)</w:t>
      </w:r>
    </w:p>
    <w:p>
      <w:pPr>
        <w:pStyle w:val="ListParagraph"/>
        <w:numPr>
          <w:ilvl w:val="0"/>
          <w:numId w:val="2"/>
        </w:numPr>
        <w:spacing w:after="60"/>
      </w:pPr>
      <w:r>
        <w:rPr>
          <w:rFonts w:ascii="Arial" w:cs="Arial" w:eastAsia="Arial" w:hAnsi="Arial"/>
          <w:color w:val="15262F"/>
          <w:sz w:val="22"/>
          <w:szCs w:val="22"/>
        </w:rPr>
        <w:t xml:space="preserve">Synthesis questions specific to that night's clue context (1 to 4 anatomy-focused questions plus a 5-7 row differential ranking table with Support and Anatomic reasoning columns)</w:t>
      </w:r>
    </w:p>
    <w:p>
      <w:pPr>
        <w:pStyle w:val="ListParagraph"/>
        <w:numPr>
          <w:ilvl w:val="0"/>
          <w:numId w:val="2"/>
        </w:numPr>
        <w:spacing w:after="60"/>
      </w:pPr>
      <w:r>
        <w:rPr>
          <w:rFonts w:ascii="Arial" w:cs="Arial" w:eastAsia="Arial" w:hAnsi="Arial"/>
          <w:color w:val="15262F"/>
          <w:sz w:val="22"/>
          <w:szCs w:val="22"/>
        </w:rPr>
        <w:t xml:space="preserve">'Other exploration' block with four prompts (related pathophysiology / lab values / exam-imaging-radiology / free notes) and answer space</w:t>
      </w:r>
    </w:p>
    <w:p>
      <w:pPr>
        <w:spacing w:after="120"/>
      </w:pPr>
    </w:p>
    <w:p>
      <w:pPr>
        <w:spacing w:after="100" w:before="0"/>
      </w:pPr>
      <w:r>
        <w:rPr>
          <w:rFonts w:ascii="Arial" w:cs="Arial" w:eastAsia="Arial" w:hAnsi="Arial"/>
          <w:b w:val="false"/>
          <w:bCs w:val="false"/>
          <w:i w:val="false"/>
          <w:iCs w:val="false"/>
          <w:color w:val="15262F"/>
          <w:sz w:val="22"/>
          <w:szCs w:val="22"/>
        </w:rPr>
        <w:t xml:space="preserve">Sun -&gt; Mon night is a slight variant: no synthesis (no clues yet), only foundation anatomy, differential research start, and a lab prep block oriented to the upcoming week's lab. Sun -&gt; Mon also includes 'Going-in case questions' (open-ended what-do-you-predict prompts).</w:t>
      </w:r>
    </w:p>
    <w:p>
      <w:pPr>
        <w:pStyle w:val="Heading3"/>
        <w:spacing w:after="100" w:before="200"/>
      </w:pPr>
      <w:r>
        <w:rPr>
          <w:rFonts w:ascii="Arial" w:cs="Arial" w:eastAsia="Arial" w:hAnsi="Arial"/>
          <w:b/>
          <w:bCs/>
          <w:color w:val="7C2018"/>
          <w:sz w:val="24"/>
          <w:szCs w:val="24"/>
        </w:rPr>
        <w:t xml:space="preserve">Section E: Thursday TBL preparation checklist</w:t>
      </w:r>
    </w:p>
    <w:p>
      <w:pPr>
        <w:spacing w:after="100" w:before="0"/>
      </w:pPr>
      <w:r>
        <w:rPr>
          <w:rFonts w:ascii="Arial" w:cs="Arial" w:eastAsia="Arial" w:hAnsi="Arial"/>
          <w:b w:val="false"/>
          <w:bCs w:val="false"/>
          <w:i w:val="false"/>
          <w:iCs w:val="false"/>
          <w:color w:val="15262F"/>
          <w:sz w:val="22"/>
          <w:szCs w:val="22"/>
        </w:rPr>
        <w:t xml:space="preserve">Two bullet lists: what to bring to class on Thursday (workbook completed, clue tracker, master diagram, atlas) and what happens in class (iRAT, tRAT, Thursday morning reveal, application, debrief).</w:t>
      </w:r>
    </w:p>
    <w:p>
      <w:pPr>
        <w:pStyle w:val="Heading3"/>
        <w:spacing w:after="100" w:before="200"/>
      </w:pPr>
      <w:r>
        <w:rPr>
          <w:rFonts w:ascii="Arial" w:cs="Arial" w:eastAsia="Arial" w:hAnsi="Arial"/>
          <w:b/>
          <w:bCs/>
          <w:color w:val="7C2018"/>
          <w:sz w:val="24"/>
          <w:szCs w:val="24"/>
        </w:rPr>
        <w:t xml:space="preserve">Section F: Lab Exam X prep + transition to next week</w:t>
      </w:r>
    </w:p>
    <w:p>
      <w:pPr>
        <w:spacing w:after="100" w:before="0"/>
      </w:pPr>
      <w:r>
        <w:rPr>
          <w:rFonts w:ascii="Arial" w:cs="Arial" w:eastAsia="Arial" w:hAnsi="Arial"/>
          <w:b w:val="false"/>
          <w:bCs w:val="false"/>
          <w:i w:val="false"/>
          <w:iCs w:val="false"/>
          <w:color w:val="15262F"/>
          <w:sz w:val="22"/>
          <w:szCs w:val="22"/>
        </w:rPr>
        <w:t xml:space="preserve">Auto-numbered for the upcoming Monday's lab exam (covers this week's content). Three sub-blocks:</w:t>
      </w:r>
    </w:p>
    <w:p>
      <w:pPr>
        <w:pStyle w:val="ListParagraph"/>
        <w:numPr>
          <w:ilvl w:val="0"/>
          <w:numId w:val="2"/>
        </w:numPr>
        <w:spacing w:after="60"/>
      </w:pPr>
      <w:r>
        <w:rPr>
          <w:rFonts w:ascii="Arial" w:cs="Arial" w:eastAsia="Arial" w:hAnsi="Arial"/>
          <w:color w:val="15262F"/>
          <w:sz w:val="22"/>
          <w:szCs w:val="22"/>
        </w:rPr>
        <w:t xml:space="preserve">Friday: Rest. Take the day off. Sleep is consolidation. No studying.</w:t>
      </w:r>
    </w:p>
    <w:p>
      <w:pPr>
        <w:pStyle w:val="ListParagraph"/>
        <w:numPr>
          <w:ilvl w:val="0"/>
          <w:numId w:val="2"/>
        </w:numPr>
        <w:spacing w:after="60"/>
      </w:pPr>
      <w:r>
        <w:rPr>
          <w:rFonts w:ascii="Arial" w:cs="Arial" w:eastAsia="Arial" w:hAnsi="Arial"/>
          <w:color w:val="15262F"/>
          <w:sz w:val="22"/>
          <w:szCs w:val="22"/>
        </w:rPr>
        <w:t xml:space="preserve">Saturday: Lab Exam X prep. Self-test routine using the workbook (cover Section A answers, cover muscle IOA columns, atlas drilling, identification under time, spiral review of earlier weeks). Track-your-weak-spots blank space.</w:t>
      </w:r>
    </w:p>
    <w:p>
      <w:pPr>
        <w:pStyle w:val="ListParagraph"/>
        <w:numPr>
          <w:ilvl w:val="0"/>
          <w:numId w:val="2"/>
        </w:numPr>
        <w:spacing w:after="60"/>
      </w:pPr>
      <w:r>
        <w:rPr>
          <w:rFonts w:ascii="Arial" w:cs="Arial" w:eastAsia="Arial" w:hAnsi="Arial"/>
          <w:color w:val="15262F"/>
          <w:sz w:val="22"/>
          <w:szCs w:val="22"/>
        </w:rPr>
        <w:t xml:space="preserve">Sunday: Prime next week, final review. Light review of Saturday's weak spots, print next workbook, sleep early.</w:t>
      </w:r>
    </w:p>
    <w:p>
      <w:pPr>
        <w:spacing w:after="120"/>
      </w:pPr>
    </w:p>
    <w:p>
      <w:pPr>
        <w:spacing w:after="100" w:before="0"/>
      </w:pPr>
      <w:r>
        <w:rPr>
          <w:rFonts w:ascii="Arial" w:cs="Arial" w:eastAsia="Arial" w:hAnsi="Arial"/>
          <w:b w:val="false"/>
          <w:bCs w:val="false"/>
          <w:i w:val="false"/>
          <w:iCs w:val="false"/>
          <w:color w:val="15262F"/>
          <w:sz w:val="22"/>
          <w:szCs w:val="22"/>
        </w:rPr>
        <w:t xml:space="preserve">Week 8 is the exception: no upcoming Monday lab exam (Lab Exam 8 is Thursday afternoon of Week 8 itself, the cumulative final). Section F for Week 8 becomes a term-end reflection and final exam prep block instead.</w:t>
      </w:r>
    </w:p>
    <w:p>
      <w:pPr>
        <w:pStyle w:val="Heading1"/>
        <w:spacing w:after="200" w:before="360"/>
      </w:pPr>
      <w:r>
        <w:rPr>
          <w:rFonts w:ascii="Arial" w:cs="Arial" w:eastAsia="Arial" w:hAnsi="Arial"/>
          <w:b/>
          <w:bCs/>
          <w:color w:val="1E3D4C"/>
          <w:sz w:val="36"/>
          <w:szCs w:val="36"/>
        </w:rPr>
        <w:t xml:space="preserve">4. Technical implementation</w:t>
      </w:r>
    </w:p>
    <w:p>
      <w:pPr>
        <w:pStyle w:val="Heading3"/>
        <w:spacing w:after="100" w:before="200"/>
      </w:pPr>
      <w:r>
        <w:rPr>
          <w:rFonts w:ascii="Arial" w:cs="Arial" w:eastAsia="Arial" w:hAnsi="Arial"/>
          <w:b/>
          <w:bCs/>
          <w:color w:val="7C2018"/>
          <w:sz w:val="24"/>
          <w:szCs w:val="24"/>
        </w:rPr>
        <w:t xml:space="preserve">File structure</w:t>
      </w:r>
    </w:p>
    <w:p>
      <w:pPr>
        <w:spacing w:after="100" w:before="0"/>
      </w:pPr>
      <w:r>
        <w:rPr>
          <w:rFonts w:ascii="Arial" w:cs="Arial" w:eastAsia="Arial" w:hAnsi="Arial"/>
          <w:b w:val="false"/>
          <w:bCs w:val="false"/>
          <w:i w:val="false"/>
          <w:iCs w:val="false"/>
          <w:color w:val="15262F"/>
          <w:sz w:val="22"/>
          <w:szCs w:val="22"/>
        </w:rPr>
        <w:t xml:space="preserve">Working directory: /home/claude/weeks_build/</w:t>
      </w:r>
    </w:p>
    <w:p>
      <w:pPr>
        <w:pStyle w:val="ListParagraph"/>
        <w:numPr>
          <w:ilvl w:val="0"/>
          <w:numId w:val="2"/>
        </w:numPr>
        <w:spacing w:after="60"/>
      </w:pPr>
      <w:r>
        <w:rPr>
          <w:rFonts w:ascii="Arial" w:cs="Arial" w:eastAsia="Arial" w:hAnsi="Arial"/>
          <w:color w:val="15262F"/>
          <w:sz w:val="22"/>
          <w:szCs w:val="22"/>
        </w:rPr>
        <w:t xml:space="preserve">data_p1.py - Weeks 1 to 3 case data, days, weekend blocks</w:t>
      </w:r>
    </w:p>
    <w:p>
      <w:pPr>
        <w:pStyle w:val="ListParagraph"/>
        <w:numPr>
          <w:ilvl w:val="0"/>
          <w:numId w:val="2"/>
        </w:numPr>
        <w:spacing w:after="60"/>
      </w:pPr>
      <w:r>
        <w:rPr>
          <w:rFonts w:ascii="Arial" w:cs="Arial" w:eastAsia="Arial" w:hAnsi="Arial"/>
          <w:color w:val="15262F"/>
          <w:sz w:val="22"/>
          <w:szCs w:val="22"/>
        </w:rPr>
        <w:t xml:space="preserve">data_p2.py - Weeks 4 to 8 case data, days, weekend blocks</w:t>
      </w:r>
    </w:p>
    <w:p>
      <w:pPr>
        <w:pStyle w:val="ListParagraph"/>
        <w:numPr>
          <w:ilvl w:val="0"/>
          <w:numId w:val="2"/>
        </w:numPr>
        <w:spacing w:after="60"/>
      </w:pPr>
      <w:r>
        <w:rPr>
          <w:rFonts w:ascii="Arial" w:cs="Arial" w:eastAsia="Arial" w:hAnsi="Arial"/>
          <w:color w:val="15262F"/>
          <w:sz w:val="22"/>
          <w:szCs w:val="22"/>
        </w:rPr>
        <w:t xml:space="preserve">anatomy_svgs.py - 8 anatomy reference SVGs (sanitized, no disease names)</w:t>
      </w:r>
    </w:p>
    <w:p>
      <w:pPr>
        <w:pStyle w:val="ListParagraph"/>
        <w:numPr>
          <w:ilvl w:val="0"/>
          <w:numId w:val="2"/>
        </w:numPr>
        <w:spacing w:after="60"/>
      </w:pPr>
      <w:r>
        <w:rPr>
          <w:rFonts w:ascii="Arial" w:cs="Arial" w:eastAsia="Arial" w:hAnsi="Arial"/>
          <w:color w:val="15262F"/>
          <w:sz w:val="22"/>
          <w:szCs w:val="22"/>
        </w:rPr>
        <w:t xml:space="preserve">week1_modules.py through week8_modules.py - foundation research modules per week</w:t>
      </w:r>
    </w:p>
    <w:p>
      <w:pPr>
        <w:pStyle w:val="ListParagraph"/>
        <w:numPr>
          <w:ilvl w:val="0"/>
          <w:numId w:val="2"/>
        </w:numPr>
        <w:spacing w:after="60"/>
      </w:pPr>
      <w:r>
        <w:rPr>
          <w:rFonts w:ascii="Arial" w:cs="Arial" w:eastAsia="Arial" w:hAnsi="Arial"/>
          <w:color w:val="15262F"/>
          <w:sz w:val="22"/>
          <w:szCs w:val="22"/>
        </w:rPr>
        <w:t xml:space="preserve">export_json.py - merges Python data into weeks.json for Node generators</w:t>
      </w:r>
    </w:p>
    <w:p>
      <w:pPr>
        <w:pStyle w:val="ListParagraph"/>
        <w:numPr>
          <w:ilvl w:val="0"/>
          <w:numId w:val="2"/>
        </w:numPr>
        <w:spacing w:after="60"/>
      </w:pPr>
      <w:r>
        <w:rPr>
          <w:rFonts w:ascii="Arial" w:cs="Arial" w:eastAsia="Arial" w:hAnsi="Arial"/>
          <w:color w:val="15262F"/>
          <w:sz w:val="22"/>
          <w:szCs w:val="22"/>
        </w:rPr>
        <w:t xml:space="preserve">weeks.json - canonical data file consumed by generators</w:t>
      </w:r>
    </w:p>
    <w:p>
      <w:pPr>
        <w:pStyle w:val="ListParagraph"/>
        <w:numPr>
          <w:ilvl w:val="0"/>
          <w:numId w:val="2"/>
        </w:numPr>
        <w:spacing w:after="60"/>
      </w:pPr>
      <w:r>
        <w:rPr>
          <w:rFonts w:ascii="Arial" w:cs="Arial" w:eastAsia="Arial" w:hAnsi="Arial"/>
          <w:color w:val="15262F"/>
          <w:sz w:val="22"/>
          <w:szCs w:val="22"/>
        </w:rPr>
        <w:t xml:space="preserve">generate_workbooks.js - the multi-week workbook generator (Node.js)</w:t>
      </w:r>
    </w:p>
    <w:p>
      <w:pPr>
        <w:pStyle w:val="ListParagraph"/>
        <w:numPr>
          <w:ilvl w:val="0"/>
          <w:numId w:val="2"/>
        </w:numPr>
        <w:spacing w:after="60"/>
      </w:pPr>
      <w:r>
        <w:rPr>
          <w:rFonts w:ascii="Arial" w:cs="Arial" w:eastAsia="Arial" w:hAnsi="Arial"/>
          <w:color w:val="15262F"/>
          <w:sz w:val="22"/>
          <w:szCs w:val="22"/>
        </w:rPr>
        <w:t xml:space="preserve">generate.py - HTML weekly page generator (Python)</w:t>
      </w:r>
    </w:p>
    <w:p>
      <w:pPr>
        <w:pStyle w:val="ListParagraph"/>
        <w:numPr>
          <w:ilvl w:val="0"/>
          <w:numId w:val="2"/>
        </w:numPr>
        <w:spacing w:after="60"/>
      </w:pPr>
      <w:r>
        <w:rPr>
          <w:rFonts w:ascii="Arial" w:cs="Arial" w:eastAsia="Arial" w:hAnsi="Arial"/>
          <w:color w:val="15262F"/>
          <w:sz w:val="22"/>
          <w:szCs w:val="22"/>
        </w:rPr>
        <w:t xml:space="preserve">shared.css - shared CSS for HTML pages</w:t>
      </w:r>
    </w:p>
    <w:p>
      <w:pPr>
        <w:spacing w:after="120"/>
      </w:pPr>
    </w:p>
    <w:p>
      <w:pPr>
        <w:pStyle w:val="Heading3"/>
        <w:spacing w:after="100" w:before="200"/>
      </w:pPr>
      <w:r>
        <w:rPr>
          <w:rFonts w:ascii="Arial" w:cs="Arial" w:eastAsia="Arial" w:hAnsi="Arial"/>
          <w:b/>
          <w:bCs/>
          <w:color w:val="7C2018"/>
          <w:sz w:val="24"/>
          <w:szCs w:val="24"/>
        </w:rPr>
        <w:t xml:space="preserve">Data structure for case differential</w:t>
      </w:r>
    </w:p>
    <w:p>
      <w:pPr>
        <w:spacing w:after="100" w:before="0"/>
      </w:pPr>
      <w:r>
        <w:rPr>
          <w:rFonts w:ascii="Arial" w:cs="Arial" w:eastAsia="Arial" w:hAnsi="Arial"/>
          <w:b w:val="false"/>
          <w:bCs w:val="false"/>
          <w:i w:val="false"/>
          <w:iCs w:val="false"/>
          <w:color w:val="15262F"/>
          <w:sz w:val="22"/>
          <w:szCs w:val="22"/>
        </w:rPr>
        <w:t xml:space="preserve">In data_p1.py or data_p2.py, each week has a case object with:</w:t>
      </w:r>
    </w:p>
    <w:p>
      <w:pPr>
        <w:shd w:fill="F5F2EC" w:val="clear"/>
        <w:spacing w:after="80" w:before="60"/>
        <w:ind w:left="240"/>
      </w:pPr>
      <w:r>
        <w:rPr>
          <w:rFonts w:ascii="Courier New" w:cs="Courier New" w:eastAsia="Courier New" w:hAnsi="Courier New"/>
          <w:color w:val="7C2018"/>
          <w:sz w:val="20"/>
          <w:szCs w:val="20"/>
        </w:rPr>
        <w:t xml:space="preserve">"case": {</w:t>
      </w:r>
    </w:p>
    <w:p>
      <w:pPr>
        <w:shd w:fill="F5F2EC" w:val="clear"/>
        <w:spacing w:after="80" w:before="60"/>
        <w:ind w:left="240"/>
      </w:pPr>
      <w:r>
        <w:rPr>
          <w:rFonts w:ascii="Courier New" w:cs="Courier New" w:eastAsia="Courier New" w:hAnsi="Courier New"/>
          <w:color w:val="7C2018"/>
          <w:sz w:val="20"/>
          <w:szCs w:val="20"/>
        </w:rPr>
        <w:t xml:space="preserve">  "lede": "Your case unfolds Monday through Thursday...",   // GENERIC, identical across weeks</w:t>
      </w:r>
    </w:p>
    <w:p>
      <w:pPr>
        <w:shd w:fill="F5F2EC" w:val="clear"/>
        <w:spacing w:after="80" w:before="60"/>
        <w:ind w:left="240"/>
      </w:pPr>
      <w:r>
        <w:rPr>
          <w:rFonts w:ascii="Courier New" w:cs="Courier New" w:eastAsia="Courier New" w:hAnsi="Courier New"/>
          <w:color w:val="7C2018"/>
          <w:sz w:val="20"/>
          <w:szCs w:val="20"/>
        </w:rPr>
        <w:t xml:space="preserve">  "diagnosis_internal": "Tetralogy of Fallot",   // FACULTY ONLY, never rendered</w:t>
      </w:r>
    </w:p>
    <w:p>
      <w:pPr>
        <w:shd w:fill="F5F2EC" w:val="clear"/>
        <w:spacing w:after="80" w:before="60"/>
        <w:ind w:left="240"/>
      </w:pPr>
      <w:r>
        <w:rPr>
          <w:rFonts w:ascii="Courier New" w:cs="Courier New" w:eastAsia="Courier New" w:hAnsi="Courier New"/>
          <w:color w:val="7C2018"/>
          <w:sz w:val="20"/>
          <w:szCs w:val="20"/>
        </w:rPr>
        <w:t xml:space="preserve">  "differential_intro": "Each option below is...",</w:t>
      </w:r>
    </w:p>
    <w:p>
      <w:pPr>
        <w:shd w:fill="F5F2EC" w:val="clear"/>
        <w:spacing w:after="80" w:before="60"/>
        <w:ind w:left="240"/>
      </w:pPr>
      <w:r>
        <w:rPr>
          <w:rFonts w:ascii="Courier New" w:cs="Courier New" w:eastAsia="Courier New" w:hAnsi="Courier New"/>
          <w:color w:val="7C2018"/>
          <w:sz w:val="20"/>
          <w:szCs w:val="20"/>
        </w:rPr>
        <w:t xml:space="preserve">  "differential": [</w:t>
      </w:r>
    </w:p>
    <w:p>
      <w:pPr>
        <w:shd w:fill="F5F2EC" w:val="clear"/>
        <w:spacing w:after="80" w:before="60"/>
        <w:ind w:left="240"/>
      </w:pPr>
      <w:r>
        <w:rPr>
          <w:rFonts w:ascii="Courier New" w:cs="Courier New" w:eastAsia="Courier New" w:hAnsi="Courier New"/>
          <w:color w:val="7C2018"/>
          <w:sz w:val="20"/>
          <w:szCs w:val="20"/>
        </w:rPr>
        <w:t xml:space="preserve">    {"name": "Tetralogy of Fallot",   // VISIBLE TO STUDENTS</w:t>
      </w:r>
    </w:p>
    <w:p>
      <w:pPr>
        <w:shd w:fill="F5F2EC" w:val="clear"/>
        <w:spacing w:after="80" w:before="60"/>
        <w:ind w:left="240"/>
      </w:pPr>
      <w:r>
        <w:rPr>
          <w:rFonts w:ascii="Courier New" w:cs="Courier New" w:eastAsia="Courier New" w:hAnsi="Courier New"/>
          <w:color w:val="7C2018"/>
          <w:sz w:val="20"/>
          <w:szCs w:val="20"/>
        </w:rPr>
        <w:t xml:space="preserve">     "layer": "Anterior malalignment of conal septum",   // FACULTY ONLY</w:t>
      </w:r>
    </w:p>
    <w:p>
      <w:pPr>
        <w:shd w:fill="F5F2EC" w:val="clear"/>
        <w:spacing w:after="80" w:before="60"/>
        <w:ind w:left="240"/>
      </w:pPr>
      <w:r>
        <w:rPr>
          <w:rFonts w:ascii="Courier New" w:cs="Courier New" w:eastAsia="Courier New" w:hAnsi="Courier New"/>
          <w:color w:val="7C2018"/>
          <w:sz w:val="20"/>
          <w:szCs w:val="20"/>
        </w:rPr>
        <w:t xml:space="preserve">     "discriminator": "VSD + overriding aorta + RVH + pulmonary stenosis"   // FACULTY ONLY</w:t>
      </w:r>
    </w:p>
    <w:p>
      <w:pPr>
        <w:shd w:fill="F5F2EC" w:val="clear"/>
        <w:spacing w:after="80" w:before="60"/>
        <w:ind w:left="240"/>
      </w:pPr>
      <w:r>
        <w:rPr>
          <w:rFonts w:ascii="Courier New" w:cs="Courier New" w:eastAsia="Courier New" w:hAnsi="Courier New"/>
          <w:color w:val="7C2018"/>
          <w:sz w:val="20"/>
          <w:szCs w:val="20"/>
        </w:rPr>
        <w:t xml:space="preserve">    },</w:t>
      </w:r>
    </w:p>
    <w:p>
      <w:pPr>
        <w:shd w:fill="F5F2EC" w:val="clear"/>
        <w:spacing w:after="80" w:before="60"/>
        <w:ind w:left="240"/>
      </w:pPr>
      <w:r>
        <w:rPr>
          <w:rFonts w:ascii="Courier New" w:cs="Courier New" w:eastAsia="Courier New" w:hAnsi="Courier New"/>
          <w:color w:val="7C2018"/>
          <w:sz w:val="20"/>
          <w:szCs w:val="20"/>
        </w:rPr>
        <w:t xml:space="preserve">    ... more options ...</w:t>
      </w:r>
    </w:p>
    <w:p>
      <w:pPr>
        <w:shd w:fill="F5F2EC" w:val="clear"/>
        <w:spacing w:after="80" w:before="60"/>
        <w:ind w:left="240"/>
      </w:pPr>
      <w:r>
        <w:rPr>
          <w:rFonts w:ascii="Courier New" w:cs="Courier New" w:eastAsia="Courier New" w:hAnsi="Courier New"/>
          <w:color w:val="7C2018"/>
          <w:sz w:val="20"/>
          <w:szCs w:val="20"/>
        </w:rPr>
        <w:t xml:space="preserve">  ],</w:t>
      </w:r>
    </w:p>
    <w:p>
      <w:pPr>
        <w:shd w:fill="F5F2EC" w:val="clear"/>
        <w:spacing w:after="80" w:before="60"/>
        <w:ind w:left="240"/>
      </w:pPr>
      <w:r>
        <w:rPr>
          <w:rFonts w:ascii="Courier New" w:cs="Courier New" w:eastAsia="Courier New" w:hAnsi="Courier New"/>
          <w:color w:val="7C2018"/>
          <w:sz w:val="20"/>
          <w:szCs w:val="20"/>
        </w:rPr>
        <w:t xml:space="preserve">  "reveal_anchor": "Anatomic master argument..."   // FACULTY ONLY</w:t>
      </w:r>
    </w:p>
    <w:p>
      <w:pPr>
        <w:shd w:fill="F5F2EC" w:val="clear"/>
        <w:spacing w:after="80" w:before="60"/>
        <w:ind w:left="240"/>
      </w:pPr>
      <w:r>
        <w:rPr>
          <w:rFonts w:ascii="Courier New" w:cs="Courier New" w:eastAsia="Courier New" w:hAnsi="Courier New"/>
          <w:color w:val="7C2018"/>
          <w:sz w:val="20"/>
          <w:szCs w:val="20"/>
        </w:rPr>
        <w:t xml:space="preserve">}</w:t>
      </w:r>
    </w:p>
    <w:p>
      <w:pPr>
        <w:spacing w:after="120"/>
      </w:pPr>
    </w:p>
    <w:p>
      <w:pPr>
        <w:spacing w:after="100" w:before="0"/>
      </w:pPr>
      <w:r>
        <w:rPr>
          <w:rFonts w:ascii="Arial" w:cs="Arial" w:eastAsia="Arial" w:hAnsi="Arial"/>
          <w:b w:val="false"/>
          <w:bCs w:val="false"/>
          <w:i w:val="false"/>
          <w:iCs w:val="false"/>
          <w:color w:val="15262F"/>
          <w:sz w:val="22"/>
          <w:szCs w:val="22"/>
        </w:rPr>
        <w:t xml:space="preserve">Only the 'name' field appears in the student-facing workbook. The 'layer' and 'discriminator' fields are reserved for the future facilitator manual.</w:t>
      </w:r>
    </w:p>
    <w:p>
      <w:pPr>
        <w:pStyle w:val="Heading3"/>
        <w:spacing w:after="100" w:before="200"/>
      </w:pPr>
      <w:r>
        <w:rPr>
          <w:rFonts w:ascii="Arial" w:cs="Arial" w:eastAsia="Arial" w:hAnsi="Arial"/>
          <w:b/>
          <w:bCs/>
          <w:color w:val="7C2018"/>
          <w:sz w:val="24"/>
          <w:szCs w:val="24"/>
        </w:rPr>
        <w:t xml:space="preserve">Data structure for foundation modules</w:t>
      </w:r>
    </w:p>
    <w:p>
      <w:pPr>
        <w:spacing w:after="100" w:before="0"/>
      </w:pPr>
      <w:r>
        <w:rPr>
          <w:rFonts w:ascii="Arial" w:cs="Arial" w:eastAsia="Arial" w:hAnsi="Arial"/>
          <w:b w:val="false"/>
          <w:bCs w:val="false"/>
          <w:i w:val="false"/>
          <w:iCs w:val="false"/>
          <w:color w:val="15262F"/>
          <w:sz w:val="22"/>
          <w:szCs w:val="22"/>
        </w:rPr>
        <w:t xml:space="preserve">Each week has a Python file like week4_modules.py with a list:</w:t>
      </w:r>
    </w:p>
    <w:p>
      <w:pPr>
        <w:shd w:fill="F5F2EC" w:val="clear"/>
        <w:spacing w:after="80" w:before="60"/>
        <w:ind w:left="240"/>
      </w:pPr>
      <w:r>
        <w:rPr>
          <w:rFonts w:ascii="Courier New" w:cs="Courier New" w:eastAsia="Courier New" w:hAnsi="Courier New"/>
          <w:color w:val="7C2018"/>
          <w:sz w:val="20"/>
          <w:szCs w:val="20"/>
        </w:rPr>
        <w:t xml:space="preserve">WEEK4_MODULES = [</w:t>
      </w:r>
    </w:p>
    <w:p>
      <w:pPr>
        <w:shd w:fill="F5F2EC" w:val="clear"/>
        <w:spacing w:after="80" w:before="60"/>
        <w:ind w:left="240"/>
      </w:pPr>
      <w:r>
        <w:rPr>
          <w:rFonts w:ascii="Courier New" w:cs="Courier New" w:eastAsia="Courier New" w:hAnsi="Courier New"/>
          <w:color w:val="7C2018"/>
          <w:sz w:val="20"/>
          <w:szCs w:val="20"/>
        </w:rPr>
        <w:t xml:space="preserve">  {</w:t>
      </w:r>
    </w:p>
    <w:p>
      <w:pPr>
        <w:shd w:fill="F5F2EC" w:val="clear"/>
        <w:spacing w:after="80" w:before="60"/>
        <w:ind w:left="240"/>
      </w:pPr>
      <w:r>
        <w:rPr>
          <w:rFonts w:ascii="Courier New" w:cs="Courier New" w:eastAsia="Courier New" w:hAnsi="Courier New"/>
          <w:color w:val="7C2018"/>
          <w:sz w:val="20"/>
          <w:szCs w:val="20"/>
        </w:rPr>
        <w:t xml:space="preserve">    "title": "A1. Pericardium and heart walls",</w:t>
      </w:r>
    </w:p>
    <w:p>
      <w:pPr>
        <w:shd w:fill="F5F2EC" w:val="clear"/>
        <w:spacing w:after="80" w:before="60"/>
        <w:ind w:left="240"/>
      </w:pPr>
      <w:r>
        <w:rPr>
          <w:rFonts w:ascii="Courier New" w:cs="Courier New" w:eastAsia="Courier New" w:hAnsi="Courier New"/>
          <w:color w:val="7C2018"/>
          <w:sz w:val="20"/>
          <w:szCs w:val="20"/>
        </w:rPr>
        <w:t xml:space="preserve">    "intro": "The heart sits within the pericardium, a layered sac.",</w:t>
      </w:r>
    </w:p>
    <w:p>
      <w:pPr>
        <w:shd w:fill="F5F2EC" w:val="clear"/>
        <w:spacing w:after="80" w:before="60"/>
        <w:ind w:left="240"/>
      </w:pPr>
      <w:r>
        <w:rPr>
          <w:rFonts w:ascii="Courier New" w:cs="Courier New" w:eastAsia="Courier New" w:hAnsi="Courier New"/>
          <w:color w:val="7C2018"/>
          <w:sz w:val="20"/>
          <w:szCs w:val="20"/>
        </w:rPr>
        <w:t xml:space="preserve">    "type": "questions",</w:t>
      </w:r>
    </w:p>
    <w:p>
      <w:pPr>
        <w:shd w:fill="F5F2EC" w:val="clear"/>
        <w:spacing w:after="80" w:before="60"/>
        <w:ind w:left="240"/>
      </w:pPr>
      <w:r>
        <w:rPr>
          <w:rFonts w:ascii="Courier New" w:cs="Courier New" w:eastAsia="Courier New" w:hAnsi="Courier New"/>
          <w:color w:val="7C2018"/>
          <w:sz w:val="20"/>
          <w:szCs w:val="20"/>
        </w:rPr>
        <w:t xml:space="preserve">    "questions": [</w:t>
      </w:r>
    </w:p>
    <w:p>
      <w:pPr>
        <w:shd w:fill="F5F2EC" w:val="clear"/>
        <w:spacing w:after="80" w:before="60"/>
        <w:ind w:left="240"/>
      </w:pPr>
      <w:r>
        <w:rPr>
          <w:rFonts w:ascii="Courier New" w:cs="Courier New" w:eastAsia="Courier New" w:hAnsi="Courier New"/>
          <w:color w:val="7C2018"/>
          <w:sz w:val="20"/>
          <w:szCs w:val="20"/>
        </w:rPr>
        <w:t xml:space="preserve">      "Name the layers of the pericardium from superficial to deep.",</w:t>
      </w:r>
    </w:p>
    <w:p>
      <w:pPr>
        <w:shd w:fill="F5F2EC" w:val="clear"/>
        <w:spacing w:after="80" w:before="60"/>
        <w:ind w:left="240"/>
      </w:pPr>
      <w:r>
        <w:rPr>
          <w:rFonts w:ascii="Courier New" w:cs="Courier New" w:eastAsia="Courier New" w:hAnsi="Courier New"/>
          <w:color w:val="7C2018"/>
          <w:sz w:val="20"/>
          <w:szCs w:val="20"/>
        </w:rPr>
        <w:t xml:space="preserve">      "Define the pericardial cavity. What is found inside it?",</w:t>
      </w:r>
    </w:p>
    <w:p>
      <w:pPr>
        <w:shd w:fill="F5F2EC" w:val="clear"/>
        <w:spacing w:after="80" w:before="60"/>
        <w:ind w:left="240"/>
      </w:pPr>
      <w:r>
        <w:rPr>
          <w:rFonts w:ascii="Courier New" w:cs="Courier New" w:eastAsia="Courier New" w:hAnsi="Courier New"/>
          <w:color w:val="7C2018"/>
          <w:sz w:val="20"/>
          <w:szCs w:val="20"/>
        </w:rPr>
        <w:t xml:space="preserve">      ... more questions ...</w:t>
      </w:r>
    </w:p>
    <w:p>
      <w:pPr>
        <w:shd w:fill="F5F2EC" w:val="clear"/>
        <w:spacing w:after="80" w:before="60"/>
        <w:ind w:left="240"/>
      </w:pPr>
      <w:r>
        <w:rPr>
          <w:rFonts w:ascii="Courier New" w:cs="Courier New" w:eastAsia="Courier New" w:hAnsi="Courier New"/>
          <w:color w:val="7C2018"/>
          <w:sz w:val="20"/>
          <w:szCs w:val="20"/>
        </w:rPr>
        <w:t xml:space="preserve">    ],</w:t>
      </w:r>
    </w:p>
    <w:p>
      <w:pPr>
        <w:shd w:fill="F5F2EC" w:val="clear"/>
        <w:spacing w:after="80" w:before="60"/>
        <w:ind w:left="240"/>
      </w:pPr>
      <w:r>
        <w:rPr>
          <w:rFonts w:ascii="Courier New" w:cs="Courier New" w:eastAsia="Courier New" w:hAnsi="Courier New"/>
          <w:color w:val="7C2018"/>
          <w:sz w:val="20"/>
          <w:szCs w:val="20"/>
        </w:rPr>
        <w:t xml:space="preserve">  },</w:t>
      </w:r>
    </w:p>
    <w:p>
      <w:pPr>
        <w:shd w:fill="F5F2EC" w:val="clear"/>
        <w:spacing w:after="80" w:before="60"/>
        <w:ind w:left="240"/>
      </w:pPr>
      <w:r>
        <w:rPr>
          <w:rFonts w:ascii="Courier New" w:cs="Courier New" w:eastAsia="Courier New" w:hAnsi="Courier New"/>
          <w:color w:val="7C2018"/>
          <w:sz w:val="20"/>
          <w:szCs w:val="20"/>
        </w:rPr>
        <w:t xml:space="preserve">  {</w:t>
      </w:r>
    </w:p>
    <w:p>
      <w:pPr>
        <w:shd w:fill="F5F2EC" w:val="clear"/>
        <w:spacing w:after="80" w:before="60"/>
        <w:ind w:left="240"/>
      </w:pPr>
      <w:r>
        <w:rPr>
          <w:rFonts w:ascii="Courier New" w:cs="Courier New" w:eastAsia="Courier New" w:hAnsi="Courier New"/>
          <w:color w:val="7C2018"/>
          <w:sz w:val="20"/>
          <w:szCs w:val="20"/>
        </w:rPr>
        <w:t xml:space="preserve">    "title": "A12. Muscles of the thoracic wall",</w:t>
      </w:r>
    </w:p>
    <w:p>
      <w:pPr>
        <w:shd w:fill="F5F2EC" w:val="clear"/>
        <w:spacing w:after="80" w:before="60"/>
        <w:ind w:left="240"/>
      </w:pPr>
      <w:r>
        <w:rPr>
          <w:rFonts w:ascii="Courier New" w:cs="Courier New" w:eastAsia="Courier New" w:hAnsi="Courier New"/>
          <w:color w:val="7C2018"/>
          <w:sz w:val="20"/>
          <w:szCs w:val="20"/>
        </w:rPr>
        <w:t xml:space="preserve">    "intro": "These muscles form the wall...",</w:t>
      </w:r>
    </w:p>
    <w:p>
      <w:pPr>
        <w:shd w:fill="F5F2EC" w:val="clear"/>
        <w:spacing w:after="80" w:before="60"/>
        <w:ind w:left="240"/>
      </w:pPr>
      <w:r>
        <w:rPr>
          <w:rFonts w:ascii="Courier New" w:cs="Courier New" w:eastAsia="Courier New" w:hAnsi="Courier New"/>
          <w:color w:val="7C2018"/>
          <w:sz w:val="20"/>
          <w:szCs w:val="20"/>
        </w:rPr>
        <w:t xml:space="preserve">    "type": "muscle_table",</w:t>
      </w:r>
    </w:p>
    <w:p>
      <w:pPr>
        <w:shd w:fill="F5F2EC" w:val="clear"/>
        <w:spacing w:after="80" w:before="60"/>
        <w:ind w:left="240"/>
      </w:pPr>
      <w:r>
        <w:rPr>
          <w:rFonts w:ascii="Courier New" w:cs="Courier New" w:eastAsia="Courier New" w:hAnsi="Courier New"/>
          <w:color w:val="7C2018"/>
          <w:sz w:val="20"/>
          <w:szCs w:val="20"/>
        </w:rPr>
        <w:t xml:space="preserve">    "muscles": ["External intercostals", "Internal intercostals", ...],</w:t>
      </w:r>
    </w:p>
    <w:p>
      <w:pPr>
        <w:shd w:fill="F5F2EC" w:val="clear"/>
        <w:spacing w:after="80" w:before="60"/>
        <w:ind w:left="240"/>
      </w:pPr>
      <w:r>
        <w:rPr>
          <w:rFonts w:ascii="Courier New" w:cs="Courier New" w:eastAsia="Courier New" w:hAnsi="Courier New"/>
          <w:color w:val="7C2018"/>
          <w:sz w:val="20"/>
          <w:szCs w:val="20"/>
        </w:rPr>
        <w:t xml:space="preserve">    "follow_up": [</w:t>
      </w:r>
    </w:p>
    <w:p>
      <w:pPr>
        <w:shd w:fill="F5F2EC" w:val="clear"/>
        <w:spacing w:after="80" w:before="60"/>
        <w:ind w:left="240"/>
      </w:pPr>
      <w:r>
        <w:rPr>
          <w:rFonts w:ascii="Courier New" w:cs="Courier New" w:eastAsia="Courier New" w:hAnsi="Courier New"/>
          <w:color w:val="7C2018"/>
          <w:sz w:val="20"/>
          <w:szCs w:val="20"/>
        </w:rPr>
        <w:t xml:space="preserve">      "Identify the role of each in respiration.",</w:t>
      </w:r>
    </w:p>
    <w:p>
      <w:pPr>
        <w:shd w:fill="F5F2EC" w:val="clear"/>
        <w:spacing w:after="80" w:before="60"/>
        <w:ind w:left="240"/>
      </w:pPr>
      <w:r>
        <w:rPr>
          <w:rFonts w:ascii="Courier New" w:cs="Courier New" w:eastAsia="Courier New" w:hAnsi="Courier New"/>
          <w:color w:val="7C2018"/>
          <w:sz w:val="20"/>
          <w:szCs w:val="20"/>
        </w:rPr>
        <w:t xml:space="preserve">    ],</w:t>
      </w:r>
    </w:p>
    <w:p>
      <w:pPr>
        <w:shd w:fill="F5F2EC" w:val="clear"/>
        <w:spacing w:after="80" w:before="60"/>
        <w:ind w:left="240"/>
      </w:pPr>
      <w:r>
        <w:rPr>
          <w:rFonts w:ascii="Courier New" w:cs="Courier New" w:eastAsia="Courier New" w:hAnsi="Courier New"/>
          <w:color w:val="7C2018"/>
          <w:sz w:val="20"/>
          <w:szCs w:val="20"/>
        </w:rPr>
        <w:t xml:space="preserve">  },</w:t>
      </w:r>
    </w:p>
    <w:p>
      <w:pPr>
        <w:shd w:fill="F5F2EC" w:val="clear"/>
        <w:spacing w:after="80" w:before="60"/>
        <w:ind w:left="240"/>
      </w:pPr>
      <w:r>
        <w:rPr>
          <w:rFonts w:ascii="Courier New" w:cs="Courier New" w:eastAsia="Courier New" w:hAnsi="Courier New"/>
          <w:color w:val="7C2018"/>
          <w:sz w:val="20"/>
          <w:szCs w:val="20"/>
        </w:rPr>
        <w:t xml:space="preserve">]</w:t>
      </w:r>
    </w:p>
    <w:p>
      <w:pPr>
        <w:spacing w:after="120"/>
      </w:pPr>
    </w:p>
    <w:p>
      <w:pPr>
        <w:pStyle w:val="Heading3"/>
        <w:spacing w:after="100" w:before="200"/>
      </w:pPr>
      <w:r>
        <w:rPr>
          <w:rFonts w:ascii="Arial" w:cs="Arial" w:eastAsia="Arial" w:hAnsi="Arial"/>
          <w:b/>
          <w:bCs/>
          <w:color w:val="7C2018"/>
          <w:sz w:val="24"/>
          <w:szCs w:val="24"/>
        </w:rPr>
        <w:t xml:space="preserve">Build commands</w:t>
      </w:r>
    </w:p>
    <w:p>
      <w:pPr>
        <w:shd w:fill="F5F2EC" w:val="clear"/>
        <w:spacing w:after="80" w:before="60"/>
        <w:ind w:left="240"/>
      </w:pPr>
      <w:r>
        <w:rPr>
          <w:rFonts w:ascii="Courier New" w:cs="Courier New" w:eastAsia="Courier New" w:hAnsi="Courier New"/>
          <w:color w:val="7C2018"/>
          <w:sz w:val="20"/>
          <w:szCs w:val="20"/>
        </w:rPr>
        <w:t xml:space="preserve"># 1. Re-export Python data to weeks.json</w:t>
      </w:r>
    </w:p>
    <w:p>
      <w:pPr>
        <w:shd w:fill="F5F2EC" w:val="clear"/>
        <w:spacing w:after="80" w:before="60"/>
        <w:ind w:left="240"/>
      </w:pPr>
      <w:r>
        <w:rPr>
          <w:rFonts w:ascii="Courier New" w:cs="Courier New" w:eastAsia="Courier New" w:hAnsi="Courier New"/>
          <w:color w:val="7C2018"/>
          <w:sz w:val="20"/>
          <w:szCs w:val="20"/>
        </w:rPr>
        <w:t xml:space="preserve">cd /home/claude/weeks_build &amp;&amp; python3 export_json.py</w:t>
      </w:r>
    </w:p>
    <w:p>
      <w:pPr>
        <w:shd w:fill="F5F2EC" w:val="clear"/>
        <w:spacing w:after="80" w:before="60"/>
        <w:ind w:left="240"/>
      </w:pPr>
      <w:r>
        <w:rPr>
          <w:rFonts w:ascii="Courier New" w:cs="Courier New" w:eastAsia="Courier New" w:hAnsi="Courier New"/>
          <w:color w:val="7C2018"/>
          <w:sz w:val="20"/>
          <w:szCs w:val="20"/>
        </w:rPr>
        <w:t xml:space="preserve"/>
      </w:r>
    </w:p>
    <w:p>
      <w:pPr>
        <w:shd w:fill="F5F2EC" w:val="clear"/>
        <w:spacing w:after="80" w:before="60"/>
        <w:ind w:left="240"/>
      </w:pPr>
      <w:r>
        <w:rPr>
          <w:rFonts w:ascii="Courier New" w:cs="Courier New" w:eastAsia="Courier New" w:hAnsi="Courier New"/>
          <w:color w:val="7C2018"/>
          <w:sz w:val="20"/>
          <w:szCs w:val="20"/>
        </w:rPr>
        <w:t xml:space="preserve"># 2. Generate all 8 workbooks</w:t>
      </w:r>
    </w:p>
    <w:p>
      <w:pPr>
        <w:shd w:fill="F5F2EC" w:val="clear"/>
        <w:spacing w:after="80" w:before="60"/>
        <w:ind w:left="240"/>
      </w:pPr>
      <w:r>
        <w:rPr>
          <w:rFonts w:ascii="Courier New" w:cs="Courier New" w:eastAsia="Courier New" w:hAnsi="Courier New"/>
          <w:color w:val="7C2018"/>
          <w:sz w:val="20"/>
          <w:szCs w:val="20"/>
        </w:rPr>
        <w:t xml:space="preserve">node generate_workbooks.js</w:t>
      </w:r>
    </w:p>
    <w:p>
      <w:pPr>
        <w:shd w:fill="F5F2EC" w:val="clear"/>
        <w:spacing w:after="80" w:before="60"/>
        <w:ind w:left="240"/>
      </w:pPr>
      <w:r>
        <w:rPr>
          <w:rFonts w:ascii="Courier New" w:cs="Courier New" w:eastAsia="Courier New" w:hAnsi="Courier New"/>
          <w:color w:val="7C2018"/>
          <w:sz w:val="20"/>
          <w:szCs w:val="20"/>
        </w:rPr>
        <w:t xml:space="preserve"/>
      </w:r>
    </w:p>
    <w:p>
      <w:pPr>
        <w:shd w:fill="F5F2EC" w:val="clear"/>
        <w:spacing w:after="80" w:before="60"/>
        <w:ind w:left="240"/>
      </w:pPr>
      <w:r>
        <w:rPr>
          <w:rFonts w:ascii="Courier New" w:cs="Courier New" w:eastAsia="Courier New" w:hAnsi="Courier New"/>
          <w:color w:val="7C2018"/>
          <w:sz w:val="20"/>
          <w:szCs w:val="20"/>
        </w:rPr>
        <w:t xml:space="preserve"># 3. Validate all 8 workbooks</w:t>
      </w:r>
    </w:p>
    <w:p>
      <w:pPr>
        <w:shd w:fill="F5F2EC" w:val="clear"/>
        <w:spacing w:after="80" w:before="60"/>
        <w:ind w:left="240"/>
      </w:pPr>
      <w:r>
        <w:rPr>
          <w:rFonts w:ascii="Courier New" w:cs="Courier New" w:eastAsia="Courier New" w:hAnsi="Courier New"/>
          <w:color w:val="7C2018"/>
          <w:sz w:val="20"/>
          <w:szCs w:val="20"/>
        </w:rPr>
        <w:t xml:space="preserve">cd /mnt/user-data/outputs &amp;&amp; for f in week-*-study-guide.docx; do</w:t>
      </w:r>
    </w:p>
    <w:p>
      <w:pPr>
        <w:shd w:fill="F5F2EC" w:val="clear"/>
        <w:spacing w:after="80" w:before="60"/>
        <w:ind w:left="240"/>
      </w:pPr>
      <w:r>
        <w:rPr>
          <w:rFonts w:ascii="Courier New" w:cs="Courier New" w:eastAsia="Courier New" w:hAnsi="Courier New"/>
          <w:color w:val="7C2018"/>
          <w:sz w:val="20"/>
          <w:szCs w:val="20"/>
        </w:rPr>
        <w:t xml:space="preserve">  python3 /mnt/skills/public/docx/scripts/office/validate.py "$f"</w:t>
      </w:r>
    </w:p>
    <w:p>
      <w:pPr>
        <w:shd w:fill="F5F2EC" w:val="clear"/>
        <w:spacing w:after="80" w:before="60"/>
        <w:ind w:left="240"/>
      </w:pPr>
      <w:r>
        <w:rPr>
          <w:rFonts w:ascii="Courier New" w:cs="Courier New" w:eastAsia="Courier New" w:hAnsi="Courier New"/>
          <w:color w:val="7C2018"/>
          <w:sz w:val="20"/>
          <w:szCs w:val="20"/>
        </w:rPr>
        <w:t xml:space="preserve">done</w:t>
      </w:r>
    </w:p>
    <w:p>
      <w:pPr>
        <w:shd w:fill="F5F2EC" w:val="clear"/>
        <w:spacing w:after="80" w:before="60"/>
        <w:ind w:left="240"/>
      </w:pPr>
      <w:r>
        <w:rPr>
          <w:rFonts w:ascii="Courier New" w:cs="Courier New" w:eastAsia="Courier New" w:hAnsi="Courier New"/>
          <w:color w:val="7C2018"/>
          <w:sz w:val="20"/>
          <w:szCs w:val="20"/>
        </w:rPr>
        <w:t xml:space="preserve"/>
      </w:r>
    </w:p>
    <w:p>
      <w:pPr>
        <w:shd w:fill="F5F2EC" w:val="clear"/>
        <w:spacing w:after="80" w:before="60"/>
        <w:ind w:left="240"/>
      </w:pPr>
      <w:r>
        <w:rPr>
          <w:rFonts w:ascii="Courier New" w:cs="Courier New" w:eastAsia="Courier New" w:hAnsi="Courier New"/>
          <w:color w:val="7C2018"/>
          <w:sz w:val="20"/>
          <w:szCs w:val="20"/>
        </w:rPr>
        <w:t xml:space="preserve"># 4. Generate HTML weekly pages</w:t>
      </w:r>
    </w:p>
    <w:p>
      <w:pPr>
        <w:shd w:fill="F5F2EC" w:val="clear"/>
        <w:spacing w:after="80" w:before="60"/>
        <w:ind w:left="240"/>
      </w:pPr>
      <w:r>
        <w:rPr>
          <w:rFonts w:ascii="Courier New" w:cs="Courier New" w:eastAsia="Courier New" w:hAnsi="Courier New"/>
          <w:color w:val="7C2018"/>
          <w:sz w:val="20"/>
          <w:szCs w:val="20"/>
        </w:rPr>
        <w:t xml:space="preserve">cd /home/claude/weeks_build &amp;&amp; python3 generate.py</w:t>
      </w:r>
    </w:p>
    <w:p>
      <w:pPr>
        <w:spacing w:after="120"/>
      </w:pPr>
    </w:p>
    <w:p>
      <w:pPr>
        <w:pStyle w:val="Heading1"/>
        <w:spacing w:after="200" w:before="360"/>
      </w:pPr>
      <w:r>
        <w:rPr>
          <w:rFonts w:ascii="Arial" w:cs="Arial" w:eastAsia="Arial" w:hAnsi="Arial"/>
          <w:b/>
          <w:bCs/>
          <w:color w:val="1E3D4C"/>
          <w:sz w:val="36"/>
          <w:szCs w:val="36"/>
        </w:rPr>
        <w:t xml:space="preserve">5. Per-week schedule and content distribution</w:t>
      </w:r>
    </w:p>
    <w:p>
      <w:pPr>
        <w:spacing w:after="100" w:before="0"/>
      </w:pPr>
      <w:r>
        <w:rPr>
          <w:rFonts w:ascii="Arial" w:cs="Arial" w:eastAsia="Arial" w:hAnsi="Arial"/>
          <w:b w:val="false"/>
          <w:bCs w:val="false"/>
          <w:i w:val="false"/>
          <w:iCs w:val="false"/>
          <w:color w:val="15262F"/>
          <w:sz w:val="22"/>
          <w:szCs w:val="22"/>
        </w:rPr>
        <w:t xml:space="preserve">BIO 004 Summer 2026 schedule with regional muscle and vessel distribution: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700"/>
        <w:gridCol w:w="1860"/>
        <w:gridCol w:w="1500"/>
      </w:tblGrid>
      <w:tr>
        <w:trPr>
          <w:tblHeader/>
        </w:trPr>
        <w:tc>
          <w:tcPr>
            <w:tcW w:type="dxa" w:w="600"/>
            <w:shd w:fill="1E3D4C" w:val="clear"/>
            <w:tcMar>
              <w:top w:type="dxa" w:w="100"/>
              <w:left w:type="dxa" w:w="100"/>
              <w:bottom w:type="dxa" w:w="100"/>
              <w:right w:type="dxa" w:w="100"/>
            </w:tcMar>
          </w:tcPr>
          <w:p>
            <w:r>
              <w:rPr>
                <w:rFonts w:ascii="Arial" w:cs="Arial" w:eastAsia="Arial" w:hAnsi="Arial"/>
                <w:b/>
                <w:bCs/>
                <w:color w:val="FFFFFF"/>
                <w:sz w:val="18"/>
                <w:szCs w:val="18"/>
              </w:rPr>
              <w:t xml:space="preserve">Wk</w:t>
            </w:r>
          </w:p>
        </w:tc>
        <w:tc>
          <w:tcPr>
            <w:tcW w:type="dxa" w:w="2700"/>
            <w:shd w:fill="1E3D4C" w:val="clear"/>
            <w:tcMar>
              <w:top w:type="dxa" w:w="100"/>
              <w:left w:type="dxa" w:w="100"/>
              <w:bottom w:type="dxa" w:w="100"/>
              <w:right w:type="dxa" w:w="100"/>
            </w:tcMar>
          </w:tcPr>
          <w:p>
            <w:r>
              <w:rPr>
                <w:rFonts w:ascii="Arial" w:cs="Arial" w:eastAsia="Arial" w:hAnsi="Arial"/>
                <w:b/>
                <w:bCs/>
                <w:color w:val="FFFFFF"/>
                <w:sz w:val="18"/>
                <w:szCs w:val="18"/>
              </w:rPr>
              <w:t xml:space="preserve">Anatomy focus</w:t>
            </w:r>
          </w:p>
        </w:tc>
        <w:tc>
          <w:tcPr>
            <w:tcW w:type="dxa" w:w="2700"/>
            <w:shd w:fill="1E3D4C" w:val="clear"/>
            <w:tcMar>
              <w:top w:type="dxa" w:w="100"/>
              <w:left w:type="dxa" w:w="100"/>
              <w:bottom w:type="dxa" w:w="100"/>
              <w:right w:type="dxa" w:w="100"/>
            </w:tcMar>
          </w:tcPr>
          <w:p>
            <w:r>
              <w:rPr>
                <w:rFonts w:ascii="Arial" w:cs="Arial" w:eastAsia="Arial" w:hAnsi="Arial"/>
                <w:b/>
                <w:bCs/>
                <w:color w:val="FFFFFF"/>
                <w:sz w:val="18"/>
                <w:szCs w:val="18"/>
              </w:rPr>
              <w:t xml:space="preserve">Regional muscles + vessels</w:t>
            </w:r>
          </w:p>
        </w:tc>
        <w:tc>
          <w:tcPr>
            <w:tcW w:type="dxa" w:w="1860"/>
            <w:shd w:fill="1E3D4C" w:val="clear"/>
            <w:tcMar>
              <w:top w:type="dxa" w:w="100"/>
              <w:left w:type="dxa" w:w="100"/>
              <w:bottom w:type="dxa" w:w="100"/>
              <w:right w:type="dxa" w:w="100"/>
            </w:tcMar>
          </w:tcPr>
          <w:p>
            <w:r>
              <w:rPr>
                <w:rFonts w:ascii="Arial" w:cs="Arial" w:eastAsia="Arial" w:hAnsi="Arial"/>
                <w:b/>
                <w:bCs/>
                <w:color w:val="FFFFFF"/>
                <w:sz w:val="18"/>
                <w:szCs w:val="18"/>
              </w:rPr>
              <w:t xml:space="preserve">Case</w:t>
            </w:r>
          </w:p>
        </w:tc>
        <w:tc>
          <w:tcPr>
            <w:tcW w:type="dxa" w:w="1500"/>
            <w:shd w:fill="1E3D4C" w:val="clear"/>
            <w:tcMar>
              <w:top w:type="dxa" w:w="100"/>
              <w:left w:type="dxa" w:w="100"/>
              <w:bottom w:type="dxa" w:w="100"/>
              <w:right w:type="dxa" w:w="100"/>
            </w:tcMar>
          </w:tcPr>
          <w:p>
            <w:r>
              <w:rPr>
                <w:rFonts w:ascii="Arial" w:cs="Arial" w:eastAsia="Arial" w:hAnsi="Arial"/>
                <w:b/>
                <w:bCs/>
                <w:color w:val="FFFFFF"/>
                <w:sz w:val="18"/>
                <w:szCs w:val="18"/>
              </w:rPr>
              <w:t xml:space="preserve">Mon Lab Exam</w:t>
            </w:r>
          </w:p>
        </w:tc>
      </w:tr>
      <w:tr>
        <w:tc>
          <w:tcPr>
            <w:tcW w:type="dxa" w:w="6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1</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Foundations: cells, 4 tissues, integumentary</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none</w:t>
            </w:r>
          </w:p>
        </w:tc>
        <w:tc>
          <w:tcPr>
            <w:tcW w:type="dxa" w:w="186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TEN</w:t>
            </w:r>
          </w:p>
        </w:tc>
        <w:tc>
          <w:tcPr>
            <w:tcW w:type="dxa" w:w="15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none</w:t>
            </w:r>
          </w:p>
        </w:tc>
      </w:tr>
      <w:tr>
        <w:tc>
          <w:tcPr>
            <w:tcW w:type="dxa" w:w="6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2</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Bone microanatomy + axial skeleton</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none</w:t>
            </w:r>
          </w:p>
        </w:tc>
        <w:tc>
          <w:tcPr>
            <w:tcW w:type="dxa" w:w="186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OI</w:t>
            </w:r>
          </w:p>
        </w:tc>
        <w:tc>
          <w:tcPr>
            <w:tcW w:type="dxa" w:w="15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LE 1 (Wk 1)</w:t>
            </w:r>
          </w:p>
        </w:tc>
      </w:tr>
      <w:tr>
        <w:tc>
          <w:tcPr>
            <w:tcW w:type="dxa" w:w="6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3</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Appendicular + joints + muscle as a system lecture</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none new</w:t>
            </w:r>
          </w:p>
        </w:tc>
        <w:tc>
          <w:tcPr>
            <w:tcW w:type="dxa" w:w="186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Marfan</w:t>
            </w:r>
          </w:p>
        </w:tc>
        <w:tc>
          <w:tcPr>
            <w:tcW w:type="dxa" w:w="15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LE 2 (Wk 2)</w:t>
            </w:r>
          </w:p>
        </w:tc>
      </w:tr>
      <w:tr>
        <w:tc>
          <w:tcPr>
            <w:tcW w:type="dxa" w:w="6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4</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Heart + great vessels + fetal circulation + vessel histology</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Thorax + back + UE muscles; thoracic + UE vessels</w:t>
            </w:r>
          </w:p>
        </w:tc>
        <w:tc>
          <w:tcPr>
            <w:tcW w:type="dxa" w:w="186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ToF</w:t>
            </w:r>
          </w:p>
        </w:tc>
        <w:tc>
          <w:tcPr>
            <w:tcW w:type="dxa" w:w="15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LE 3 (Wk 3)</w:t>
            </w:r>
          </w:p>
        </w:tc>
      </w:tr>
      <w:tr>
        <w:tc>
          <w:tcPr>
            <w:tcW w:type="dxa" w:w="6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5</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Respiratory + lymphatic + immune + blood</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Pulmonary vessels</w:t>
            </w:r>
          </w:p>
        </w:tc>
        <w:tc>
          <w:tcPr>
            <w:tcW w:type="dxa" w:w="186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Sickle Cell</w:t>
            </w:r>
          </w:p>
        </w:tc>
        <w:tc>
          <w:tcPr>
            <w:tcW w:type="dxa" w:w="15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LE 4 (Wk 4)</w:t>
            </w:r>
          </w:p>
        </w:tc>
      </w:tr>
      <w:tr>
        <w:tc>
          <w:tcPr>
            <w:tcW w:type="dxa" w:w="6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6</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Digestive system</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Abdomen + pelvis + LE muscles; abdominal + pelvic + LE vessels</w:t>
            </w:r>
          </w:p>
        </w:tc>
        <w:tc>
          <w:tcPr>
            <w:tcW w:type="dxa" w:w="186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Hirschsprung</w:t>
            </w:r>
          </w:p>
        </w:tc>
        <w:tc>
          <w:tcPr>
            <w:tcW w:type="dxa" w:w="15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LE 5 (Wk 5)</w:t>
            </w:r>
          </w:p>
        </w:tc>
      </w:tr>
      <w:tr>
        <w:tc>
          <w:tcPr>
            <w:tcW w:type="dxa" w:w="6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7</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Urinary + reproductive + endocrine</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Renal + gonadal vessels</w:t>
            </w:r>
          </w:p>
        </w:tc>
        <w:tc>
          <w:tcPr>
            <w:tcW w:type="dxa" w:w="186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ADPKD</w:t>
            </w:r>
          </w:p>
        </w:tc>
        <w:tc>
          <w:tcPr>
            <w:tcW w:type="dxa" w:w="15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LE 6 (Wk 6)</w:t>
            </w:r>
          </w:p>
        </w:tc>
      </w:tr>
      <w:tr>
        <w:tc>
          <w:tcPr>
            <w:tcW w:type="dxa" w:w="6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8</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Nervous CNS + PNS + ANS</w:t>
            </w:r>
          </w:p>
        </w:tc>
        <w:tc>
          <w:tcPr>
            <w:tcW w:type="dxa" w:w="27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Head + neck + face + extraocular muscles; cranial vessels</w:t>
            </w:r>
          </w:p>
        </w:tc>
        <w:tc>
          <w:tcPr>
            <w:tcW w:type="dxa" w:w="186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NPH</w:t>
            </w:r>
          </w:p>
        </w:tc>
        <w:tc>
          <w:tcPr>
            <w:tcW w:type="dxa" w:w="1500"/>
            <w:tcBorders>
              <w:top w:val="single" w:color="BFC8CD" w:sz="2"/>
              <w:left w:val="single" w:color="BFC8CD" w:sz="2"/>
              <w:bottom w:val="single" w:color="BFC8CD" w:sz="2"/>
              <w:right w:val="single" w:color="BFC8CD" w:sz="2"/>
            </w:tcBorders>
            <w:tcMar>
              <w:top w:type="dxa" w:w="100"/>
              <w:left w:type="dxa" w:w="100"/>
              <w:bottom w:type="dxa" w:w="100"/>
              <w:right w:type="dxa" w:w="100"/>
            </w:tcMar>
          </w:tcPr>
          <w:p>
            <w:r>
              <w:rPr>
                <w:rFonts w:ascii="Arial" w:cs="Arial" w:eastAsia="Arial" w:hAnsi="Arial"/>
                <w:color w:val="15262F"/>
                <w:sz w:val="18"/>
                <w:szCs w:val="18"/>
              </w:rPr>
              <w:t xml:space="preserve">LE 7 Mon (Wk 7); LE 8 cumulative Thu PM</w:t>
            </w:r>
          </w:p>
        </w:tc>
      </w:tr>
    </w:tbl>
    <w:p>
      <w:pPr>
        <w:spacing w:after="180"/>
      </w:pPr>
    </w:p>
    <w:p>
      <w:pPr>
        <w:pStyle w:val="Heading3"/>
        <w:spacing w:after="100" w:before="200"/>
      </w:pPr>
      <w:r>
        <w:rPr>
          <w:rFonts w:ascii="Arial" w:cs="Arial" w:eastAsia="Arial" w:hAnsi="Arial"/>
          <w:b/>
          <w:bCs/>
          <w:color w:val="7C2018"/>
          <w:sz w:val="24"/>
          <w:szCs w:val="24"/>
        </w:rPr>
        <w:t xml:space="preserve">Locked case diagnoses (faculty only)</w:t>
      </w:r>
    </w:p>
    <w:p>
      <w:pPr>
        <w:pStyle w:val="ListParagraph"/>
        <w:numPr>
          <w:ilvl w:val="0"/>
          <w:numId w:val="2"/>
        </w:numPr>
        <w:spacing w:after="60"/>
      </w:pPr>
      <w:r>
        <w:rPr>
          <w:rFonts w:ascii="Arial" w:cs="Arial" w:eastAsia="Arial" w:hAnsi="Arial"/>
          <w:color w:val="15262F"/>
          <w:sz w:val="22"/>
          <w:szCs w:val="22"/>
        </w:rPr>
        <w:t xml:space="preserve">Week 1: Toxic Epidermal Necrolysis / Stevens-Johnson (TEN/SJS)</w:t>
      </w:r>
    </w:p>
    <w:p>
      <w:pPr>
        <w:pStyle w:val="ListParagraph"/>
        <w:numPr>
          <w:ilvl w:val="0"/>
          <w:numId w:val="2"/>
        </w:numPr>
        <w:spacing w:after="60"/>
      </w:pPr>
      <w:r>
        <w:rPr>
          <w:rFonts w:ascii="Arial" w:cs="Arial" w:eastAsia="Arial" w:hAnsi="Arial"/>
          <w:color w:val="15262F"/>
          <w:sz w:val="22"/>
          <w:szCs w:val="22"/>
        </w:rPr>
        <w:t xml:space="preserve">Week 2: Osteogenesis Imperfecta (OI)</w:t>
      </w:r>
    </w:p>
    <w:p>
      <w:pPr>
        <w:pStyle w:val="ListParagraph"/>
        <w:numPr>
          <w:ilvl w:val="0"/>
          <w:numId w:val="2"/>
        </w:numPr>
        <w:spacing w:after="60"/>
      </w:pPr>
      <w:r>
        <w:rPr>
          <w:rFonts w:ascii="Arial" w:cs="Arial" w:eastAsia="Arial" w:hAnsi="Arial"/>
          <w:color w:val="15262F"/>
          <w:sz w:val="22"/>
          <w:szCs w:val="22"/>
        </w:rPr>
        <w:t xml:space="preserve">Week 3: Marfan Syndrome</w:t>
      </w:r>
    </w:p>
    <w:p>
      <w:pPr>
        <w:pStyle w:val="ListParagraph"/>
        <w:numPr>
          <w:ilvl w:val="0"/>
          <w:numId w:val="2"/>
        </w:numPr>
        <w:spacing w:after="60"/>
      </w:pPr>
      <w:r>
        <w:rPr>
          <w:rFonts w:ascii="Arial" w:cs="Arial" w:eastAsia="Arial" w:hAnsi="Arial"/>
          <w:color w:val="15262F"/>
          <w:sz w:val="22"/>
          <w:szCs w:val="22"/>
        </w:rPr>
        <w:t xml:space="preserve">Week 4: Tetralogy of Fallot (ToF). Differential includes 7 options: ToF, Tricuspid atresia, TGV, Truncus, TAPVR, PFO, PDA.</w:t>
      </w:r>
    </w:p>
    <w:p>
      <w:pPr>
        <w:pStyle w:val="ListParagraph"/>
        <w:numPr>
          <w:ilvl w:val="0"/>
          <w:numId w:val="2"/>
        </w:numPr>
        <w:spacing w:after="60"/>
      </w:pPr>
      <w:r>
        <w:rPr>
          <w:rFonts w:ascii="Arial" w:cs="Arial" w:eastAsia="Arial" w:hAnsi="Arial"/>
          <w:color w:val="15262F"/>
          <w:sz w:val="22"/>
          <w:szCs w:val="22"/>
        </w:rPr>
        <w:t xml:space="preserve">Week 5: Sickle Cell Disease</w:t>
      </w:r>
    </w:p>
    <w:p>
      <w:pPr>
        <w:pStyle w:val="ListParagraph"/>
        <w:numPr>
          <w:ilvl w:val="0"/>
          <w:numId w:val="2"/>
        </w:numPr>
        <w:spacing w:after="60"/>
      </w:pPr>
      <w:r>
        <w:rPr>
          <w:rFonts w:ascii="Arial" w:cs="Arial" w:eastAsia="Arial" w:hAnsi="Arial"/>
          <w:color w:val="15262F"/>
          <w:sz w:val="22"/>
          <w:szCs w:val="22"/>
        </w:rPr>
        <w:t xml:space="preserve">Week 6: Hirschsprung Disease</w:t>
      </w:r>
    </w:p>
    <w:p>
      <w:pPr>
        <w:pStyle w:val="ListParagraph"/>
        <w:numPr>
          <w:ilvl w:val="0"/>
          <w:numId w:val="2"/>
        </w:numPr>
        <w:spacing w:after="60"/>
      </w:pPr>
      <w:r>
        <w:rPr>
          <w:rFonts w:ascii="Arial" w:cs="Arial" w:eastAsia="Arial" w:hAnsi="Arial"/>
          <w:color w:val="15262F"/>
          <w:sz w:val="22"/>
          <w:szCs w:val="22"/>
        </w:rPr>
        <w:t xml:space="preserve">Week 7: Autosomal Dominant Polycystic Kidney Disease (ADPKD)</w:t>
      </w:r>
    </w:p>
    <w:p>
      <w:pPr>
        <w:pStyle w:val="ListParagraph"/>
        <w:numPr>
          <w:ilvl w:val="0"/>
          <w:numId w:val="2"/>
        </w:numPr>
        <w:spacing w:after="60"/>
      </w:pPr>
      <w:r>
        <w:rPr>
          <w:rFonts w:ascii="Arial" w:cs="Arial" w:eastAsia="Arial" w:hAnsi="Arial"/>
          <w:color w:val="15262F"/>
          <w:sz w:val="22"/>
          <w:szCs w:val="22"/>
        </w:rPr>
        <w:t xml:space="preserve">Week 8: Normal Pressure Hydrocephalus (NPH)</w:t>
      </w:r>
    </w:p>
    <w:p>
      <w:pPr>
        <w:pStyle w:val="Heading3"/>
        <w:spacing w:after="100" w:before="200"/>
      </w:pPr>
      <w:r>
        <w:rPr>
          <w:rFonts w:ascii="Arial" w:cs="Arial" w:eastAsia="Arial" w:hAnsi="Arial"/>
          <w:b/>
          <w:bCs/>
          <w:color w:val="7C2018"/>
          <w:sz w:val="24"/>
          <w:szCs w:val="24"/>
        </w:rPr>
        <w:t xml:space="preserve">Lab exam structure</w:t>
      </w:r>
    </w:p>
    <w:p>
      <w:pPr>
        <w:spacing w:after="100" w:before="0"/>
      </w:pPr>
      <w:r>
        <w:rPr>
          <w:rFonts w:ascii="Arial" w:cs="Arial" w:eastAsia="Arial" w:hAnsi="Arial"/>
          <w:b w:val="false"/>
          <w:bCs w:val="false"/>
          <w:i w:val="false"/>
          <w:iCs w:val="false"/>
          <w:color w:val="15262F"/>
          <w:sz w:val="22"/>
          <w:szCs w:val="22"/>
        </w:rPr>
        <w:t xml:space="preserve">Each Monday lab exam: 50 minutes, 25 stations, 2 questions per station = 50 questions total. 80% covers prior week's content, 20% spiral review of earlier weeks. Held first thing Monday before case intro and lecture. 8 lab exams total: LE1 through LE7 on Mondays, LE8 cumulative Thursday afternoon of Week 8.</w:t>
      </w:r>
    </w:p>
    <w:p>
      <w:pPr>
        <w:pStyle w:val="Heading1"/>
        <w:spacing w:after="200" w:before="360"/>
      </w:pPr>
      <w:r>
        <w:rPr>
          <w:rFonts w:ascii="Arial" w:cs="Arial" w:eastAsia="Arial" w:hAnsi="Arial"/>
          <w:b/>
          <w:bCs/>
          <w:color w:val="1E3D4C"/>
          <w:sz w:val="36"/>
          <w:szCs w:val="36"/>
        </w:rPr>
        <w:t xml:space="preserve">6. Adapting for other courses</w:t>
      </w:r>
    </w:p>
    <w:p>
      <w:pPr>
        <w:pStyle w:val="Heading3"/>
        <w:spacing w:after="100" w:before="200"/>
      </w:pPr>
      <w:r>
        <w:rPr>
          <w:rFonts w:ascii="Arial" w:cs="Arial" w:eastAsia="Arial" w:hAnsi="Arial"/>
          <w:b/>
          <w:bCs/>
          <w:color w:val="7C2018"/>
          <w:sz w:val="24"/>
          <w:szCs w:val="24"/>
        </w:rPr>
        <w:t xml:space="preserve">BIO 431 (Human A&amp;P combined)</w:t>
      </w:r>
    </w:p>
    <w:p>
      <w:pPr>
        <w:spacing w:after="100" w:before="0"/>
      </w:pPr>
      <w:r>
        <w:rPr>
          <w:rFonts w:ascii="Arial" w:cs="Arial" w:eastAsia="Arial" w:hAnsi="Arial"/>
          <w:b w:val="false"/>
          <w:bCs w:val="false"/>
          <w:i w:val="false"/>
          <w:iCs w:val="false"/>
          <w:color w:val="15262F"/>
          <w:sz w:val="22"/>
          <w:szCs w:val="22"/>
        </w:rPr>
        <w:t xml:space="preserve">Same workbook structure, same TBL pattern, but physiology mechanisms are in scope. Foundation modules add physiology questions alongside anatomy: action potentials with neurons, contraction mechanism with muscles, hormone cascades with endocrine, ventilation mechanics with respiratory, etc. Cases can be more physiologically nuanced (e.g., Addison's disease showing both anatomy and hormone cascade). Schedule is typically 16 weeks, allowing one body system per 2 weeks.</w:t>
      </w:r>
    </w:p>
    <w:p>
      <w:pPr>
        <w:pStyle w:val="Heading3"/>
        <w:spacing w:after="100" w:before="200"/>
      </w:pPr>
      <w:r>
        <w:rPr>
          <w:rFonts w:ascii="Arial" w:cs="Arial" w:eastAsia="Arial" w:hAnsi="Arial"/>
          <w:b/>
          <w:bCs/>
          <w:color w:val="7C2018"/>
          <w:sz w:val="24"/>
          <w:szCs w:val="24"/>
        </w:rPr>
        <w:t xml:space="preserve">BIO 304 (Online A&amp;P, no TBL)</w:t>
      </w:r>
    </w:p>
    <w:p>
      <w:pPr>
        <w:spacing w:after="100" w:before="0"/>
      </w:pPr>
      <w:r>
        <w:rPr>
          <w:rFonts w:ascii="Arial" w:cs="Arial" w:eastAsia="Arial" w:hAnsi="Arial"/>
          <w:b w:val="false"/>
          <w:bCs w:val="false"/>
          <w:i w:val="false"/>
          <w:iCs w:val="false"/>
          <w:color w:val="15262F"/>
          <w:sz w:val="22"/>
          <w:szCs w:val="22"/>
        </w:rPr>
        <w:t xml:space="preserve">Strip all TBL references. No Thursday in-person, no team activities, no master diagram. Section D becomes solo synthesis. Section E (Thursday TBL checklist) is removed entirely. Sections C (clue tracker) is reframed as 'case progression notes' that students fill in as they read case updates released asynchronously. Lab exam structure may differ (online practical or photo-based).</w:t>
      </w:r>
    </w:p>
    <w:p>
      <w:pPr>
        <w:pStyle w:val="Heading3"/>
        <w:spacing w:after="100" w:before="200"/>
      </w:pPr>
      <w:r>
        <w:rPr>
          <w:rFonts w:ascii="Arial" w:cs="Arial" w:eastAsia="Arial" w:hAnsi="Arial"/>
          <w:b/>
          <w:bCs/>
          <w:color w:val="7C2018"/>
          <w:sz w:val="24"/>
          <w:szCs w:val="24"/>
        </w:rPr>
        <w:t xml:space="preserve">Other anatomy or A&amp;P courses</w:t>
      </w:r>
    </w:p>
    <w:p>
      <w:pPr>
        <w:spacing w:after="100" w:before="0"/>
      </w:pPr>
      <w:r>
        <w:rPr>
          <w:rFonts w:ascii="Arial" w:cs="Arial" w:eastAsia="Arial" w:hAnsi="Arial"/>
          <w:b w:val="false"/>
          <w:bCs w:val="false"/>
          <w:i w:val="false"/>
          <w:iCs w:val="false"/>
          <w:color w:val="15262F"/>
          <w:sz w:val="22"/>
          <w:szCs w:val="22"/>
        </w:rPr>
        <w:t xml:space="preserve">The system's core is: question-scaffolded foundation research + differential research + live case + nightly synthesis with lab prep + weekend exam prep. Any course built around weekly anatomy modules with case-based learning can use this template. The specific module content per week comes from the target course's curriculum.</w:t>
      </w:r>
    </w:p>
    <w:p>
      <w:pPr>
        <w:pStyle w:val="Heading1"/>
        <w:spacing w:after="200" w:before="360"/>
      </w:pPr>
      <w:r>
        <w:rPr>
          <w:rFonts w:ascii="Arial" w:cs="Arial" w:eastAsia="Arial" w:hAnsi="Arial"/>
          <w:b/>
          <w:bCs/>
          <w:color w:val="1E3D4C"/>
          <w:sz w:val="36"/>
          <w:szCs w:val="36"/>
        </w:rPr>
        <w:t xml:space="preserve">7. How to add a new week</w:t>
      </w:r>
    </w:p>
    <w:p>
      <w:pPr>
        <w:pStyle w:val="ListParagraph"/>
        <w:numPr>
          <w:ilvl w:val="0"/>
          <w:numId w:val="2"/>
        </w:numPr>
        <w:spacing w:after="60"/>
      </w:pPr>
      <w:r>
        <w:rPr>
          <w:rFonts w:ascii="Arial" w:cs="Arial" w:eastAsia="Arial" w:hAnsi="Arial"/>
          <w:color w:val="15262F"/>
          <w:sz w:val="22"/>
          <w:szCs w:val="22"/>
        </w:rPr>
        <w:t xml:space="preserve">Add the week's metadata to data_p1.py or data_p2.py: number, dates, module_title, module_label, demographic_blurb, days array, weekend block, lab exam metadata, case object with locked diagnosis and differential.</w:t>
      </w:r>
    </w:p>
    <w:p>
      <w:pPr>
        <w:pStyle w:val="ListParagraph"/>
        <w:numPr>
          <w:ilvl w:val="0"/>
          <w:numId w:val="2"/>
        </w:numPr>
        <w:spacing w:after="60"/>
      </w:pPr>
      <w:r>
        <w:rPr>
          <w:rFonts w:ascii="Arial" w:cs="Arial" w:eastAsia="Arial" w:hAnsi="Arial"/>
          <w:color w:val="15262F"/>
          <w:sz w:val="22"/>
          <w:szCs w:val="22"/>
        </w:rPr>
        <w:t xml:space="preserve">Create week{N}_modules.py with the foundation research modules. Aim for 12 to 22 modules covering all the week's curriculum learning objectives.</w:t>
      </w:r>
    </w:p>
    <w:p>
      <w:pPr>
        <w:pStyle w:val="ListParagraph"/>
        <w:numPr>
          <w:ilvl w:val="0"/>
          <w:numId w:val="2"/>
        </w:numPr>
        <w:spacing w:after="60"/>
      </w:pPr>
      <w:r>
        <w:rPr>
          <w:rFonts w:ascii="Arial" w:cs="Arial" w:eastAsia="Arial" w:hAnsi="Arial"/>
          <w:color w:val="15262F"/>
          <w:sz w:val="22"/>
          <w:szCs w:val="22"/>
        </w:rPr>
        <w:t xml:space="preserve">In generate_workbooks.js, register the new week's modules file and its day-banner boundaries (which module numbers begin Sunday, Monday, Tuesday, Wednesday work).</w:t>
      </w:r>
    </w:p>
    <w:p>
      <w:pPr>
        <w:pStyle w:val="ListParagraph"/>
        <w:numPr>
          <w:ilvl w:val="0"/>
          <w:numId w:val="2"/>
        </w:numPr>
        <w:spacing w:after="60"/>
      </w:pPr>
      <w:r>
        <w:rPr>
          <w:rFonts w:ascii="Arial" w:cs="Arial" w:eastAsia="Arial" w:hAnsi="Arial"/>
          <w:color w:val="15262F"/>
          <w:sz w:val="22"/>
          <w:szCs w:val="22"/>
        </w:rPr>
        <w:t xml:space="preserve">Run export_json.py and node generate_workbooks.js to build.</w:t>
      </w:r>
    </w:p>
    <w:p>
      <w:pPr>
        <w:pStyle w:val="ListParagraph"/>
        <w:numPr>
          <w:ilvl w:val="0"/>
          <w:numId w:val="2"/>
        </w:numPr>
        <w:spacing w:after="60"/>
      </w:pPr>
      <w:r>
        <w:rPr>
          <w:rFonts w:ascii="Arial" w:cs="Arial" w:eastAsia="Arial" w:hAnsi="Arial"/>
          <w:color w:val="15262F"/>
          <w:sz w:val="22"/>
          <w:szCs w:val="22"/>
        </w:rPr>
        <w:t xml:space="preserve">Validate the output with the docx validator skill.</w:t>
      </w:r>
    </w:p>
    <w:p>
      <w:pPr>
        <w:pStyle w:val="ListParagraph"/>
        <w:numPr>
          <w:ilvl w:val="0"/>
          <w:numId w:val="2"/>
        </w:numPr>
        <w:spacing w:after="60"/>
      </w:pPr>
      <w:r>
        <w:rPr>
          <w:rFonts w:ascii="Arial" w:cs="Arial" w:eastAsia="Arial" w:hAnsi="Arial"/>
          <w:color w:val="15262F"/>
          <w:sz w:val="22"/>
          <w:szCs w:val="22"/>
        </w:rPr>
        <w:t xml:space="preserve">Spot-check the rendered PDF for visual issues, leak audits (no case clues, no discriminators in workbook), and spacing.</w:t>
      </w:r>
    </w:p>
    <w:p>
      <w:pPr>
        <w:pStyle w:val="Heading1"/>
        <w:spacing w:after="200" w:before="360"/>
      </w:pPr>
      <w:r>
        <w:rPr>
          <w:rFonts w:ascii="Arial" w:cs="Arial" w:eastAsia="Arial" w:hAnsi="Arial"/>
          <w:b/>
          <w:bCs/>
          <w:color w:val="1E3D4C"/>
          <w:sz w:val="36"/>
          <w:szCs w:val="36"/>
        </w:rPr>
        <w:t xml:space="preserve">8. Leak audits</w:t>
      </w:r>
    </w:p>
    <w:p>
      <w:pPr>
        <w:spacing w:after="100" w:before="0"/>
      </w:pPr>
      <w:r>
        <w:rPr>
          <w:rFonts w:ascii="Arial" w:cs="Arial" w:eastAsia="Arial" w:hAnsi="Arial"/>
          <w:b w:val="false"/>
          <w:bCs w:val="false"/>
          <w:i w:val="false"/>
          <w:iCs w:val="false"/>
          <w:color w:val="15262F"/>
          <w:sz w:val="22"/>
          <w:szCs w:val="22"/>
        </w:rPr>
        <w:t xml:space="preserve">Before shipping any workbook, run a leak audit to verify no case clues or discriminators leaked in. Use this Python pattern:</w:t>
      </w:r>
    </w:p>
    <w:p>
      <w:pPr>
        <w:shd w:fill="F5F2EC" w:val="clear"/>
        <w:spacing w:after="80" w:before="60"/>
        <w:ind w:left="240"/>
      </w:pPr>
      <w:r>
        <w:rPr>
          <w:rFonts w:ascii="Courier New" w:cs="Courier New" w:eastAsia="Courier New" w:hAnsi="Courier New"/>
          <w:color w:val="7C2018"/>
          <w:sz w:val="20"/>
          <w:szCs w:val="20"/>
        </w:rPr>
        <w:t xml:space="preserve">import json</w:t>
      </w:r>
    </w:p>
    <w:p>
      <w:pPr>
        <w:shd w:fill="F5F2EC" w:val="clear"/>
        <w:spacing w:after="80" w:before="60"/>
        <w:ind w:left="240"/>
      </w:pPr>
      <w:r>
        <w:rPr>
          <w:rFonts w:ascii="Courier New" w:cs="Courier New" w:eastAsia="Courier New" w:hAnsi="Courier New"/>
          <w:color w:val="7C2018"/>
          <w:sz w:val="20"/>
          <w:szCs w:val="20"/>
        </w:rPr>
        <w:t xml:space="preserve">from docx import Document</w:t>
      </w:r>
    </w:p>
    <w:p>
      <w:pPr>
        <w:shd w:fill="F5F2EC" w:val="clear"/>
        <w:spacing w:after="80" w:before="60"/>
        <w:ind w:left="240"/>
      </w:pPr>
      <w:r>
        <w:rPr>
          <w:rFonts w:ascii="Courier New" w:cs="Courier New" w:eastAsia="Courier New" w:hAnsi="Courier New"/>
          <w:color w:val="7C2018"/>
          <w:sz w:val="20"/>
          <w:szCs w:val="20"/>
        </w:rPr>
        <w:t xml:space="preserve"/>
      </w:r>
    </w:p>
    <w:p>
      <w:pPr>
        <w:shd w:fill="F5F2EC" w:val="clear"/>
        <w:spacing w:after="80" w:before="60"/>
        <w:ind w:left="240"/>
      </w:pPr>
      <w:r>
        <w:rPr>
          <w:rFonts w:ascii="Courier New" w:cs="Courier New" w:eastAsia="Courier New" w:hAnsi="Courier New"/>
          <w:color w:val="7C2018"/>
          <w:sz w:val="20"/>
          <w:szCs w:val="20"/>
        </w:rPr>
        <w:t xml:space="preserve">doc = Document('week-N-study-guide.docx')</w:t>
      </w:r>
    </w:p>
    <w:p>
      <w:pPr>
        <w:shd w:fill="F5F2EC" w:val="clear"/>
        <w:spacing w:after="80" w:before="60"/>
        <w:ind w:left="240"/>
      </w:pPr>
      <w:r>
        <w:rPr>
          <w:rFonts w:ascii="Courier New" w:cs="Courier New" w:eastAsia="Courier New" w:hAnsi="Courier New"/>
          <w:color w:val="7C2018"/>
          <w:sz w:val="20"/>
          <w:szCs w:val="20"/>
        </w:rPr>
        <w:t xml:space="preserve">text = '\n'.join(p.text for p in doc.paragraphs)</w:t>
      </w:r>
    </w:p>
    <w:p>
      <w:pPr>
        <w:shd w:fill="F5F2EC" w:val="clear"/>
        <w:spacing w:after="80" w:before="60"/>
        <w:ind w:left="240"/>
      </w:pPr>
      <w:r>
        <w:rPr>
          <w:rFonts w:ascii="Courier New" w:cs="Courier New" w:eastAsia="Courier New" w:hAnsi="Courier New"/>
          <w:color w:val="7C2018"/>
          <w:sz w:val="20"/>
          <w:szCs w:val="20"/>
        </w:rPr>
        <w:t xml:space="preserve"/>
      </w:r>
    </w:p>
    <w:p>
      <w:pPr>
        <w:shd w:fill="F5F2EC" w:val="clear"/>
        <w:spacing w:after="80" w:before="60"/>
        <w:ind w:left="240"/>
      </w:pPr>
      <w:r>
        <w:rPr>
          <w:rFonts w:ascii="Courier New" w:cs="Courier New" w:eastAsia="Courier New" w:hAnsi="Courier New"/>
          <w:color w:val="7C2018"/>
          <w:sz w:val="20"/>
          <w:szCs w:val="20"/>
        </w:rPr>
        <w:t xml:space="preserve"># Load week data</w:t>
      </w:r>
    </w:p>
    <w:p>
      <w:pPr>
        <w:shd w:fill="F5F2EC" w:val="clear"/>
        <w:spacing w:after="80" w:before="60"/>
        <w:ind w:left="240"/>
      </w:pPr>
      <w:r>
        <w:rPr>
          <w:rFonts w:ascii="Courier New" w:cs="Courier New" w:eastAsia="Courier New" w:hAnsi="Courier New"/>
          <w:color w:val="7C2018"/>
          <w:sz w:val="20"/>
          <w:szCs w:val="20"/>
        </w:rPr>
        <w:t xml:space="preserve">with open('weeks.json') as fh: weeks = json.load(fh)</w:t>
      </w:r>
    </w:p>
    <w:p>
      <w:pPr>
        <w:shd w:fill="F5F2EC" w:val="clear"/>
        <w:spacing w:after="80" w:before="60"/>
        <w:ind w:left="240"/>
      </w:pPr>
      <w:r>
        <w:rPr>
          <w:rFonts w:ascii="Courier New" w:cs="Courier New" w:eastAsia="Courier New" w:hAnsi="Courier New"/>
          <w:color w:val="7C2018"/>
          <w:sz w:val="20"/>
          <w:szCs w:val="20"/>
        </w:rPr>
        <w:t xml:space="preserve">week = weeks[N-1]</w:t>
      </w:r>
    </w:p>
    <w:p>
      <w:pPr>
        <w:shd w:fill="F5F2EC" w:val="clear"/>
        <w:spacing w:after="80" w:before="60"/>
        <w:ind w:left="240"/>
      </w:pPr>
      <w:r>
        <w:rPr>
          <w:rFonts w:ascii="Courier New" w:cs="Courier New" w:eastAsia="Courier New" w:hAnsi="Courier New"/>
          <w:color w:val="7C2018"/>
          <w:sz w:val="20"/>
          <w:szCs w:val="20"/>
        </w:rPr>
        <w:t xml:space="preserve"/>
      </w:r>
    </w:p>
    <w:p>
      <w:pPr>
        <w:shd w:fill="F5F2EC" w:val="clear"/>
        <w:spacing w:after="80" w:before="60"/>
        <w:ind w:left="240"/>
      </w:pPr>
      <w:r>
        <w:rPr>
          <w:rFonts w:ascii="Courier New" w:cs="Courier New" w:eastAsia="Courier New" w:hAnsi="Courier New"/>
          <w:color w:val="7C2018"/>
          <w:sz w:val="20"/>
          <w:szCs w:val="20"/>
        </w:rPr>
        <w:t xml:space="preserve"># Check clue leaks</w:t>
      </w:r>
    </w:p>
    <w:p>
      <w:pPr>
        <w:shd w:fill="F5F2EC" w:val="clear"/>
        <w:spacing w:after="80" w:before="60"/>
        <w:ind w:left="240"/>
      </w:pPr>
      <w:r>
        <w:rPr>
          <w:rFonts w:ascii="Courier New" w:cs="Courier New" w:eastAsia="Courier New" w:hAnsi="Courier New"/>
          <w:color w:val="7C2018"/>
          <w:sz w:val="20"/>
          <w:szCs w:val="20"/>
        </w:rPr>
        <w:t xml:space="preserve">clue_chunks = [</w:t>
      </w:r>
    </w:p>
    <w:p>
      <w:pPr>
        <w:shd w:fill="F5F2EC" w:val="clear"/>
        <w:spacing w:after="80" w:before="60"/>
        <w:ind w:left="240"/>
      </w:pPr>
      <w:r>
        <w:rPr>
          <w:rFonts w:ascii="Courier New" w:cs="Courier New" w:eastAsia="Courier New" w:hAnsi="Courier New"/>
          <w:color w:val="7C2018"/>
          <w:sz w:val="20"/>
          <w:szCs w:val="20"/>
        </w:rPr>
        <w:t xml:space="preserve">  week['case']['clue_mon'][:50],</w:t>
      </w:r>
    </w:p>
    <w:p>
      <w:pPr>
        <w:shd w:fill="F5F2EC" w:val="clear"/>
        <w:spacing w:after="80" w:before="60"/>
        <w:ind w:left="240"/>
      </w:pPr>
      <w:r>
        <w:rPr>
          <w:rFonts w:ascii="Courier New" w:cs="Courier New" w:eastAsia="Courier New" w:hAnsi="Courier New"/>
          <w:color w:val="7C2018"/>
          <w:sz w:val="20"/>
          <w:szCs w:val="20"/>
        </w:rPr>
        <w:t xml:space="preserve">  week['case']['clue_tue'][:50],</w:t>
      </w:r>
    </w:p>
    <w:p>
      <w:pPr>
        <w:shd w:fill="F5F2EC" w:val="clear"/>
        <w:spacing w:after="80" w:before="60"/>
        <w:ind w:left="240"/>
      </w:pPr>
      <w:r>
        <w:rPr>
          <w:rFonts w:ascii="Courier New" w:cs="Courier New" w:eastAsia="Courier New" w:hAnsi="Courier New"/>
          <w:color w:val="7C2018"/>
          <w:sz w:val="20"/>
          <w:szCs w:val="20"/>
        </w:rPr>
        <w:t xml:space="preserve">  week['case']['clue_wed'][:50],</w:t>
      </w:r>
    </w:p>
    <w:p>
      <w:pPr>
        <w:shd w:fill="F5F2EC" w:val="clear"/>
        <w:spacing w:after="80" w:before="60"/>
        <w:ind w:left="240"/>
      </w:pPr>
      <w:r>
        <w:rPr>
          <w:rFonts w:ascii="Courier New" w:cs="Courier New" w:eastAsia="Courier New" w:hAnsi="Courier New"/>
          <w:color w:val="7C2018"/>
          <w:sz w:val="20"/>
          <w:szCs w:val="20"/>
        </w:rPr>
        <w:t xml:space="preserve">  week['case']['thu_final'][:50],</w:t>
      </w:r>
    </w:p>
    <w:p>
      <w:pPr>
        <w:shd w:fill="F5F2EC" w:val="clear"/>
        <w:spacing w:after="80" w:before="60"/>
        <w:ind w:left="240"/>
      </w:pPr>
      <w:r>
        <w:rPr>
          <w:rFonts w:ascii="Courier New" w:cs="Courier New" w:eastAsia="Courier New" w:hAnsi="Courier New"/>
          <w:color w:val="7C2018"/>
          <w:sz w:val="20"/>
          <w:szCs w:val="20"/>
        </w:rPr>
        <w:t xml:space="preserve">]</w:t>
      </w:r>
    </w:p>
    <w:p>
      <w:pPr>
        <w:shd w:fill="F5F2EC" w:val="clear"/>
        <w:spacing w:after="80" w:before="60"/>
        <w:ind w:left="240"/>
      </w:pPr>
      <w:r>
        <w:rPr>
          <w:rFonts w:ascii="Courier New" w:cs="Courier New" w:eastAsia="Courier New" w:hAnsi="Courier New"/>
          <w:color w:val="7C2018"/>
          <w:sz w:val="20"/>
          <w:szCs w:val="20"/>
        </w:rPr>
        <w:t xml:space="preserve">clue_leaks = sum(1 for c in clue_chunks if c.lower() in text.lower())</w:t>
      </w:r>
    </w:p>
    <w:p>
      <w:pPr>
        <w:shd w:fill="F5F2EC" w:val="clear"/>
        <w:spacing w:after="80" w:before="60"/>
        <w:ind w:left="240"/>
      </w:pPr>
      <w:r>
        <w:rPr>
          <w:rFonts w:ascii="Courier New" w:cs="Courier New" w:eastAsia="Courier New" w:hAnsi="Courier New"/>
          <w:color w:val="7C2018"/>
          <w:sz w:val="20"/>
          <w:szCs w:val="20"/>
        </w:rPr>
        <w:t xml:space="preserve"/>
      </w:r>
    </w:p>
    <w:p>
      <w:pPr>
        <w:shd w:fill="F5F2EC" w:val="clear"/>
        <w:spacing w:after="80" w:before="60"/>
        <w:ind w:left="240"/>
      </w:pPr>
      <w:r>
        <w:rPr>
          <w:rFonts w:ascii="Courier New" w:cs="Courier New" w:eastAsia="Courier New" w:hAnsi="Courier New"/>
          <w:color w:val="7C2018"/>
          <w:sz w:val="20"/>
          <w:szCs w:val="20"/>
        </w:rPr>
        <w:t xml:space="preserve"># Check discriminator leaks</w:t>
      </w:r>
    </w:p>
    <w:p>
      <w:pPr>
        <w:shd w:fill="F5F2EC" w:val="clear"/>
        <w:spacing w:after="80" w:before="60"/>
        <w:ind w:left="240"/>
      </w:pPr>
      <w:r>
        <w:rPr>
          <w:rFonts w:ascii="Courier New" w:cs="Courier New" w:eastAsia="Courier New" w:hAnsi="Courier New"/>
          <w:color w:val="7C2018"/>
          <w:sz w:val="20"/>
          <w:szCs w:val="20"/>
        </w:rPr>
        <w:t xml:space="preserve">discriminators = [opt['discriminator'][:35] for opt in week['case']['differential']]</w:t>
      </w:r>
    </w:p>
    <w:p>
      <w:pPr>
        <w:shd w:fill="F5F2EC" w:val="clear"/>
        <w:spacing w:after="80" w:before="60"/>
        <w:ind w:left="240"/>
      </w:pPr>
      <w:r>
        <w:rPr>
          <w:rFonts w:ascii="Courier New" w:cs="Courier New" w:eastAsia="Courier New" w:hAnsi="Courier New"/>
          <w:color w:val="7C2018"/>
          <w:sz w:val="20"/>
          <w:szCs w:val="20"/>
        </w:rPr>
        <w:t xml:space="preserve">disc_leaks = sum(1 for d in discriminators if d.lower() in text.lower())</w:t>
      </w:r>
    </w:p>
    <w:p>
      <w:pPr>
        <w:shd w:fill="F5F2EC" w:val="clear"/>
        <w:spacing w:after="80" w:before="60"/>
        <w:ind w:left="240"/>
      </w:pPr>
      <w:r>
        <w:rPr>
          <w:rFonts w:ascii="Courier New" w:cs="Courier New" w:eastAsia="Courier New" w:hAnsi="Courier New"/>
          <w:color w:val="7C2018"/>
          <w:sz w:val="20"/>
          <w:szCs w:val="20"/>
        </w:rPr>
        <w:t xml:space="preserve"/>
      </w:r>
    </w:p>
    <w:p>
      <w:pPr>
        <w:shd w:fill="F5F2EC" w:val="clear"/>
        <w:spacing w:after="80" w:before="60"/>
        <w:ind w:left="240"/>
      </w:pPr>
      <w:r>
        <w:rPr>
          <w:rFonts w:ascii="Courier New" w:cs="Courier New" w:eastAsia="Courier New" w:hAnsi="Courier New"/>
          <w:color w:val="7C2018"/>
          <w:sz w:val="20"/>
          <w:szCs w:val="20"/>
        </w:rPr>
        <w:t xml:space="preserve">print(f'Clue leaks: {clue_leaks}/4. Discriminator leaks: {disc_leaks}/N.')</w:t>
      </w:r>
    </w:p>
    <w:p>
      <w:pPr>
        <w:shd w:fill="F5F2EC" w:val="clear"/>
        <w:spacing w:after="80" w:before="60"/>
        <w:ind w:left="240"/>
      </w:pPr>
      <w:r>
        <w:rPr>
          <w:rFonts w:ascii="Courier New" w:cs="Courier New" w:eastAsia="Courier New" w:hAnsi="Courier New"/>
          <w:color w:val="7C2018"/>
          <w:sz w:val="20"/>
          <w:szCs w:val="20"/>
        </w:rPr>
        <w:t xml:space="preserve"># Both should be 0 for a clean workbook.</w:t>
      </w:r>
    </w:p>
    <w:p>
      <w:pPr>
        <w:pStyle w:val="Heading1"/>
        <w:spacing w:after="200" w:before="360"/>
      </w:pPr>
      <w:r>
        <w:rPr>
          <w:rFonts w:ascii="Arial" w:cs="Arial" w:eastAsia="Arial" w:hAnsi="Arial"/>
          <w:b/>
          <w:bCs/>
          <w:color w:val="1E3D4C"/>
          <w:sz w:val="36"/>
          <w:szCs w:val="36"/>
        </w:rPr>
        <w:t xml:space="preserve">9. Design system</w:t>
      </w:r>
    </w:p>
    <w:p>
      <w:pPr>
        <w:pStyle w:val="Heading3"/>
        <w:spacing w:after="100" w:before="200"/>
      </w:pPr>
      <w:r>
        <w:rPr>
          <w:rFonts w:ascii="Arial" w:cs="Arial" w:eastAsia="Arial" w:hAnsi="Arial"/>
          <w:b/>
          <w:bCs/>
          <w:color w:val="7C2018"/>
          <w:sz w:val="24"/>
          <w:szCs w:val="24"/>
        </w:rPr>
        <w:t xml:space="preserve">Colors (hex)</w:t>
      </w:r>
    </w:p>
    <w:p>
      <w:pPr>
        <w:pStyle w:val="ListParagraph"/>
        <w:numPr>
          <w:ilvl w:val="0"/>
          <w:numId w:val="2"/>
        </w:numPr>
        <w:spacing w:after="60"/>
      </w:pPr>
      <w:r>
        <w:rPr>
          <w:rFonts w:ascii="Arial" w:cs="Arial" w:eastAsia="Arial" w:hAnsi="Arial"/>
          <w:color w:val="15262F"/>
          <w:sz w:val="22"/>
          <w:szCs w:val="22"/>
        </w:rPr>
        <w:t xml:space="preserve">Navy: #1E3D4C - primary headings, backgrounds for table headers</w:t>
      </w:r>
    </w:p>
    <w:p>
      <w:pPr>
        <w:pStyle w:val="ListParagraph"/>
        <w:numPr>
          <w:ilvl w:val="0"/>
          <w:numId w:val="2"/>
        </w:numPr>
        <w:spacing w:after="60"/>
      </w:pPr>
      <w:r>
        <w:rPr>
          <w:rFonts w:ascii="Arial" w:cs="Arial" w:eastAsia="Arial" w:hAnsi="Arial"/>
          <w:color w:val="15262F"/>
          <w:sz w:val="22"/>
          <w:szCs w:val="22"/>
        </w:rPr>
        <w:t xml:space="preserve">Terra: #7C2018 - secondary accents, h3 headings, important emphasis</w:t>
      </w:r>
    </w:p>
    <w:p>
      <w:pPr>
        <w:pStyle w:val="ListParagraph"/>
        <w:numPr>
          <w:ilvl w:val="0"/>
          <w:numId w:val="2"/>
        </w:numPr>
        <w:spacing w:after="60"/>
      </w:pPr>
      <w:r>
        <w:rPr>
          <w:rFonts w:ascii="Arial" w:cs="Arial" w:eastAsia="Arial" w:hAnsi="Arial"/>
          <w:color w:val="15262F"/>
          <w:sz w:val="22"/>
          <w:szCs w:val="22"/>
        </w:rPr>
        <w:t xml:space="preserve">Gold: #C9A961 - tertiary accents, day banners, decorative borders</w:t>
      </w:r>
    </w:p>
    <w:p>
      <w:pPr>
        <w:pStyle w:val="ListParagraph"/>
        <w:numPr>
          <w:ilvl w:val="0"/>
          <w:numId w:val="2"/>
        </w:numPr>
        <w:spacing w:after="60"/>
      </w:pPr>
      <w:r>
        <w:rPr>
          <w:rFonts w:ascii="Arial" w:cs="Arial" w:eastAsia="Arial" w:hAnsi="Arial"/>
          <w:color w:val="15262F"/>
          <w:sz w:val="22"/>
          <w:szCs w:val="22"/>
        </w:rPr>
        <w:t xml:space="preserve">Ink: #15262F - body text</w:t>
      </w:r>
    </w:p>
    <w:p>
      <w:pPr>
        <w:pStyle w:val="ListParagraph"/>
        <w:numPr>
          <w:ilvl w:val="0"/>
          <w:numId w:val="2"/>
        </w:numPr>
        <w:spacing w:after="60"/>
      </w:pPr>
      <w:r>
        <w:rPr>
          <w:rFonts w:ascii="Arial" w:cs="Arial" w:eastAsia="Arial" w:hAnsi="Arial"/>
          <w:color w:val="15262F"/>
          <w:sz w:val="22"/>
          <w:szCs w:val="22"/>
        </w:rPr>
        <w:t xml:space="preserve">Ink soft: #3D4F5A - muted text, italic explanations</w:t>
      </w:r>
    </w:p>
    <w:p>
      <w:pPr>
        <w:pStyle w:val="ListParagraph"/>
        <w:numPr>
          <w:ilvl w:val="0"/>
          <w:numId w:val="2"/>
        </w:numPr>
        <w:spacing w:after="60"/>
      </w:pPr>
      <w:r>
        <w:rPr>
          <w:rFonts w:ascii="Arial" w:cs="Arial" w:eastAsia="Arial" w:hAnsi="Arial"/>
          <w:color w:val="15262F"/>
          <w:sz w:val="22"/>
          <w:szCs w:val="22"/>
        </w:rPr>
        <w:t xml:space="preserve">Divider: #BFC8CD - table borders, subtle separators</w:t>
      </w:r>
    </w:p>
    <w:p>
      <w:pPr>
        <w:pStyle w:val="ListParagraph"/>
        <w:numPr>
          <w:ilvl w:val="0"/>
          <w:numId w:val="2"/>
        </w:numPr>
        <w:spacing w:after="60"/>
      </w:pPr>
      <w:r>
        <w:rPr>
          <w:rFonts w:ascii="Arial" w:cs="Arial" w:eastAsia="Arial" w:hAnsi="Arial"/>
          <w:color w:val="15262F"/>
          <w:sz w:val="22"/>
          <w:szCs w:val="22"/>
        </w:rPr>
        <w:t xml:space="preserve">Cream: #FAF7F2 - day banner background</w:t>
      </w:r>
    </w:p>
    <w:p>
      <w:pPr>
        <w:pStyle w:val="ListParagraph"/>
        <w:numPr>
          <w:ilvl w:val="0"/>
          <w:numId w:val="2"/>
        </w:numPr>
        <w:spacing w:after="60"/>
      </w:pPr>
      <w:r>
        <w:rPr>
          <w:rFonts w:ascii="Arial" w:cs="Arial" w:eastAsia="Arial" w:hAnsi="Arial"/>
          <w:color w:val="15262F"/>
          <w:sz w:val="22"/>
          <w:szCs w:val="22"/>
        </w:rPr>
        <w:t xml:space="preserve">Cream warm: #F5F2EC - alternate row shading, code blocks</w:t>
      </w:r>
    </w:p>
    <w:p>
      <w:pPr>
        <w:spacing w:after="120"/>
      </w:pPr>
    </w:p>
    <w:p>
      <w:pPr>
        <w:pStyle w:val="Heading3"/>
        <w:spacing w:after="100" w:before="200"/>
      </w:pPr>
      <w:r>
        <w:rPr>
          <w:rFonts w:ascii="Arial" w:cs="Arial" w:eastAsia="Arial" w:hAnsi="Arial"/>
          <w:b/>
          <w:bCs/>
          <w:color w:val="7C2018"/>
          <w:sz w:val="24"/>
          <w:szCs w:val="24"/>
        </w:rPr>
        <w:t xml:space="preserve">Typography</w:t>
      </w:r>
    </w:p>
    <w:p>
      <w:pPr>
        <w:pStyle w:val="ListParagraph"/>
        <w:numPr>
          <w:ilvl w:val="0"/>
          <w:numId w:val="2"/>
        </w:numPr>
        <w:spacing w:after="60"/>
      </w:pPr>
      <w:r>
        <w:rPr>
          <w:rFonts w:ascii="Arial" w:cs="Arial" w:eastAsia="Arial" w:hAnsi="Arial"/>
          <w:color w:val="15262F"/>
          <w:sz w:val="22"/>
          <w:szCs w:val="22"/>
        </w:rPr>
        <w:t xml:space="preserve">Font: Arial throughout (works in any Word installation, no font import needed)</w:t>
      </w:r>
    </w:p>
    <w:p>
      <w:pPr>
        <w:pStyle w:val="ListParagraph"/>
        <w:numPr>
          <w:ilvl w:val="0"/>
          <w:numId w:val="2"/>
        </w:numPr>
        <w:spacing w:after="60"/>
      </w:pPr>
      <w:r>
        <w:rPr>
          <w:rFonts w:ascii="Arial" w:cs="Arial" w:eastAsia="Arial" w:hAnsi="Arial"/>
          <w:color w:val="15262F"/>
          <w:sz w:val="22"/>
          <w:szCs w:val="22"/>
        </w:rPr>
        <w:t xml:space="preserve">Body text: 22 half-points (11pt)</w:t>
      </w:r>
    </w:p>
    <w:p>
      <w:pPr>
        <w:pStyle w:val="ListParagraph"/>
        <w:numPr>
          <w:ilvl w:val="0"/>
          <w:numId w:val="2"/>
        </w:numPr>
        <w:spacing w:after="60"/>
      </w:pPr>
      <w:r>
        <w:rPr>
          <w:rFonts w:ascii="Arial" w:cs="Arial" w:eastAsia="Arial" w:hAnsi="Arial"/>
          <w:color w:val="15262F"/>
          <w:sz w:val="22"/>
          <w:szCs w:val="22"/>
        </w:rPr>
        <w:t xml:space="preserve">h2 headings: 28 half-points (14pt) bold navy with gold bottom border</w:t>
      </w:r>
    </w:p>
    <w:p>
      <w:pPr>
        <w:pStyle w:val="ListParagraph"/>
        <w:numPr>
          <w:ilvl w:val="0"/>
          <w:numId w:val="2"/>
        </w:numPr>
        <w:spacing w:after="60"/>
      </w:pPr>
      <w:r>
        <w:rPr>
          <w:rFonts w:ascii="Arial" w:cs="Arial" w:eastAsia="Arial" w:hAnsi="Arial"/>
          <w:color w:val="15262F"/>
          <w:sz w:val="22"/>
          <w:szCs w:val="22"/>
        </w:rPr>
        <w:t xml:space="preserve">h3 headings: 24 half-points (12pt) bold terra</w:t>
      </w:r>
    </w:p>
    <w:p>
      <w:pPr>
        <w:pStyle w:val="ListParagraph"/>
        <w:numPr>
          <w:ilvl w:val="0"/>
          <w:numId w:val="2"/>
        </w:numPr>
        <w:spacing w:after="60"/>
      </w:pPr>
      <w:r>
        <w:rPr>
          <w:rFonts w:ascii="Arial" w:cs="Arial" w:eastAsia="Arial" w:hAnsi="Arial"/>
          <w:color w:val="15262F"/>
          <w:sz w:val="22"/>
          <w:szCs w:val="22"/>
        </w:rPr>
        <w:t xml:space="preserve">h4 headings: 22 half-points (11pt) bold navy</w:t>
      </w:r>
    </w:p>
    <w:p>
      <w:pPr>
        <w:pStyle w:val="ListParagraph"/>
        <w:numPr>
          <w:ilvl w:val="0"/>
          <w:numId w:val="2"/>
        </w:numPr>
        <w:spacing w:after="60"/>
      </w:pPr>
      <w:r>
        <w:rPr>
          <w:rFonts w:ascii="Arial" w:cs="Arial" w:eastAsia="Arial" w:hAnsi="Arial"/>
          <w:color w:val="15262F"/>
          <w:sz w:val="22"/>
          <w:szCs w:val="22"/>
        </w:rPr>
        <w:t xml:space="preserve">Small caption / italic: 20 half-points (10pt)</w:t>
      </w:r>
    </w:p>
    <w:p>
      <w:pPr>
        <w:pStyle w:val="ListParagraph"/>
        <w:numPr>
          <w:ilvl w:val="0"/>
          <w:numId w:val="2"/>
        </w:numPr>
        <w:spacing w:after="60"/>
      </w:pPr>
      <w:r>
        <w:rPr>
          <w:rFonts w:ascii="Arial" w:cs="Arial" w:eastAsia="Arial" w:hAnsi="Arial"/>
          <w:color w:val="15262F"/>
          <w:sz w:val="22"/>
          <w:szCs w:val="22"/>
        </w:rPr>
        <w:t xml:space="preserve">Headers and footers: 16 half-points (8pt) ink-soft</w:t>
      </w:r>
    </w:p>
    <w:p>
      <w:pPr>
        <w:spacing w:after="120"/>
      </w:pPr>
    </w:p>
    <w:p>
      <w:pPr>
        <w:pStyle w:val="Heading3"/>
        <w:spacing w:after="100" w:before="200"/>
      </w:pPr>
      <w:r>
        <w:rPr>
          <w:rFonts w:ascii="Arial" w:cs="Arial" w:eastAsia="Arial" w:hAnsi="Arial"/>
          <w:b/>
          <w:bCs/>
          <w:color w:val="7C2018"/>
          <w:sz w:val="24"/>
          <w:szCs w:val="24"/>
        </w:rPr>
        <w:t xml:space="preserve">Page format</w:t>
      </w:r>
    </w:p>
    <w:p>
      <w:pPr>
        <w:pStyle w:val="ListParagraph"/>
        <w:numPr>
          <w:ilvl w:val="0"/>
          <w:numId w:val="2"/>
        </w:numPr>
        <w:spacing w:after="60"/>
      </w:pPr>
      <w:r>
        <w:rPr>
          <w:rFonts w:ascii="Arial" w:cs="Arial" w:eastAsia="Arial" w:hAnsi="Arial"/>
          <w:color w:val="15262F"/>
          <w:sz w:val="22"/>
          <w:szCs w:val="22"/>
        </w:rPr>
        <w:t xml:space="preserve">US Letter (8.5 x 11 inches, 12240 x 15840 dxa)</w:t>
      </w:r>
    </w:p>
    <w:p>
      <w:pPr>
        <w:pStyle w:val="ListParagraph"/>
        <w:numPr>
          <w:ilvl w:val="0"/>
          <w:numId w:val="2"/>
        </w:numPr>
        <w:spacing w:after="60"/>
      </w:pPr>
      <w:r>
        <w:rPr>
          <w:rFonts w:ascii="Arial" w:cs="Arial" w:eastAsia="Arial" w:hAnsi="Arial"/>
          <w:color w:val="15262F"/>
          <w:sz w:val="22"/>
          <w:szCs w:val="22"/>
        </w:rPr>
        <w:t xml:space="preserve">Margins: 0.75 inch all around (1080 dxa)</w:t>
      </w:r>
    </w:p>
    <w:p>
      <w:pPr>
        <w:pStyle w:val="ListParagraph"/>
        <w:numPr>
          <w:ilvl w:val="0"/>
          <w:numId w:val="2"/>
        </w:numPr>
        <w:spacing w:after="60"/>
      </w:pPr>
      <w:r>
        <w:rPr>
          <w:rFonts w:ascii="Arial" w:cs="Arial" w:eastAsia="Arial" w:hAnsi="Arial"/>
          <w:color w:val="15262F"/>
          <w:sz w:val="22"/>
          <w:szCs w:val="22"/>
        </w:rPr>
        <w:t xml:space="preserve">Header: BIO 004 + Week N Research Workbook + dates, right-aligned, gold bottom border</w:t>
      </w:r>
    </w:p>
    <w:p>
      <w:pPr>
        <w:pStyle w:val="ListParagraph"/>
        <w:numPr>
          <w:ilvl w:val="0"/>
          <w:numId w:val="2"/>
        </w:numPr>
        <w:spacing w:after="60"/>
      </w:pPr>
      <w:r>
        <w:rPr>
          <w:rFonts w:ascii="Arial" w:cs="Arial" w:eastAsia="Arial" w:hAnsi="Arial"/>
          <w:color w:val="15262F"/>
          <w:sz w:val="22"/>
          <w:szCs w:val="22"/>
        </w:rPr>
        <w:t xml:space="preserve">Footer: byline + Solano Community College + page X of Y, centered</w:t>
      </w:r>
    </w:p>
    <w:p>
      <w:pPr>
        <w:pStyle w:val="Heading1"/>
        <w:spacing w:after="200" w:before="360"/>
      </w:pPr>
      <w:r>
        <w:rPr>
          <w:rFonts w:ascii="Arial" w:cs="Arial" w:eastAsia="Arial" w:hAnsi="Arial"/>
          <w:b/>
          <w:bCs/>
          <w:color w:val="1E3D4C"/>
          <w:sz w:val="36"/>
          <w:szCs w:val="36"/>
        </w:rPr>
        <w:t xml:space="preserve">10. Continuity instructions for next chat</w:t>
      </w:r>
    </w:p>
    <w:p>
      <w:pPr>
        <w:spacing w:after="100" w:before="0"/>
      </w:pPr>
      <w:r>
        <w:rPr>
          <w:rFonts w:ascii="Arial" w:cs="Arial" w:eastAsia="Arial" w:hAnsi="Arial"/>
          <w:b w:val="false"/>
          <w:bCs w:val="false"/>
          <w:i w:val="false"/>
          <w:iCs w:val="false"/>
          <w:color w:val="15262F"/>
          <w:sz w:val="22"/>
          <w:szCs w:val="22"/>
        </w:rPr>
        <w:t xml:space="preserve">If the build is interrupted and you need to continue in a new chat, share this document with the next assistant along with the most recent versions of:</w:t>
      </w:r>
    </w:p>
    <w:p>
      <w:pPr>
        <w:pStyle w:val="ListParagraph"/>
        <w:numPr>
          <w:ilvl w:val="0"/>
          <w:numId w:val="2"/>
        </w:numPr>
        <w:spacing w:after="60"/>
      </w:pPr>
      <w:r>
        <w:rPr>
          <w:rFonts w:ascii="Arial" w:cs="Arial" w:eastAsia="Arial" w:hAnsi="Arial"/>
          <w:color w:val="15262F"/>
          <w:sz w:val="22"/>
          <w:szCs w:val="22"/>
        </w:rPr>
        <w:t xml:space="preserve">/home/claude/weeks_build/data_p1.py</w:t>
      </w:r>
    </w:p>
    <w:p>
      <w:pPr>
        <w:pStyle w:val="ListParagraph"/>
        <w:numPr>
          <w:ilvl w:val="0"/>
          <w:numId w:val="2"/>
        </w:numPr>
        <w:spacing w:after="60"/>
      </w:pPr>
      <w:r>
        <w:rPr>
          <w:rFonts w:ascii="Arial" w:cs="Arial" w:eastAsia="Arial" w:hAnsi="Arial"/>
          <w:color w:val="15262F"/>
          <w:sz w:val="22"/>
          <w:szCs w:val="22"/>
        </w:rPr>
        <w:t xml:space="preserve">/home/claude/weeks_build/data_p2.py</w:t>
      </w:r>
    </w:p>
    <w:p>
      <w:pPr>
        <w:pStyle w:val="ListParagraph"/>
        <w:numPr>
          <w:ilvl w:val="0"/>
          <w:numId w:val="2"/>
        </w:numPr>
        <w:spacing w:after="60"/>
      </w:pPr>
      <w:r>
        <w:rPr>
          <w:rFonts w:ascii="Arial" w:cs="Arial" w:eastAsia="Arial" w:hAnsi="Arial"/>
          <w:color w:val="15262F"/>
          <w:sz w:val="22"/>
          <w:szCs w:val="22"/>
        </w:rPr>
        <w:t xml:space="preserve">/home/claude/weeks_build/week{N}_modules.py for any weeks already built</w:t>
      </w:r>
    </w:p>
    <w:p>
      <w:pPr>
        <w:pStyle w:val="ListParagraph"/>
        <w:numPr>
          <w:ilvl w:val="0"/>
          <w:numId w:val="2"/>
        </w:numPr>
        <w:spacing w:after="60"/>
      </w:pPr>
      <w:r>
        <w:rPr>
          <w:rFonts w:ascii="Arial" w:cs="Arial" w:eastAsia="Arial" w:hAnsi="Arial"/>
          <w:color w:val="15262F"/>
          <w:sz w:val="22"/>
          <w:szCs w:val="22"/>
        </w:rPr>
        <w:t xml:space="preserve">/home/claude/weeks_build/generate_workbooks.js (or the most recent generator script)</w:t>
      </w:r>
    </w:p>
    <w:p>
      <w:pPr>
        <w:pStyle w:val="ListParagraph"/>
        <w:numPr>
          <w:ilvl w:val="0"/>
          <w:numId w:val="2"/>
        </w:numPr>
        <w:spacing w:after="60"/>
      </w:pPr>
      <w:r>
        <w:rPr>
          <w:rFonts w:ascii="Arial" w:cs="Arial" w:eastAsia="Arial" w:hAnsi="Arial"/>
          <w:color w:val="15262F"/>
          <w:sz w:val="22"/>
          <w:szCs w:val="22"/>
        </w:rPr>
        <w:t xml:space="preserve">This instructions document</w:t>
      </w:r>
    </w:p>
    <w:p>
      <w:pPr>
        <w:spacing w:after="120"/>
      </w:pPr>
    </w:p>
    <w:p>
      <w:pPr>
        <w:spacing w:after="100" w:before="0"/>
      </w:pPr>
      <w:r>
        <w:rPr>
          <w:rFonts w:ascii="Arial" w:cs="Arial" w:eastAsia="Arial" w:hAnsi="Arial"/>
          <w:b w:val="false"/>
          <w:bCs w:val="false"/>
          <w:i w:val="false"/>
          <w:iCs w:val="false"/>
          <w:color w:val="15262F"/>
          <w:sz w:val="22"/>
          <w:szCs w:val="22"/>
        </w:rPr>
        <w:t xml:space="preserve">Tell the next assistant: 'I'm continuing a multi-week build of research workbooks for BIO 004 Human Anatomy Summer 2026. The structure is locked, the prototype is Week 4. Build remaining weekly modules following the same pattern.' That should be enough context for them to pick up.</w:t>
      </w:r>
    </w:p>
    <w:p>
      <w:pPr>
        <w:spacing w:after="200"/>
      </w:pPr>
    </w:p>
    <w:p>
      <w:pPr>
        <w:spacing w:after="100" w:before="0"/>
      </w:pPr>
      <w:r>
        <w:rPr>
          <w:rFonts w:ascii="Arial" w:cs="Arial" w:eastAsia="Arial" w:hAnsi="Arial"/>
          <w:b w:val="false"/>
          <w:bCs w:val="false"/>
          <w:i/>
          <w:iCs/>
          <w:color w:val="3D4F5A"/>
          <w:sz w:val="22"/>
          <w:szCs w:val="22"/>
        </w:rPr>
        <w:t xml:space="preserve">End of build instructions.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MedMasters Research Workbook System  |  Build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MedMasters Research Workbook System: Build Instructions</dc:title>
  <dc:creator>Dr. Sharilyn Rennie</dc:creator>
  <dc:description>Reference document for building research workbooks for anatomy and A&amp;P courses</dc:description>
  <cp:lastModifiedBy>Un-named</cp:lastModifiedBy>
  <cp:revision>1</cp:revision>
  <dcterms:created xsi:type="dcterms:W3CDTF">2026-05-06T16:21:14.759Z</dcterms:created>
  <dcterms:modified xsi:type="dcterms:W3CDTF">2026-05-06T16:21:14.776Z</dcterms:modified>
</cp:coreProperties>
</file>

<file path=docProps/custom.xml><?xml version="1.0" encoding="utf-8"?>
<Properties xmlns="http://schemas.openxmlformats.org/officeDocument/2006/custom-properties" xmlns:vt="http://schemas.openxmlformats.org/officeDocument/2006/docPropsVTypes"/>
</file>