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Pre-registered analysis plan</w:t>
      </w:r>
    </w:p>
    <w:p>
      <w:pPr>
        <w:spacing w:after="60"/>
      </w:pPr>
      <w:r>
        <w:rPr>
          <w:rFonts w:ascii="Calibri" w:cs="Calibri" w:eastAsia="Calibri" w:hAnsi="Calibri"/>
          <w:color w:val="404040"/>
          <w:sz w:val="23"/>
          <w:szCs w:val="23"/>
        </w:rPr>
        <w:t xml:space="preserve">Does molecular subclass account for the discordance between histologic grade and survival for CYB5R3 in hepatocellular carcinoma?</w:t>
      </w:r>
    </w:p>
    <w:p>
      <w:pPr>
        <w:pBdr>
          <w:bottom w:val="single" w:color="2E5496" w:sz="8" w:space="6"/>
        </w:pBdr>
        <w:spacing w:after="200"/>
      </w:pPr>
      <w:r>
        <w:rPr>
          <w:rFonts w:ascii="Calibri" w:cs="Calibri" w:eastAsia="Calibri" w:hAnsi="Calibri"/>
          <w:color w:val="595959"/>
          <w:sz w:val="20"/>
          <w:szCs w:val="20"/>
        </w:rPr>
        <w:t xml:space="preserve">Project C, follow-up to Int. J. Mol. Sci. 2026, 27, 7806</w:t>
      </w:r>
    </w:p>
    <w:p>
      <w:pPr>
        <w:spacing w:after="120" w:line="300"/>
      </w:pPr>
      <w:r>
        <w:rPr>
          <w:rFonts w:ascii="Calibri" w:cs="Calibri" w:eastAsia="Calibri" w:hAnsi="Calibri"/>
          <w:i/>
          <w:iCs/>
          <w:sz w:val="21"/>
          <w:szCs w:val="21"/>
        </w:rPr>
        <w:t xml:space="preserve">Version 1.0    Date 10 September 2026    Author Soon Woo Nam    Status fixed before data were examined</w:t>
      </w:r>
    </w:p>
    <w:p>
      <w:pPr>
        <w:pStyle w:val="Heading1"/>
        <w:spacing w:after="150" w:before="300"/>
      </w:pPr>
      <w:r>
        <w:rPr>
          <w:rFonts w:ascii="Calibri" w:cs="Calibri" w:eastAsia="Calibri" w:hAnsi="Calibri"/>
          <w:b/>
          <w:bCs/>
          <w:color w:val="1F3864"/>
          <w:sz w:val="27"/>
          <w:szCs w:val="27"/>
        </w:rPr>
        <w:t xml:space="preserve">1. Background and the specific tension</w:t>
      </w:r>
    </w:p>
    <w:p>
      <w:pPr>
        <w:spacing w:after="120" w:line="300"/>
      </w:pPr>
      <w:r>
        <w:rPr>
          <w:rFonts w:ascii="Calibri" w:cs="Calibri" w:eastAsia="Calibri" w:hAnsi="Calibri"/>
          <w:sz w:val="21"/>
          <w:szCs w:val="21"/>
        </w:rPr>
        <w:t xml:space="preserve">In my published analysis of TCGA-LIHC, CYB5R3 expression showed a decreasing trend across histologic grade, with a Jonckheere-Terpstra p value of 0.0067, while higher expression was associated with worse overall survival, with an adjusted hazard ratio of 1.226 per standard deviation (95% CI 1.015 to 1.480, p = 0.0345). I reported both results and stated plainly that the direction of the tension was not resolved by anything in that paper. This analysis is designed to resolve it.</w:t>
      </w:r>
    </w:p>
    <w:p>
      <w:pPr>
        <w:spacing w:after="120" w:line="300"/>
      </w:pPr>
      <w:r>
        <w:rPr>
          <w:rFonts w:ascii="Calibri" w:cs="Calibri" w:eastAsia="Calibri" w:hAnsi="Calibri"/>
          <w:sz w:val="21"/>
          <w:szCs w:val="21"/>
        </w:rPr>
        <w:t xml:space="preserve">The candidate explanation I will test is compositional. If tumors with high CYB5R3 are concentrated in a well differentiated, hepatocyte-like and lipogenic molecular subclass, then the grade trend would reflect subclass composition rather than a relationship between CYB5R3 and dedifferentiation, and the prognostic signal would need to be re-examined with subclass in the model.</w:t>
      </w:r>
    </w:p>
    <w:p>
      <w:pPr>
        <w:spacing w:after="120" w:line="300"/>
      </w:pPr>
      <w:r>
        <w:rPr>
          <w:rFonts w:ascii="Calibri" w:cs="Calibri" w:eastAsia="Calibri" w:hAnsi="Calibri"/>
          <w:sz w:val="21"/>
          <w:szCs w:val="21"/>
        </w:rPr>
        <w:t xml:space="preserve">A published nine-gene amino acid metabolism signature for hepatocellular carcinoma contains CYB5R3 and reports it as increased in tumor and adverse for survival, without examining its relationship to grade. That paper is the concrete target of this analysis. The claim I am testing against is therefore an existing published claim, not one I have constructed.</w:t>
      </w:r>
    </w:p>
    <w:p>
      <w:pPr>
        <w:pStyle w:val="Heading1"/>
        <w:spacing w:after="150" w:before="300"/>
      </w:pPr>
      <w:r>
        <w:rPr>
          <w:rFonts w:ascii="Calibri" w:cs="Calibri" w:eastAsia="Calibri" w:hAnsi="Calibri"/>
          <w:b/>
          <w:bCs/>
          <w:color w:val="1F3864"/>
          <w:sz w:val="27"/>
          <w:szCs w:val="27"/>
        </w:rPr>
        <w:t xml:space="preserve">2.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Source</w:t>
            </w:r>
          </w:p>
        </w:tc>
        <w:tc>
          <w:tcPr>
            <w:tcW w:type="dxa" w:w="64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Use</w:t>
            </w:r>
          </w:p>
        </w:tc>
      </w:tr>
      <w:tr>
        <w:trPr>
          <w:tblHeader w:val="false"/>
        </w:trP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TCGA.LIHC.sampleMap/HiSeqV2 (UCSC Xena)</w:t>
            </w:r>
          </w:p>
        </w:tc>
        <w:tc>
          <w:tcPr>
            <w:tcW w:type="dxa" w:w="64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Expression, log2(norm_count + 1). The same matrix as the published primary analysis, so results remain comparable</w:t>
            </w:r>
          </w:p>
        </w:tc>
      </w:tr>
      <w:tr>
        <w:trPr>
          <w:tblHeader w:val="false"/>
        </w:trPr>
        <w:tc>
          <w:tcPr>
            <w:tcW w:type="dxa" w:w="26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TCGA.LIHC.sampleMap/LIHC_clinicalMatrix</w:t>
            </w:r>
          </w:p>
        </w:tc>
        <w:tc>
          <w:tcPr>
            <w:tcW w:type="dxa" w:w="64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Age, sex, pathologic stage, neoplasm histologic grade</w:t>
            </w:r>
          </w:p>
        </w:tc>
      </w:tr>
      <w:tr>
        <w:trPr>
          <w:tblHeader w:val="false"/>
        </w:trP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PanCanAtlas Clinical Data Resource survival table</w:t>
            </w:r>
          </w:p>
        </w:tc>
        <w:tc>
          <w:tcPr>
            <w:tcW w:type="dxa" w:w="64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Overall survival time and status</w:t>
            </w:r>
          </w:p>
        </w:tc>
      </w:tr>
      <w:tr>
        <w:trPr>
          <w:tblHeader w:val="false"/>
        </w:trPr>
        <w:tc>
          <w:tcPr>
            <w:tcW w:type="dxa" w:w="26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MSigDB C2 CGP, HOSHIDA_LIVER_CANCER_SUBCLASS_S1/S2/S3, via the msigdbr package</w:t>
            </w:r>
          </w:p>
        </w:tc>
        <w:tc>
          <w:tcPr>
            <w:tcW w:type="dxa" w:w="64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Subclass templates. Retrieved programmatically so that the gene lists are versioned and never transcribed by hand</w:t>
            </w:r>
          </w:p>
        </w:tc>
      </w:tr>
      <w:tr>
        <w:trPr>
          <w:tblHeader w:val="false"/>
        </w:trPr>
        <w:tc>
          <w:tcPr>
            <w:tcW w:type="dxa" w:w="26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PanCanAtlas mc3 non-silent gene matrix</w:t>
            </w:r>
          </w:p>
        </w:tc>
        <w:tc>
          <w:tcPr>
            <w:tcW w:type="dxa" w:w="64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CTNNB1 mutation status, secondary</w:t>
            </w:r>
          </w:p>
        </w:tc>
      </w:tr>
    </w:tbl>
    <w:p>
      <w:pPr>
        <w:spacing w:after="120" w:line="300"/>
      </w:pPr>
      <w:r>
        <w:rPr>
          <w:rFonts w:ascii="Calibri" w:cs="Calibri" w:eastAsia="Calibri" w:hAnsi="Calibri"/>
          <w:sz w:val="21"/>
          <w:szCs w:val="21"/>
        </w:rPr>
        <w:t xml:space="preserve"/>
      </w:r>
    </w:p>
    <w:p>
      <w:pPr>
        <w:spacing w:after="120" w:line="300"/>
      </w:pPr>
      <w:r>
        <w:rPr>
          <w:rFonts w:ascii="Calibri" w:cs="Calibri" w:eastAsia="Calibri" w:hAnsi="Calibri"/>
          <w:sz w:val="21"/>
          <w:szCs w:val="21"/>
        </w:rPr>
        <w:t xml:space="preserve">Sample selection follows the published rule without change: primary tumor sample-type codes 01, 02, 03, 05, 06 and 07, one sample per patient, then complete cases on age, sex and stage. Cohort size is fixed by the public resource. No sample size calculation is performed, and the analysis is powered by what is available rather than by design.</w:t>
      </w:r>
    </w:p>
    <w:p>
      <w:pPr>
        <w:pStyle w:val="Heading1"/>
        <w:spacing w:after="150" w:before="300"/>
      </w:pPr>
      <w:r>
        <w:rPr>
          <w:rFonts w:ascii="Calibri" w:cs="Calibri" w:eastAsia="Calibri" w:hAnsi="Calibri"/>
          <w:b/>
          <w:bCs/>
          <w:color w:val="1F3864"/>
          <w:sz w:val="27"/>
          <w:szCs w:val="27"/>
        </w:rPr>
        <w:t xml:space="preserve">3. Premise checks, performed and reported before any contrast</w:t>
      </w:r>
    </w:p>
    <w:p>
      <w:pPr>
        <w:spacing w:after="120" w:line="300"/>
      </w:pPr>
      <w:r>
        <w:rPr>
          <w:rFonts w:ascii="Calibri" w:cs="Calibri" w:eastAsia="Calibri" w:hAnsi="Calibri"/>
          <w:sz w:val="21"/>
          <w:szCs w:val="21"/>
        </w:rPr>
        <w:t xml:space="preserve">No contrast is computed until the following pass. This ordering is enforced in the code, not left to discipline.</w:t>
      </w:r>
    </w:p>
    <w:p>
      <w:pPr>
        <w:pStyle w:val="ListParagraph"/>
        <w:numPr>
          <w:ilvl w:val="0"/>
          <w:numId w:val="2"/>
        </w:numPr>
        <w:spacing w:after="80" w:line="290"/>
      </w:pPr>
      <w:r>
        <w:rPr>
          <w:rFonts w:ascii="Calibri" w:cs="Calibri" w:eastAsia="Calibri" w:hAnsi="Calibri"/>
          <w:sz w:val="21"/>
          <w:szCs w:val="21"/>
        </w:rPr>
        <w:t xml:space="preserve">Provenance. The matrix dimensions, the sample selection at each step, and the resulting analysis set are written to a flow file. The analysis set is expected to be close to the published 339 patients with 114 deaths.</w:t>
      </w:r>
    </w:p>
    <w:p>
      <w:pPr>
        <w:pStyle w:val="ListParagraph"/>
        <w:numPr>
          <w:ilvl w:val="0"/>
          <w:numId w:val="2"/>
        </w:numPr>
        <w:spacing w:after="80" w:line="290"/>
      </w:pPr>
      <w:r>
        <w:rPr>
          <w:rFonts w:ascii="Calibri" w:cs="Calibri" w:eastAsia="Calibri" w:hAnsi="Calibri"/>
          <w:sz w:val="21"/>
          <w:szCs w:val="21"/>
        </w:rPr>
        <w:t xml:space="preserve">Anchor reproduction. The published primary Cox model is refitted. If the hazard ratio does not fall within 0.05 of 1.226, the discrepancy is resolved before anything downstream is interpreted.</w:t>
      </w:r>
    </w:p>
    <w:p>
      <w:pPr>
        <w:pStyle w:val="ListParagraph"/>
        <w:numPr>
          <w:ilvl w:val="0"/>
          <w:numId w:val="2"/>
        </w:numPr>
        <w:spacing w:after="80" w:line="290"/>
      </w:pPr>
      <w:r>
        <w:rPr>
          <w:rFonts w:ascii="Calibri" w:cs="Calibri" w:eastAsia="Calibri" w:hAnsi="Calibri"/>
          <w:sz w:val="21"/>
          <w:szCs w:val="21"/>
        </w:rPr>
        <w:t xml:space="preserve">Subclass validity control. The nearest-template assignment must reproduce what is already known about these subclasses: S2 is the progenitor and proliferative class and should show higher EPCAM, AFP, KRT19 and MKI67, while S3 is the well differentiated class and should show higher ALB, CYP2E1, APOA1, HNF1A and SERPINA1. At least three markers in each set must move in the expected direction. If this fails, the classification is declared unusable and the study is reported as not testable rather than analyzed.</w:t>
      </w:r>
    </w:p>
    <w:p>
      <w:pPr>
        <w:pStyle w:val="ListParagraph"/>
        <w:numPr>
          <w:ilvl w:val="0"/>
          <w:numId w:val="2"/>
        </w:numPr>
        <w:spacing w:after="80" w:line="290"/>
      </w:pPr>
      <w:r>
        <w:rPr>
          <w:rFonts w:ascii="Calibri" w:cs="Calibri" w:eastAsia="Calibri" w:hAnsi="Calibri"/>
          <w:sz w:val="21"/>
          <w:szCs w:val="21"/>
        </w:rPr>
        <w:t xml:space="preserve">CTNNB1 positive control. Mutant tumors must show higher GLUL and higher LGR5. Both are required. If either fails, H4 is reported as not testable and the remaining hypotheses proceed unaffected.</w:t>
      </w:r>
    </w:p>
    <w:p>
      <w:pPr>
        <w:pStyle w:val="Heading1"/>
        <w:spacing w:after="150" w:before="300"/>
      </w:pPr>
      <w:r>
        <w:rPr>
          <w:rFonts w:ascii="Calibri" w:cs="Calibri" w:eastAsia="Calibri" w:hAnsi="Calibri"/>
          <w:b/>
          <w:bCs/>
          <w:color w:val="1F3864"/>
          <w:sz w:val="27"/>
          <w:szCs w:val="27"/>
        </w:rPr>
        <w:t xml:space="preserve">4. Subclass assignment</w:t>
      </w:r>
    </w:p>
    <w:p>
      <w:pPr>
        <w:spacing w:after="120" w:line="300"/>
      </w:pPr>
      <w:r>
        <w:rPr>
          <w:rFonts w:ascii="Calibri" w:cs="Calibri" w:eastAsia="Calibri" w:hAnsi="Calibri"/>
          <w:sz w:val="21"/>
          <w:szCs w:val="21"/>
        </w:rPr>
        <w:t xml:space="preserve">Assignment is by nearest-template prediction. Expression is standardized gene-wise across samples and restricted to the union of the three template gene sets. Each sample is assigned to the template with the highest cosine similarity. A per-sample p value is obtained by permuting the gene labels of the templates 1000 times, and these are converted to false discovery rates by the Benjamini-Hochberg procedure. Samples with a false discovery rate above 0.20 are labeled unclassified and are excluded from subclass contrasts rather than being forced into a class. A subclass with fewer than 30 patients is not analyzed separately.</w:t>
      </w:r>
    </w:p>
    <w:p>
      <w:pPr>
        <w:pStyle w:val="Heading1"/>
        <w:spacing w:after="150" w:before="300"/>
      </w:pPr>
      <w:r>
        <w:rPr>
          <w:rFonts w:ascii="Calibri" w:cs="Calibri" w:eastAsia="Calibri" w:hAnsi="Calibri"/>
          <w:b/>
          <w:bCs/>
          <w:color w:val="1F3864"/>
          <w:sz w:val="27"/>
          <w:szCs w:val="27"/>
        </w:rPr>
        <w:t xml:space="preserve">5. Hypotheses, tests and decision rules</w:t>
      </w:r>
    </w:p>
    <w:p>
      <w:pPr>
        <w:pStyle w:val="Heading2"/>
        <w:spacing w:after="110" w:before="220"/>
      </w:pPr>
      <w:r>
        <w:rPr>
          <w:rFonts w:ascii="Calibri" w:cs="Calibri" w:eastAsia="Calibri" w:hAnsi="Calibri"/>
          <w:b/>
          <w:bCs/>
          <w:color w:val="2E5496"/>
          <w:sz w:val="23"/>
          <w:szCs w:val="23"/>
        </w:rPr>
        <w:t xml:space="preserve">H1. CYB5R3 differs across subclass</w:t>
      </w:r>
    </w:p>
    <w:p>
      <w:pPr>
        <w:pStyle w:val="ListParagraph"/>
        <w:numPr>
          <w:ilvl w:val="0"/>
          <w:numId w:val="3"/>
        </w:numPr>
        <w:spacing w:after="80" w:line="290"/>
      </w:pPr>
      <w:r>
        <w:rPr>
          <w:rFonts w:ascii="Calibri" w:cs="Calibri" w:eastAsia="Calibri" w:hAnsi="Calibri"/>
          <w:sz w:val="21"/>
          <w:szCs w:val="21"/>
        </w:rPr>
        <w:t xml:space="preserve">Test: Kruskal-Wallis across S1, S2 and S3, with epsilon squared as the effect size, followed by pairwise Wilcoxon tests with Cliff's delta and Benjamini-Hochberg adjustment.</w:t>
      </w:r>
    </w:p>
    <w:p>
      <w:pPr>
        <w:pStyle w:val="ListParagraph"/>
        <w:numPr>
          <w:ilvl w:val="0"/>
          <w:numId w:val="3"/>
        </w:numPr>
        <w:spacing w:after="80" w:line="290"/>
      </w:pPr>
      <w:r>
        <w:rPr>
          <w:rFonts w:ascii="Calibri" w:cs="Calibri" w:eastAsia="Calibri" w:hAnsi="Calibri"/>
          <w:sz w:val="21"/>
          <w:szCs w:val="21"/>
        </w:rPr>
        <w:t xml:space="preserve">Direction expected: highest in S3. A result in the opposite direction is reported as such.</w:t>
      </w:r>
    </w:p>
    <w:p>
      <w:pPr>
        <w:pStyle w:val="Heading2"/>
        <w:spacing w:after="110" w:before="220"/>
      </w:pPr>
      <w:r>
        <w:rPr>
          <w:rFonts w:ascii="Calibri" w:cs="Calibri" w:eastAsia="Calibri" w:hAnsi="Calibri"/>
          <w:b/>
          <w:bCs/>
          <w:color w:val="2E5496"/>
          <w:sz w:val="23"/>
          <w:szCs w:val="23"/>
        </w:rPr>
        <w:t xml:space="preserve">H2. The grade trend is explained by subclass composition</w:t>
      </w:r>
    </w:p>
    <w:p>
      <w:pPr>
        <w:spacing w:after="120" w:line="300"/>
      </w:pPr>
      <w:r>
        <w:rPr>
          <w:rFonts w:ascii="Calibri" w:cs="Calibri" w:eastAsia="Calibri" w:hAnsi="Calibri"/>
          <w:sz w:val="21"/>
          <w:szCs w:val="21"/>
        </w:rPr>
        <w:t xml:space="preserve">The grade slope is estimated on ranked expression, first alone and then with subclass in the model. Attenuation is the proportional reduction in the slope. The reading is fixed in advance: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Observed</w:t>
            </w:r>
          </w:p>
        </w:tc>
        <w:tc>
          <w:tcPr>
            <w:tcW w:type="dxa" w:w="60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Conclusion</w:t>
            </w:r>
          </w:p>
        </w:tc>
      </w:tr>
      <w:tr>
        <w:trPr>
          <w:tblHeader w:val="false"/>
        </w:trPr>
        <w:tc>
          <w:tcPr>
            <w:tcW w:type="dxa" w:w="3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Attenuation at least 0.50 and the adjusted slope no longer significant</w:t>
            </w:r>
          </w:p>
        </w:tc>
        <w:tc>
          <w:tcPr>
            <w:tcW w:type="dxa" w:w="6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Composition explains the grade trend</w:t>
            </w:r>
          </w:p>
        </w:tc>
      </w:tr>
      <w:tr>
        <w:trPr>
          <w:tblHeader w:val="false"/>
        </w:trPr>
        <w:tc>
          <w:tcPr>
            <w:tcW w:type="dxa" w:w="30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Attenuation below 0.25 and the adjusted slope still significant</w:t>
            </w:r>
          </w:p>
        </w:tc>
        <w:tc>
          <w:tcPr>
            <w:tcW w:type="dxa" w:w="60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The grade trend is independent of subclass</w:t>
            </w:r>
          </w:p>
        </w:tc>
      </w:tr>
      <w:tr>
        <w:trPr>
          <w:tblHeader w:val="false"/>
        </w:trPr>
        <w:tc>
          <w:tcPr>
            <w:tcW w:type="dxa" w:w="3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Anything else</w:t>
            </w:r>
          </w:p>
        </w:tc>
        <w:tc>
          <w:tcPr>
            <w:tcW w:type="dxa" w:w="6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Indeterminate, reported as such</w:t>
            </w:r>
          </w:p>
        </w:tc>
      </w:tr>
    </w:tbl>
    <w:p>
      <w:pPr>
        <w:spacing w:after="120" w:line="300"/>
      </w:pPr>
      <w:r>
        <w:rPr>
          <w:rFonts w:ascii="Calibri" w:cs="Calibri" w:eastAsia="Calibri" w:hAnsi="Calibri"/>
          <w:sz w:val="21"/>
          <w:szCs w:val="21"/>
        </w:rPr>
        <w:t xml:space="preserve"/>
      </w:r>
    </w:p>
    <w:p>
      <w:pPr>
        <w:spacing w:after="120" w:line="300"/>
      </w:pPr>
      <w:r>
        <w:rPr>
          <w:rFonts w:ascii="Calibri" w:cs="Calibri" w:eastAsia="Calibri" w:hAnsi="Calibri"/>
          <w:sz w:val="21"/>
          <w:szCs w:val="21"/>
        </w:rPr>
        <w:t xml:space="preserve">The trend is also tested within each subclass separately, which is the more direct question and does not rely on a linearity assumption.</w:t>
      </w:r>
    </w:p>
    <w:p>
      <w:pPr>
        <w:pStyle w:val="Heading2"/>
        <w:spacing w:after="110" w:before="220"/>
      </w:pPr>
      <w:r>
        <w:rPr>
          <w:rFonts w:ascii="Calibri" w:cs="Calibri" w:eastAsia="Calibri" w:hAnsi="Calibri"/>
          <w:b/>
          <w:bCs/>
          <w:color w:val="2E5496"/>
          <w:sz w:val="23"/>
          <w:szCs w:val="23"/>
        </w:rPr>
        <w:t xml:space="preserve">H3. The prognostic signal is explained by subclass</w:t>
      </w:r>
    </w:p>
    <w:p>
      <w:pPr>
        <w:spacing w:after="120" w:line="300"/>
      </w:pPr>
      <w:r>
        <w:rPr>
          <w:rFonts w:ascii="Calibri" w:cs="Calibri" w:eastAsia="Calibri" w:hAnsi="Calibri"/>
          <w:sz w:val="21"/>
          <w:szCs w:val="21"/>
        </w:rPr>
        <w:t xml:space="preserve">Three nested Cox models are fitted on the subclassifiable patients: the published covariate set, that set plus subclass, and that set plus subclass and grade. A likelihood ratio test compares the first two. Stratified models within each subclass and a formal interaction test follow. The reading is fixed in advance: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Observed for CYB5R3 after adding subclass</w:t>
            </w:r>
          </w:p>
        </w:tc>
        <w:tc>
          <w:tcPr>
            <w:tcW w:type="dxa" w:w="6000"/>
            <w:shd w:fill="DEEAF6" w:color="auto" w:val="clear"/>
            <w:tcMar>
              <w:top w:type="dxa" w:w="60"/>
              <w:left w:type="dxa" w:w="90"/>
              <w:bottom w:type="dxa" w:w="60"/>
              <w:right w:type="dxa" w:w="90"/>
            </w:tcMar>
          </w:tcPr>
          <w:p>
            <w:pPr>
              <w:spacing w:after="0" w:line="260"/>
              <w:jc w:val="center"/>
            </w:pPr>
            <w:r>
              <w:rPr>
                <w:rFonts w:ascii="Calibri" w:cs="Calibri" w:eastAsia="Calibri" w:hAnsi="Calibri"/>
                <w:b/>
                <w:bCs/>
                <w:sz w:val="18"/>
                <w:szCs w:val="18"/>
              </w:rPr>
              <w:t xml:space="preserve">Conclusion</w:t>
            </w:r>
          </w:p>
        </w:tc>
      </w:tr>
      <w:tr>
        <w:trPr>
          <w:tblHeader w:val="false"/>
        </w:trPr>
        <w:tc>
          <w:tcPr>
            <w:tcW w:type="dxa" w:w="3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Hazard ratio below 1.10 with a confidence interval covering 1</w:t>
            </w:r>
          </w:p>
        </w:tc>
        <w:tc>
          <w:tcPr>
            <w:tcW w:type="dxa" w:w="6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CYB5R3 is largely a surrogate marker for subclass</w:t>
            </w:r>
          </w:p>
        </w:tc>
      </w:tr>
      <w:tr>
        <w:trPr>
          <w:tblHeader w:val="false"/>
        </w:trPr>
        <w:tc>
          <w:tcPr>
            <w:tcW w:type="dxa" w:w="30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Hazard ratio at least 1.15 with a confidence interval excluding 1</w:t>
            </w:r>
          </w:p>
        </w:tc>
        <w:tc>
          <w:tcPr>
            <w:tcW w:type="dxa" w:w="6000"/>
            <w:shd w:fill="F5F8FC" w:color="auto" w:val="clear"/>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The prognostic signal is independent of subclass</w:t>
            </w:r>
          </w:p>
        </w:tc>
      </w:tr>
      <w:tr>
        <w:trPr>
          <w:tblHeader w:val="false"/>
        </w:trPr>
        <w:tc>
          <w:tcPr>
            <w:tcW w:type="dxa" w:w="3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Anything else</w:t>
            </w:r>
          </w:p>
        </w:tc>
        <w:tc>
          <w:tcPr>
            <w:tcW w:type="dxa" w:w="6000"/>
            <w:tcMar>
              <w:top w:type="dxa" w:w="60"/>
              <w:left w:type="dxa" w:w="90"/>
              <w:bottom w:type="dxa" w:w="60"/>
              <w:right w:type="dxa" w:w="90"/>
            </w:tcMar>
          </w:tcPr>
          <w:p>
            <w:pPr>
              <w:spacing w:after="0" w:line="260"/>
            </w:pPr>
            <w:r>
              <w:rPr>
                <w:rFonts w:ascii="Calibri" w:cs="Calibri" w:eastAsia="Calibri" w:hAnsi="Calibri"/>
                <w:b w:val="false"/>
                <w:bCs w:val="false"/>
                <w:sz w:val="18"/>
                <w:szCs w:val="18"/>
              </w:rPr>
              <w:t xml:space="preserve">Indeterminate, reported as such</w:t>
            </w:r>
          </w:p>
        </w:tc>
      </w:tr>
    </w:tbl>
    <w:p>
      <w:pPr>
        <w:pStyle w:val="Heading2"/>
        <w:spacing w:after="110" w:before="220"/>
      </w:pPr>
      <w:r>
        <w:rPr>
          <w:rFonts w:ascii="Calibri" w:cs="Calibri" w:eastAsia="Calibri" w:hAnsi="Calibri"/>
          <w:b/>
          <w:bCs/>
          <w:color w:val="2E5496"/>
          <w:sz w:val="23"/>
          <w:szCs w:val="23"/>
        </w:rPr>
        <w:t xml:space="preserve">H4. CTNNB1 activation</w:t>
      </w:r>
    </w:p>
    <w:p>
      <w:pPr>
        <w:pStyle w:val="ListParagraph"/>
        <w:numPr>
          <w:ilvl w:val="0"/>
          <w:numId w:val="3"/>
        </w:numPr>
        <w:spacing w:after="80" w:line="290"/>
      </w:pPr>
      <w:r>
        <w:rPr>
          <w:rFonts w:ascii="Calibri" w:cs="Calibri" w:eastAsia="Calibri" w:hAnsi="Calibri"/>
          <w:sz w:val="21"/>
          <w:szCs w:val="21"/>
        </w:rPr>
        <w:t xml:space="preserve">CYB5R3 compared between CTNNB1-mutant and wild-type tumors by Wilcoxon test with Cliff's delta.</w:t>
      </w:r>
    </w:p>
    <w:p>
      <w:pPr>
        <w:pStyle w:val="ListParagraph"/>
        <w:numPr>
          <w:ilvl w:val="0"/>
          <w:numId w:val="3"/>
        </w:numPr>
        <w:spacing w:after="80" w:line="290"/>
      </w:pPr>
      <w:r>
        <w:rPr>
          <w:rFonts w:ascii="Calibri" w:cs="Calibri" w:eastAsia="Calibri" w:hAnsi="Calibri"/>
          <w:sz w:val="21"/>
          <w:szCs w:val="21"/>
        </w:rPr>
        <w:t xml:space="preserve">Spearman correlation between CYB5R3 and a beta-catenin target score built from GLUL, LGR5, TBX3, AXIN1, NKD1, RHBG and SP5.</w:t>
      </w:r>
    </w:p>
    <w:p>
      <w:pPr>
        <w:pStyle w:val="Heading1"/>
        <w:spacing w:after="150" w:before="300"/>
      </w:pPr>
      <w:r>
        <w:rPr>
          <w:rFonts w:ascii="Calibri" w:cs="Calibri" w:eastAsia="Calibri" w:hAnsi="Calibri"/>
          <w:b/>
          <w:bCs/>
          <w:color w:val="1F3864"/>
          <w:sz w:val="27"/>
          <w:szCs w:val="27"/>
        </w:rPr>
        <w:t xml:space="preserve">6. Multiplicity</w:t>
      </w:r>
    </w:p>
    <w:p>
      <w:pPr>
        <w:spacing w:after="120" w:line="300"/>
      </w:pPr>
      <w:r>
        <w:rPr>
          <w:rFonts w:ascii="Calibri" w:cs="Calibri" w:eastAsia="Calibri" w:hAnsi="Calibri"/>
          <w:sz w:val="21"/>
          <w:szCs w:val="21"/>
        </w:rPr>
        <w:t xml:space="preserve">The four hypotheses form one family and their p values are adjusted together by the Benjamini-Hochberg procedure. Within H1 the pairwise comparisons carry their own adjustment. The alpha level is 0.05 throughout. H2 and H3 are the substantive endpoints; H1 and H4 are supporting.</w:t>
      </w:r>
    </w:p>
    <w:p>
      <w:pPr>
        <w:pStyle w:val="Heading1"/>
        <w:spacing w:after="150" w:before="300"/>
      </w:pPr>
      <w:r>
        <w:rPr>
          <w:rFonts w:ascii="Calibri" w:cs="Calibri" w:eastAsia="Calibri" w:hAnsi="Calibri"/>
          <w:b/>
          <w:bCs/>
          <w:color w:val="1F3864"/>
          <w:sz w:val="27"/>
          <w:szCs w:val="27"/>
        </w:rPr>
        <w:t xml:space="preserve">7. What will be reported regardless of the outcome</w:t>
      </w:r>
    </w:p>
    <w:p>
      <w:pPr>
        <w:spacing w:after="120" w:line="300"/>
      </w:pPr>
      <w:r>
        <w:rPr>
          <w:rFonts w:ascii="Calibri" w:cs="Calibri" w:eastAsia="Calibri" w:hAnsi="Calibri"/>
          <w:sz w:val="21"/>
          <w:szCs w:val="21"/>
        </w:rPr>
        <w:t xml:space="preserve">Every hypothesis above is reported with its estimate, its interval and its verdict, whichever direction the result takes. A finding that the hazard ratio collapses once subclass is included would mean that CYB5R3 is largely a surrogate for subclass, and that is a publishable and useful conclusion rather than a failed analysis. The same applies to an indeterminate verdict, which is reported as indeterminate and not resolved by choosing a different model afterward.</w:t>
      </w:r>
    </w:p>
    <w:p>
      <w:pPr>
        <w:spacing w:after="120" w:line="300"/>
      </w:pPr>
      <w:r>
        <w:rPr>
          <w:rFonts w:ascii="Calibri" w:cs="Calibri" w:eastAsia="Calibri" w:hAnsi="Calibri"/>
          <w:sz w:val="21"/>
          <w:szCs w:val="21"/>
        </w:rPr>
        <w:t xml:space="preserve">Two things I will not do. I will not add, drop or redefine a covariate after seeing a hazard ratio, and I will not switch classification method after seeing an assignment I dislike. If the validity control fails, the answer is that the question is not testable with this matrix.</w:t>
      </w:r>
    </w:p>
    <w:p>
      <w:pPr>
        <w:pStyle w:val="Heading1"/>
        <w:spacing w:after="150" w:before="300"/>
      </w:pPr>
      <w:r>
        <w:rPr>
          <w:rFonts w:ascii="Calibri" w:cs="Calibri" w:eastAsia="Calibri" w:hAnsi="Calibri"/>
          <w:b/>
          <w:bCs/>
          <w:color w:val="1F3864"/>
          <w:sz w:val="27"/>
          <w:szCs w:val="27"/>
        </w:rPr>
        <w:t xml:space="preserve">8. Reproducibility</w:t>
      </w:r>
    </w:p>
    <w:p>
      <w:pPr>
        <w:pStyle w:val="ListParagraph"/>
        <w:numPr>
          <w:ilvl w:val="0"/>
          <w:numId w:val="3"/>
        </w:numPr>
        <w:spacing w:after="80" w:line="290"/>
      </w:pPr>
      <w:r>
        <w:rPr>
          <w:rFonts w:ascii="Calibri" w:cs="Calibri" w:eastAsia="Calibri" w:hAnsi="Calibri"/>
          <w:sz w:val="21"/>
          <w:szCs w:val="21"/>
        </w:rPr>
        <w:t xml:space="preserve">The deposited pipeline behind the published paper is not modified. This analysis reuses its common setup for helpers and data access, and writes its own outputs into a separate folder.</w:t>
      </w:r>
    </w:p>
    <w:p>
      <w:pPr>
        <w:pStyle w:val="ListParagraph"/>
        <w:numPr>
          <w:ilvl w:val="0"/>
          <w:numId w:val="3"/>
        </w:numPr>
        <w:spacing w:after="80" w:line="290"/>
      </w:pPr>
      <w:r>
        <w:rPr>
          <w:rFonts w:ascii="Calibri" w:cs="Calibri" w:eastAsia="Calibri" w:hAnsi="Calibri"/>
          <w:sz w:val="21"/>
          <w:szCs w:val="21"/>
        </w:rPr>
        <w:t xml:space="preserve">The decision rules are held in a single block at the top of the analysis script and are written out to a results file on every run, so any later edit is visible in the record.</w:t>
      </w:r>
    </w:p>
    <w:p>
      <w:pPr>
        <w:pStyle w:val="ListParagraph"/>
        <w:numPr>
          <w:ilvl w:val="0"/>
          <w:numId w:val="3"/>
        </w:numPr>
        <w:spacing w:after="80" w:line="290"/>
      </w:pPr>
      <w:r>
        <w:rPr>
          <w:rFonts w:ascii="Calibri" w:cs="Calibri" w:eastAsia="Calibri" w:hAnsi="Calibri"/>
          <w:sz w:val="21"/>
          <w:szCs w:val="21"/>
        </w:rPr>
        <w:t xml:space="preserve">The random seed is fixed. Session information and a run log are written for every execution.</w:t>
      </w:r>
    </w:p>
    <w:p>
      <w:pPr>
        <w:pStyle w:val="ListParagraph"/>
        <w:numPr>
          <w:ilvl w:val="0"/>
          <w:numId w:val="3"/>
        </w:numPr>
        <w:spacing w:after="80" w:line="290"/>
      </w:pPr>
      <w:r>
        <w:rPr>
          <w:rFonts w:ascii="Calibri" w:cs="Calibri" w:eastAsia="Calibri" w:hAnsi="Calibri"/>
          <w:sz w:val="21"/>
          <w:szCs w:val="21"/>
        </w:rPr>
        <w:t xml:space="preserve">Scripts are described as run only after they have actually run. Nothing is written in the completed tense on the strength of an intention.</w:t>
      </w:r>
    </w:p>
    <w:p>
      <w:pPr>
        <w:pStyle w:val="Heading1"/>
        <w:spacing w:after="150" w:before="300"/>
      </w:pPr>
      <w:r>
        <w:rPr>
          <w:rFonts w:ascii="Calibri" w:cs="Calibri" w:eastAsia="Calibri" w:hAnsi="Calibri"/>
          <w:b/>
          <w:bCs/>
          <w:color w:val="1F3864"/>
          <w:sz w:val="27"/>
          <w:szCs w:val="27"/>
        </w:rPr>
        <w:t xml:space="preserve">9. Known limitations, stated at the outset</w:t>
      </w:r>
    </w:p>
    <w:p>
      <w:pPr>
        <w:pStyle w:val="ListParagraph"/>
        <w:numPr>
          <w:ilvl w:val="0"/>
          <w:numId w:val="3"/>
        </w:numPr>
        <w:spacing w:after="80" w:line="290"/>
      </w:pPr>
      <w:r>
        <w:rPr>
          <w:rFonts w:ascii="Calibri" w:cs="Calibri" w:eastAsia="Calibri" w:hAnsi="Calibri"/>
          <w:sz w:val="21"/>
          <w:szCs w:val="21"/>
        </w:rPr>
        <w:t xml:space="preserve">Subclass is inferred from bulk expression by template matching, not taken from a pathology or sequencing based gold standard, so misassignment is possible and the validity control is the safeguard rather than a proof.</w:t>
      </w:r>
    </w:p>
    <w:p>
      <w:pPr>
        <w:pStyle w:val="ListParagraph"/>
        <w:numPr>
          <w:ilvl w:val="0"/>
          <w:numId w:val="3"/>
        </w:numPr>
        <w:spacing w:after="80" w:line="290"/>
      </w:pPr>
      <w:r>
        <w:rPr>
          <w:rFonts w:ascii="Calibri" w:cs="Calibri" w:eastAsia="Calibri" w:hAnsi="Calibri"/>
          <w:sz w:val="21"/>
          <w:szCs w:val="21"/>
        </w:rPr>
        <w:t xml:space="preserve">Grade is recorded by pathologists across many contributing centers and is subject to interobserver variation.</w:t>
      </w:r>
    </w:p>
    <w:p>
      <w:pPr>
        <w:pStyle w:val="ListParagraph"/>
        <w:numPr>
          <w:ilvl w:val="0"/>
          <w:numId w:val="3"/>
        </w:numPr>
        <w:spacing w:after="80" w:line="290"/>
      </w:pPr>
      <w:r>
        <w:rPr>
          <w:rFonts w:ascii="Calibri" w:cs="Calibri" w:eastAsia="Calibri" w:hAnsi="Calibri"/>
          <w:sz w:val="21"/>
          <w:szCs w:val="21"/>
        </w:rPr>
        <w:t xml:space="preserve">TCGA-LIHC carries no systemic therapy data, so no model here is adjusted for treatment. This limitation carries over unchanged from the published paper.</w:t>
      </w:r>
    </w:p>
    <w:p>
      <w:pPr>
        <w:pStyle w:val="ListParagraph"/>
        <w:numPr>
          <w:ilvl w:val="0"/>
          <w:numId w:val="3"/>
        </w:numPr>
        <w:spacing w:after="80" w:line="290"/>
      </w:pPr>
      <w:r>
        <w:rPr>
          <w:rFonts w:ascii="Calibri" w:cs="Calibri" w:eastAsia="Calibri" w:hAnsi="Calibri"/>
          <w:sz w:val="21"/>
          <w:szCs w:val="21"/>
        </w:rPr>
        <w:t xml:space="preserve">Cell composition of the bulk tumor is not resolved. A subclass difference and a composition difference cannot be fully separated in bulk tissue, which is the question that Project A addresses with single cell data.</w:t>
      </w:r>
    </w:p>
    <w:p>
      <w:pPr>
        <w:pStyle w:val="ListParagraph"/>
        <w:numPr>
          <w:ilvl w:val="0"/>
          <w:numId w:val="3"/>
        </w:numPr>
        <w:spacing w:after="80" w:line="290"/>
      </w:pPr>
      <w:r>
        <w:rPr>
          <w:rFonts w:ascii="Calibri" w:cs="Calibri" w:eastAsia="Calibri" w:hAnsi="Calibri"/>
          <w:sz w:val="21"/>
          <w:szCs w:val="21"/>
        </w:rPr>
        <w:t xml:space="preserve">Every claim produced here will be associative. Nothing in this design establishes causality.</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2026-09-10T00:48:06.597Z</dcterms:created>
  <dcterms:modified xsi:type="dcterms:W3CDTF">2026-09-10T00:48:06.611Z</dcterms:modified>
</cp:coreProperties>
</file>

<file path=docProps/custom.xml><?xml version="1.0" encoding="utf-8"?>
<Properties xmlns="http://schemas.openxmlformats.org/officeDocument/2006/custom-properties" xmlns:vt="http://schemas.openxmlformats.org/officeDocument/2006/docPropsVTypes"/>
</file>