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C1E35"/>
          <w:sz w:val="48"/>
          <w:szCs w:val="48"/>
        </w:rPr>
        <w:t xml:space="preserve">CLEAR Executive Language Access Certificate Program</w:t>
      </w:r>
    </w:p>
    <w:p>
      <w:pPr>
        <w:spacing w:before="0" w:after="120"/>
        <w:jc w:val="center"/>
      </w:pPr>
      <w:r>
        <w:rPr>
          <w:rFonts w:ascii="Arial" w:cs="Arial" w:eastAsia="Arial" w:hAnsi="Arial"/>
          <w:b/>
          <w:bCs/>
          <w:caps/>
          <w:color w:val="0E9E8C"/>
          <w:sz w:val="36"/>
          <w:szCs w:val="36"/>
        </w:rPr>
        <w:t xml:space="preserve">MODULE 0: ORIENTATION</w:t>
      </w:r>
    </w:p>
    <w:p>
      <w:pPr>
        <w:spacing w:before="0" w:after="600"/>
        <w:jc w:val="center"/>
      </w:pPr>
      <w:r>
        <w:rPr>
          <w:rFonts w:ascii="Arial" w:cs="Arial" w:eastAsia="Arial" w:hAnsi="Arial"/>
          <w:i/>
          <w:iCs/>
          <w:color w:val="4A637D"/>
          <w:sz w:val="26"/>
          <w:szCs w:val="26"/>
        </w:rPr>
        <w:t xml:space="preserve">Understanding the Operating Reality, the Framework, and the Journey Ahead</w:t>
      </w:r>
    </w:p>
    <w:p>
      <w:pPr>
        <w:pBdr>
          <w:bottom w:val="single" w:color="0E9E8C" w:sz="8" w:space="1"/>
        </w:pBdr>
        <w:spacing w:before="0" w:after="160"/>
      </w:pPr>
      <w:r>
        <w:t xml:space="preserve"/>
      </w:r>
    </w:p>
    <w:p>
      <w:pPr>
        <w:spacing w:before="240" w:after="60"/>
      </w:pPr>
      <w:r>
        <w:rPr>
          <w:rFonts w:ascii="Arial" w:cs="Arial" w:eastAsia="Arial" w:hAnsi="Arial"/>
          <w:b/>
          <w:bCs/>
          <w:color w:val="4A637D"/>
          <w:sz w:val="20"/>
          <w:szCs w:val="20"/>
        </w:rPr>
        <w:t xml:space="preserve">Author Review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E1A" w:sz="8"/>
              <w:left w:val="single" w:color="D48E1A" w:sz="16"/>
              <w:bottom w:val="single" w:color="CCCCCC" w:sz="1"/>
              <w:right w:val="single" w:color="CCCCCC" w:sz="1"/>
            </w:tcBorders>
            <w:shd w:fill="FFF8E1" w:val="clear"/>
            <w:tcMar>
              <w:top w:type="dxa" w:w="120"/>
              <w:left w:type="dxa" w:w="180"/>
              <w:bottom w:type="dxa" w:w="120"/>
              <w:right w:type="dxa" w:w="180"/>
            </w:tcMar>
          </w:tcPr>
          <w:p>
            <w:pPr>
              <w:spacing w:before="0" w:after="60"/>
            </w:pPr>
            <w:r>
              <w:rPr>
                <w:rFonts w:ascii="Arial" w:cs="Arial" w:eastAsia="Arial" w:hAnsi="Arial"/>
                <w:b/>
                <w:bCs/>
                <w:caps/>
                <w:color w:val="D48E1A"/>
                <w:sz w:val="20"/>
                <w:szCs w:val="20"/>
              </w:rPr>
              <w:t xml:space="preserve">EDITORIAL DECISIONS — PLEASE CONFIRM BEFORE PUBLISHING</w:t>
            </w:r>
          </w:p>
          <w:p>
            <w:pPr>
              <w:spacing w:before="0" w:after="0"/>
            </w:pPr>
            <w:r>
              <w:rPr>
                <w:rFonts w:ascii="Arial" w:cs="Arial" w:eastAsia="Arial" w:hAnsi="Arial"/>
                <w:sz w:val="22"/>
                <w:szCs w:val="22"/>
              </w:rPr>
              <w:t xml:space="preserve">1. Tiered Decision Cycle terminology: Introduced and defined in Section 4 as the Tier 1→Tier 2→Tier 3 reasoning progression. If your team has a different preferred term, search-replace throughout.
2. Module numbering: This document reflects a 7-module structure (Modules 1–7) matching the CLEAR syllabus, with Module 5 = Post-Discharge &amp; Patient Safety and Module 6 = Policy, Procedures &amp; Governance. Confirm this matches the final curriculum sequence before sharing with learners.
3. CAP subtitle: “Communication Capacity Operations Blueprint” has been removed as a subtitle. The deliverable is referred to throughout as the Customized Action Plan (CAP).
4. Image placeholders: Art direction notes appear in bracketed italics throughout. Replace with finalized images before Articulate import.
5. Articulate screen breaks: Labeled in gray italic text throughout. These are production notes, not learner-facing content — remove before import or use as slide notes.</w:t>
            </w:r>
          </w:p>
        </w:tc>
      </w:tr>
    </w:tbl>
    <w:p>
      <w:pPr>
        <w:spacing w:before="240" w:after="0"/>
      </w:pPr>
      <w:r>
        <w:t xml:space="preserve"/>
      </w:r>
    </w:p>
    <w:p>
      <w:r>
        <w:br w:type="page"/>
      </w:r>
    </w:p>
    <w:p>
      <w:pPr>
        <w:pBdr>
          <w:bottom w:val="single" w:color="0E9E8C" w:sz="4" w:space="1"/>
        </w:pBdr>
        <w:spacing w:before="480" w:after="60"/>
      </w:pPr>
      <w:r>
        <w:rPr>
          <w:rFonts w:ascii="Arial" w:cs="Arial" w:eastAsia="Arial" w:hAnsi="Arial"/>
          <w:b/>
          <w:bCs/>
          <w:caps/>
          <w:color w:val="0E9E8C"/>
          <w:sz w:val="18"/>
          <w:szCs w:val="18"/>
        </w:rPr>
        <w:t xml:space="preserve">SECTION 1  </w:t>
      </w:r>
      <w:r>
        <w:rPr>
          <w:rFonts w:ascii="Arial" w:cs="Arial" w:eastAsia="Arial" w:hAnsi="Arial"/>
          <w:color w:val="4A637D"/>
          <w:sz w:val="18"/>
          <w:szCs w:val="18"/>
        </w:rPr>
        <w:t xml:space="preserve">The Operating Reality — and the Opportunity Ahead</w:t>
      </w:r>
    </w:p>
    <w:p>
      <w:pPr>
        <w:shd w:fill="F0F0F0" w:val="clear"/>
        <w:spacing w:before="280" w:after="80"/>
      </w:pPr>
      <w:r>
        <w:rPr>
          <w:rFonts w:ascii="Arial" w:cs="Arial" w:eastAsia="Arial" w:hAnsi="Arial"/>
          <w:b/>
          <w:bCs/>
          <w:i/>
          <w:iCs/>
          <w:color w:val="7F7F7F"/>
          <w:sz w:val="18"/>
          <w:szCs w:val="18"/>
        </w:rPr>
        <w:t xml:space="preserve">▸ ARTICULATE SCREEN: Opening screen — full-width text, no interaction</w:t>
      </w:r>
    </w:p>
    <w:p>
      <w:pPr>
        <w:pStyle w:val="Heading2"/>
        <w:spacing w:before="360" w:after="100"/>
      </w:pPr>
      <w:r>
        <w:rPr>
          <w:rFonts w:ascii="Arial" w:cs="Arial" w:eastAsia="Arial" w:hAnsi="Arial"/>
          <w:b/>
          <w:bCs/>
          <w:color w:val="0C1E35"/>
          <w:sz w:val="26"/>
          <w:szCs w:val="26"/>
        </w:rPr>
        <w:t xml:space="preserve">Why Communication Failures Persist — and Why They Are Fixable</w:t>
      </w:r>
    </w:p>
    <w:p>
      <w:pPr>
        <w:spacing w:before="60" w:after="100"/>
      </w:pPr>
      <w:r>
        <w:rPr>
          <w:rFonts w:ascii="Arial" w:cs="Arial" w:eastAsia="Arial" w:hAnsi="Arial"/>
          <w:b w:val="false"/>
          <w:bCs w:val="false"/>
          <w:i w:val="false"/>
          <w:iCs w:val="false"/>
          <w:color w:val="000000"/>
          <w:sz w:val="22"/>
          <w:szCs w:val="22"/>
        </w:rPr>
        <w:t xml:space="preserve">Across hospitals nationwide, care teams and administrators are operating under two relentless pressures: time and money.</w:t>
      </w:r>
    </w:p>
    <w:p>
      <w:pPr>
        <w:spacing w:before="60" w:after="100"/>
      </w:pPr>
      <w:r>
        <w:rPr>
          <w:rFonts w:ascii="Arial" w:cs="Arial" w:eastAsia="Arial" w:hAnsi="Arial"/>
          <w:b w:val="false"/>
          <w:bCs w:val="false"/>
          <w:i w:val="false"/>
          <w:iCs w:val="false"/>
          <w:color w:val="000000"/>
          <w:sz w:val="22"/>
          <w:szCs w:val="22"/>
        </w:rPr>
        <w:t xml:space="preserve">Patient volumes continue to rise. Clinical acuity is increasing. Staffing shortages — particularly among nurses, medical assistants, and support staff — compress the clinical encounter and narrow the margin for anything that slows care delivery.</w:t>
      </w:r>
    </w:p>
    <w:p>
      <w:pPr>
        <w:spacing w:before="60" w:after="100"/>
      </w:pPr>
      <w:r>
        <w:rPr>
          <w:rFonts w:ascii="Arial" w:cs="Arial" w:eastAsia="Arial" w:hAnsi="Arial"/>
          <w:b w:val="false"/>
          <w:bCs w:val="false"/>
          <w:i w:val="false"/>
          <w:iCs w:val="false"/>
          <w:color w:val="000000"/>
          <w:sz w:val="22"/>
          <w:szCs w:val="22"/>
        </w:rPr>
        <w:t xml:space="preserve">In that environment, the default response to an LEP patient without an available interpreter is not negligence. It is adaptation.</w:t>
      </w:r>
    </w:p>
    <w:p>
      <w:pPr>
        <w:spacing w:before="60" w:after="100"/>
      </w:pPr>
      <w:r>
        <w:rPr>
          <w:rFonts w:ascii="Arial" w:cs="Arial" w:eastAsia="Arial" w:hAnsi="Arial"/>
          <w:b w:val="false"/>
          <w:bCs w:val="false"/>
          <w:i w:val="false"/>
          <w:iCs w:val="false"/>
          <w:color w:val="000000"/>
          <w:sz w:val="22"/>
          <w:szCs w:val="22"/>
        </w:rPr>
        <w:t xml:space="preserve">Decisions such as relying on a family member to interpret, proceeding without an interpreter, or deferring communication steps until later are rarely intentional violations. They are predictable responses to real constraints — and they are also the source of some of the most consequential and preventable failures in modern healthcare.</w:t>
      </w:r>
    </w:p>
    <w:p>
      <w:pPr>
        <w:spacing w:before="80" w:after="0"/>
      </w:pPr>
      <w:r>
        <w:t xml:space="preserve"/>
      </w:r>
    </w:p>
    <w:p>
      <w:pPr>
        <w:shd w:fill="F0F0F0" w:val="clear"/>
        <w:spacing w:before="280" w:after="80"/>
      </w:pPr>
      <w:r>
        <w:rPr>
          <w:rFonts w:ascii="Arial" w:cs="Arial" w:eastAsia="Arial" w:hAnsi="Arial"/>
          <w:b/>
          <w:bCs/>
          <w:i/>
          <w:iCs/>
          <w:color w:val="7F7F7F"/>
          <w:sz w:val="18"/>
          <w:szCs w:val="18"/>
        </w:rPr>
        <w:t xml:space="preserve">▸ ARTICULATE SCREEN: Animated reveal — each bullet appears on click with supporting stat</w:t>
      </w:r>
    </w:p>
    <w:p>
      <w:pPr>
        <w:spacing w:before="60" w:after="100"/>
      </w:pPr>
      <w:r>
        <w:rPr>
          <w:rFonts w:ascii="Arial" w:cs="Arial" w:eastAsia="Arial" w:hAnsi="Arial"/>
          <w:b/>
          <w:bCs/>
          <w:i w:val="false"/>
          <w:iCs w:val="false"/>
          <w:color w:val="000000"/>
          <w:sz w:val="22"/>
          <w:szCs w:val="22"/>
        </w:rPr>
        <w:t xml:space="preserve">A robust body of peer-reviewed evidence documents what happens when those workarounds become standard practice:</w:t>
      </w:r>
    </w:p>
    <w:p>
      <w:pPr>
        <w:pStyle w:val="ListParagraph"/>
        <w:numPr>
          <w:ilvl w:val="0"/>
          <w:numId w:val="2"/>
        </w:numPr>
        <w:spacing w:before="40" w:after="40"/>
      </w:pPr>
      <w:r>
        <w:rPr>
          <w:rFonts w:ascii="Arial" w:cs="Arial" w:eastAsia="Arial" w:hAnsi="Arial"/>
          <w:sz w:val="22"/>
          <w:szCs w:val="22"/>
        </w:rPr>
        <w:t xml:space="preserve">Patients with limited English proficiency experience 20–30% higher rates of preventable adverse events compared to English-proficient patients (Divi et al., 2007)</w:t>
      </w:r>
    </w:p>
    <w:p>
      <w:pPr>
        <w:pStyle w:val="ListParagraph"/>
        <w:numPr>
          <w:ilvl w:val="0"/>
          <w:numId w:val="2"/>
        </w:numPr>
        <w:spacing w:before="40" w:after="40"/>
      </w:pPr>
      <w:r>
        <w:rPr>
          <w:rFonts w:ascii="Arial" w:cs="Arial" w:eastAsia="Arial" w:hAnsi="Arial"/>
          <w:sz w:val="22"/>
          <w:szCs w:val="22"/>
        </w:rPr>
        <w:t xml:space="preserve">LEP patients spend an average of 1.5–3.0 additional inpatient days per encounter when communication support is absent or delayed (Lindholm et al., 2012)</w:t>
      </w:r>
    </w:p>
    <w:p>
      <w:pPr>
        <w:pStyle w:val="ListParagraph"/>
        <w:numPr>
          <w:ilvl w:val="0"/>
          <w:numId w:val="2"/>
        </w:numPr>
        <w:spacing w:before="40" w:after="40"/>
      </w:pPr>
      <w:r>
        <w:rPr>
          <w:rFonts w:ascii="Arial" w:cs="Arial" w:eastAsia="Arial" w:hAnsi="Arial"/>
          <w:sz w:val="22"/>
          <w:szCs w:val="22"/>
        </w:rPr>
        <w:t xml:space="preserve">LEP patients are more likely to be readmitted within 30 days, less likely to complete follow-up care, and more likely to experience medication errors at transitions of care (Karliner et al., 2017)</w:t>
      </w:r>
    </w:p>
    <w:p>
      <w:pPr>
        <w:pStyle w:val="ListParagraph"/>
        <w:numPr>
          <w:ilvl w:val="0"/>
          <w:numId w:val="2"/>
        </w:numPr>
        <w:spacing w:before="40" w:after="40"/>
      </w:pPr>
      <w:r>
        <w:rPr>
          <w:rFonts w:ascii="Arial" w:cs="Arial" w:eastAsia="Arial" w:hAnsi="Arial"/>
          <w:sz w:val="22"/>
          <w:szCs w:val="22"/>
        </w:rPr>
        <w:t xml:space="preserve">Organizations face increasing regulatory enforcement, malpractice exposure, and reimbursement risk when language access documentation is incomplete or unreliable (U.S. HHS OCR, 2024)</w:t>
      </w:r>
    </w:p>
    <w:p>
      <w:pPr>
        <w:spacing w:before="80" w:after="0"/>
      </w:pPr>
      <w:r>
        <w:t xml:space="preserve"/>
      </w:r>
    </w:p>
    <w:p>
      <w:pPr>
        <w:spacing w:before="60" w:after="100"/>
      </w:pPr>
      <w:r>
        <w:rPr>
          <w:rFonts w:ascii="Arial" w:cs="Arial" w:eastAsia="Arial" w:hAnsi="Arial"/>
          <w:b w:val="false"/>
          <w:bCs w:val="false"/>
          <w:i w:val="false"/>
          <w:iCs w:val="false"/>
          <w:color w:val="000000"/>
          <w:sz w:val="22"/>
          <w:szCs w:val="22"/>
        </w:rPr>
        <w:t xml:space="preserve">Administrators face parallel pressures. As language needs increase — driven by national demographic trends — so do compliance obligations, documentation requirements, and exposure to regulatory and legal risk. Each missed opportunity to identify and address a communication need creates downstream consequences that are simultaneously clinical, operational, and financial.</w:t>
      </w:r>
    </w:p>
    <w:p>
      <w:pPr>
        <w:spacing w:before="60" w:after="100"/>
      </w:pPr>
      <w:r>
        <w:rPr>
          <w:rFonts w:ascii="Arial" w:cs="Arial" w:eastAsia="Arial" w:hAnsi="Arial"/>
          <w:b w:val="false"/>
          <w:bCs w:val="false"/>
          <w:i w:val="false"/>
          <w:iCs w:val="false"/>
          <w:color w:val="000000"/>
          <w:sz w:val="22"/>
          <w:szCs w:val="22"/>
        </w:rPr>
        <w:t xml:space="preserve">At the same time, language services budgets continue to grow year over year. In many organizations, spending on interpreter services increases 20–25% annually, often without corresponding improvements in outcomes, compliance rates, or staff confidence. The investment grows; the results do not.</w:t>
      </w:r>
    </w:p>
    <w:p>
      <w:pPr>
        <w:spacing w:before="80" w:after="0"/>
      </w:pPr>
      <w:r>
        <w:t xml:space="preserve"/>
      </w:r>
    </w:p>
    <w:p>
      <w:pPr>
        <w:pBdr>
          <w:left w:val="single" w:color="0E9E8C" w:sz="16" w:space="10"/>
        </w:pBdr>
        <w:spacing w:before="180" w:after="180"/>
        <w:ind w:left="720" w:right="720"/>
      </w:pPr>
      <w:r>
        <w:rPr>
          <w:rFonts w:ascii="Arial" w:cs="Arial" w:eastAsia="Arial" w:hAnsi="Arial"/>
          <w:b/>
          <w:bCs/>
          <w:i/>
          <w:iCs/>
          <w:color w:val="0C1E35"/>
          <w:sz w:val="24"/>
          <w:szCs w:val="24"/>
        </w:rPr>
        <w:t xml:space="preserve">“The same redesign that improves quality and safety also improves efficiency, sustainability, and financial performance. Communication reliability is not a cost center. It is a lever for safer care and a stronger organization.”</w:t>
      </w:r>
    </w:p>
    <w:p>
      <w:pPr>
        <w:spacing w:before="80" w:after="0"/>
      </w:pPr>
      <w:r>
        <w:t xml:space="preserve"/>
      </w:r>
    </w:p>
    <w:p>
      <w:pPr>
        <w:shd w:fill="F0F0F0" w:val="clear"/>
        <w:spacing w:before="280" w:after="80"/>
      </w:pPr>
      <w:r>
        <w:rPr>
          <w:rFonts w:ascii="Arial" w:cs="Arial" w:eastAsia="Arial" w:hAnsi="Arial"/>
          <w:b/>
          <w:bCs/>
          <w:i/>
          <w:iCs/>
          <w:color w:val="7F7F7F"/>
          <w:sz w:val="18"/>
          <w:szCs w:val="18"/>
        </w:rPr>
        <w:t xml:space="preserve">▸ ARTICULATE SCREEN: Trigger-and-reveal interaction — click each item to expand</w:t>
      </w:r>
    </w:p>
    <w:p>
      <w:pPr>
        <w:spacing w:before="60" w:after="100"/>
      </w:pPr>
      <w:r>
        <w:rPr>
          <w:rFonts w:ascii="Arial" w:cs="Arial" w:eastAsia="Arial" w:hAnsi="Arial"/>
          <w:b/>
          <w:bCs/>
          <w:i w:val="false"/>
          <w:iCs w:val="false"/>
          <w:color w:val="000000"/>
          <w:sz w:val="22"/>
          <w:szCs w:val="22"/>
        </w:rPr>
        <w:t xml:space="preserve">This is the current state — and it is serious. But it is also extraordinarily actionable.</w:t>
      </w:r>
    </w:p>
    <w:p>
      <w:pPr>
        <w:spacing w:before="60" w:after="100"/>
      </w:pPr>
      <w:r>
        <w:rPr>
          <w:rFonts w:ascii="Arial" w:cs="Arial" w:eastAsia="Arial" w:hAnsi="Arial"/>
          <w:b w:val="false"/>
          <w:bCs w:val="false"/>
          <w:i w:val="false"/>
          <w:iCs w:val="false"/>
          <w:color w:val="000000"/>
          <w:sz w:val="22"/>
          <w:szCs w:val="22"/>
        </w:rPr>
        <w:t xml:space="preserve">The same body of NIH-funded research that documents these failures also points to a powerful conclusion: communication reliability improves dramatically when it is engineered into care delivery, rather than left to individual judgment under pressure. When communication is treated as a system design problem — rather than a staff attitude problem — it becomes possible to:</w:t>
      </w:r>
    </w:p>
    <w:p>
      <w:pPr>
        <w:pStyle w:val="ListParagraph"/>
        <w:numPr>
          <w:ilvl w:val="0"/>
          <w:numId w:val="2"/>
        </w:numPr>
        <w:spacing w:before="40" w:after="40"/>
      </w:pPr>
      <w:r>
        <w:rPr>
          <w:rFonts w:ascii="Arial" w:cs="Arial" w:eastAsia="Arial" w:hAnsi="Arial"/>
          <w:sz w:val="22"/>
          <w:szCs w:val="22"/>
        </w:rPr>
        <w:t xml:space="preserve">Prevent harm before it reaches the patient, rather than respond after the fact</w:t>
      </w:r>
    </w:p>
    <w:p>
      <w:pPr>
        <w:pStyle w:val="ListParagraph"/>
        <w:numPr>
          <w:ilvl w:val="0"/>
          <w:numId w:val="2"/>
        </w:numPr>
        <w:spacing w:before="40" w:after="40"/>
      </w:pPr>
      <w:r>
        <w:rPr>
          <w:rFonts w:ascii="Arial" w:cs="Arial" w:eastAsia="Arial" w:hAnsi="Arial"/>
          <w:sz w:val="22"/>
          <w:szCs w:val="22"/>
        </w:rPr>
        <w:t xml:space="preserve">Reduce rework, length of stay, and avoidable readmissions</w:t>
      </w:r>
    </w:p>
    <w:p>
      <w:pPr>
        <w:pStyle w:val="ListParagraph"/>
        <w:numPr>
          <w:ilvl w:val="0"/>
          <w:numId w:val="2"/>
        </w:numPr>
        <w:spacing w:before="40" w:after="40"/>
      </w:pPr>
      <w:r>
        <w:rPr>
          <w:rFonts w:ascii="Arial" w:cs="Arial" w:eastAsia="Arial" w:hAnsi="Arial"/>
          <w:sz w:val="22"/>
          <w:szCs w:val="22"/>
        </w:rPr>
        <w:t xml:space="preserve">Improve patient understanding, adherence, and follow-through</w:t>
      </w:r>
    </w:p>
    <w:p>
      <w:pPr>
        <w:pStyle w:val="ListParagraph"/>
        <w:numPr>
          <w:ilvl w:val="0"/>
          <w:numId w:val="2"/>
        </w:numPr>
        <w:spacing w:before="40" w:after="40"/>
      </w:pPr>
      <w:r>
        <w:rPr>
          <w:rFonts w:ascii="Arial" w:cs="Arial" w:eastAsia="Arial" w:hAnsi="Arial"/>
          <w:sz w:val="22"/>
          <w:szCs w:val="22"/>
        </w:rPr>
        <w:t xml:space="preserve">Strengthen regulatory readiness and documentation defensibility</w:t>
      </w:r>
    </w:p>
    <w:p>
      <w:pPr>
        <w:pStyle w:val="ListParagraph"/>
        <w:numPr>
          <w:ilvl w:val="0"/>
          <w:numId w:val="2"/>
        </w:numPr>
        <w:spacing w:before="40" w:after="40"/>
      </w:pPr>
      <w:r>
        <w:rPr>
          <w:rFonts w:ascii="Arial" w:cs="Arial" w:eastAsia="Arial" w:hAnsi="Arial"/>
          <w:sz w:val="22"/>
          <w:szCs w:val="22"/>
        </w:rPr>
        <w:t xml:space="preserve">Contain costs, reduce revenue leakage, and protect reimbursement</w:t>
      </w:r>
    </w:p>
    <w:p>
      <w:pPr>
        <w:pStyle w:val="ListParagraph"/>
        <w:numPr>
          <w:ilvl w:val="0"/>
          <w:numId w:val="2"/>
        </w:numPr>
        <w:spacing w:before="40" w:after="40"/>
      </w:pPr>
      <w:r>
        <w:rPr>
          <w:rFonts w:ascii="Arial" w:cs="Arial" w:eastAsia="Arial" w:hAnsi="Arial"/>
          <w:sz w:val="22"/>
          <w:szCs w:val="22"/>
        </w:rPr>
        <w:t xml:space="preserve">Relieve burden on frontline teams by removing the need for unsafe workarounds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PROJECTED IMPACT (Based on LAI Research Modeling)</w:t>
            </w:r>
          </w:p>
          <w:p>
            <w:pPr>
              <w:spacing w:before="0" w:after="0"/>
            </w:pPr>
            <w:r>
              <w:rPr>
                <w:rFonts w:ascii="Arial" w:cs="Arial" w:eastAsia="Arial" w:hAnsi="Arial"/>
                <w:sz w:val="22"/>
                <w:szCs w:val="22"/>
              </w:rPr>
              <w:t xml:space="preserve">Adoption of best practices in patient engagement — particularly teach-back at discharge with verified language concordance — is projected to reduce 30-day readmissions by approximately 20% and generate over $200,000 in annual savings for a single hospital. For a 10-member health system, that projection exceeds $2 million annually.</w:t>
            </w:r>
          </w:p>
        </w:tc>
      </w:tr>
    </w:tbl>
    <w:p>
      <w:pPr>
        <w:spacing w:before="100" w:after="0"/>
      </w:pPr>
      <w:r>
        <w:t xml:space="preserve"/>
      </w:r>
    </w:p>
    <w:p>
      <w:pPr>
        <w:spacing w:before="60" w:after="100"/>
      </w:pPr>
      <w:r>
        <w:rPr>
          <w:rFonts w:ascii="Arial" w:cs="Arial" w:eastAsia="Arial" w:hAnsi="Arial"/>
          <w:b w:val="false"/>
          <w:bCs w:val="false"/>
          <w:i w:val="false"/>
          <w:iCs w:val="false"/>
          <w:color w:val="000000"/>
          <w:sz w:val="22"/>
          <w:szCs w:val="22"/>
        </w:rPr>
        <w:t xml:space="preserve">In other words, the same redesign that improves quality and safety also improves efficiency, sustainability, and performance. Communication reliability is not a cost center. It is a lever for safer care and a stronger organization.</w:t>
      </w:r>
    </w:p>
    <w:p>
      <w:pPr>
        <w:spacing w:before="60" w:after="100"/>
      </w:pPr>
      <w:r>
        <w:rPr>
          <w:rFonts w:ascii="Arial" w:cs="Arial" w:eastAsia="Arial" w:hAnsi="Arial"/>
          <w:b w:val="false"/>
          <w:bCs w:val="false"/>
          <w:i w:val="false"/>
          <w:iCs w:val="false"/>
          <w:color w:val="000000"/>
          <w:sz w:val="22"/>
          <w:szCs w:val="22"/>
        </w:rPr>
        <w:t xml:space="preserve">This program begins from that reality — not to dwell on what is broken, but to equip leaders with the frameworks, tools, and evidence needed to design what comes next.</w:t>
      </w:r>
    </w:p>
    <w:p>
      <w:pPr>
        <w:spacing w:before="120" w:after="0"/>
      </w:pPr>
      <w:r>
        <w:t xml:space="preserve"/>
      </w:r>
    </w:p>
    <w:p>
      <w:pPr>
        <w:pBdr>
          <w:bottom w:val="single" w:color="0E9E8C" w:sz="4" w:space="1"/>
        </w:pBdr>
        <w:spacing w:before="480" w:after="60"/>
      </w:pPr>
      <w:r>
        <w:rPr>
          <w:rFonts w:ascii="Arial" w:cs="Arial" w:eastAsia="Arial" w:hAnsi="Arial"/>
          <w:b/>
          <w:bCs/>
          <w:caps/>
          <w:color w:val="0E9E8C"/>
          <w:sz w:val="18"/>
          <w:szCs w:val="18"/>
        </w:rPr>
        <w:t xml:space="preserve">SECTION 2  </w:t>
      </w:r>
      <w:r>
        <w:rPr>
          <w:rFonts w:ascii="Arial" w:cs="Arial" w:eastAsia="Arial" w:hAnsi="Arial"/>
          <w:color w:val="4A637D"/>
          <w:sz w:val="18"/>
          <w:szCs w:val="18"/>
        </w:rPr>
        <w:t xml:space="preserve">The Regulatory and Safety Inflection Point</w:t>
      </w:r>
    </w:p>
    <w:p>
      <w:pPr>
        <w:shd w:fill="F0F0F0" w:val="clear"/>
        <w:spacing w:before="280" w:after="80"/>
      </w:pPr>
      <w:r>
        <w:rPr>
          <w:rFonts w:ascii="Arial" w:cs="Arial" w:eastAsia="Arial" w:hAnsi="Arial"/>
          <w:b/>
          <w:bCs/>
          <w:i/>
          <w:iCs/>
          <w:color w:val="7F7F7F"/>
          <w:sz w:val="18"/>
          <w:szCs w:val="18"/>
        </w:rPr>
        <w:t xml:space="preserve">▸ ARTICULATE SCREEN: Text-based screen with accordion interaction for six regulatory expectations</w:t>
      </w:r>
    </w:p>
    <w:p>
      <w:pPr>
        <w:pStyle w:val="Heading2"/>
        <w:spacing w:before="360" w:after="100"/>
      </w:pPr>
      <w:r>
        <w:rPr>
          <w:rFonts w:ascii="Arial" w:cs="Arial" w:eastAsia="Arial" w:hAnsi="Arial"/>
          <w:b/>
          <w:bCs/>
          <w:color w:val="0C1E35"/>
          <w:sz w:val="26"/>
          <w:szCs w:val="26"/>
        </w:rPr>
        <w:t xml:space="preserve">From Policy Presence to Operational Reliability</w:t>
      </w:r>
    </w:p>
    <w:p>
      <w:pPr>
        <w:spacing w:before="60" w:after="100"/>
      </w:pPr>
      <w:r>
        <w:rPr>
          <w:rFonts w:ascii="Arial" w:cs="Arial" w:eastAsia="Arial" w:hAnsi="Arial"/>
          <w:b w:val="false"/>
          <w:bCs w:val="false"/>
          <w:i w:val="false"/>
          <w:iCs w:val="false"/>
          <w:color w:val="000000"/>
          <w:sz w:val="22"/>
          <w:szCs w:val="22"/>
        </w:rPr>
        <w:t xml:space="preserve">For many years, regulatory expectations around language access were interpreted through a narrow lens. Organizations were assessed on whether interpreter services existed, whether policies were written, and whether notices were posted. Presence was sufficient. Process was assumed.</w:t>
      </w:r>
    </w:p>
    <w:p>
      <w:pPr>
        <w:spacing w:before="60" w:after="100"/>
      </w:pPr>
      <w:r>
        <w:rPr>
          <w:rFonts w:ascii="Arial" w:cs="Arial" w:eastAsia="Arial" w:hAnsi="Arial"/>
          <w:b w:val="false"/>
          <w:bCs w:val="false"/>
          <w:i w:val="false"/>
          <w:iCs w:val="false"/>
          <w:color w:val="000000"/>
          <w:sz w:val="22"/>
          <w:szCs w:val="22"/>
        </w:rPr>
        <w:t xml:space="preserve">That interpretation is no longer sufficient.</w:t>
      </w:r>
    </w:p>
    <w:p>
      <w:pPr>
        <w:spacing w:before="60" w:after="100"/>
      </w:pPr>
      <w:r>
        <w:rPr>
          <w:rFonts w:ascii="Arial" w:cs="Arial" w:eastAsia="Arial" w:hAnsi="Arial"/>
          <w:b w:val="false"/>
          <w:bCs w:val="false"/>
          <w:i w:val="false"/>
          <w:iCs w:val="false"/>
          <w:color w:val="000000"/>
          <w:sz w:val="22"/>
          <w:szCs w:val="22"/>
        </w:rPr>
        <w:t xml:space="preserve">Recent updates to hospital accreditation standards reflect a decisive shift in how communication is assessed. Most significantly, the Joint Commission has elevated communication-related expectations within its 2026 National Patient Safety Goals — signaling that language access failures are now formally recognized as patient safety risks, not administrative deficiencies. Regulatory bodies are moving from asking whether communication support is available to asking whether it is reliably delivered, documented, and embedded into care.</w:t>
      </w:r>
    </w:p>
    <w:p>
      <w:pPr>
        <w:spacing w:before="80" w:after="0"/>
      </w:pPr>
      <w:r>
        <w:t xml:space="preserve"/>
      </w:r>
    </w:p>
    <w:p>
      <w:pPr>
        <w:spacing w:before="60" w:after="100"/>
      </w:pPr>
      <w:r>
        <w:rPr>
          <w:rFonts w:ascii="Arial" w:cs="Arial" w:eastAsia="Arial" w:hAnsi="Arial"/>
          <w:b w:val="false"/>
          <w:bCs w:val="false"/>
          <w:i w:val="false"/>
          <w:iCs w:val="false"/>
          <w:color w:val="000000"/>
          <w:sz w:val="22"/>
          <w:szCs w:val="22"/>
        </w:rPr>
        <w:t xml:space="preserve">This shift aligns closely with what the evidence has been showing for years. A substantial body of peer-reviewed research — including the NIH-funded work that underpins the Language Access Index — demonstrates that communication failures are not rare, isolated events. They are systematic, predictable, and concentrated at specific points in the care workflow. Regulatory bodies are now catching up to this reality.</w:t>
      </w:r>
    </w:p>
    <w:p>
      <w:pPr>
        <w:spacing w:before="80" w:after="0"/>
      </w:pPr>
      <w:r>
        <w:t xml:space="preserve"/>
      </w:r>
    </w:p>
    <w:p>
      <w:pPr>
        <w:shd w:fill="F0F0F0" w:val="clear"/>
        <w:spacing w:before="280" w:after="80"/>
      </w:pPr>
      <w:r>
        <w:rPr>
          <w:rFonts w:ascii="Arial" w:cs="Arial" w:eastAsia="Arial" w:hAnsi="Arial"/>
          <w:b/>
          <w:bCs/>
          <w:i/>
          <w:iCs/>
          <w:color w:val="7F7F7F"/>
          <w:sz w:val="18"/>
          <w:szCs w:val="18"/>
        </w:rPr>
        <w:t xml:space="preserve">▸ ARTICULATE SCREEN: Accordion interaction — click each expectation to expand with real-world example</w:t>
      </w:r>
    </w:p>
    <w:p>
      <w:pPr>
        <w:spacing w:before="60" w:after="100"/>
      </w:pPr>
      <w:r>
        <w:rPr>
          <w:rFonts w:ascii="Arial" w:cs="Arial" w:eastAsia="Arial" w:hAnsi="Arial"/>
          <w:b/>
          <w:bCs/>
          <w:i w:val="false"/>
          <w:iCs w:val="false"/>
          <w:color w:val="000000"/>
          <w:sz w:val="22"/>
          <w:szCs w:val="22"/>
        </w:rPr>
        <w:t xml:space="preserve">To meet current and emerging regulatory expectations, organizations must be able to demonstrate that they can:</w:t>
      </w:r>
    </w:p>
    <w:p>
      <w:pPr>
        <w:pStyle w:val="ListParagraph"/>
        <w:numPr>
          <w:ilvl w:val="0"/>
          <w:numId w:val="2"/>
        </w:numPr>
        <w:spacing w:before="40" w:after="40"/>
      </w:pPr>
      <w:r>
        <w:rPr>
          <w:rFonts w:ascii="Arial" w:cs="Arial" w:eastAsia="Arial" w:hAnsi="Arial"/>
          <w:sz w:val="22"/>
          <w:szCs w:val="22"/>
        </w:rPr>
        <w:t xml:space="preserve">Identify and document patient communication needs reliably and early — before delays or errors occur</w:t>
      </w:r>
    </w:p>
    <w:p>
      <w:pPr>
        <w:pStyle w:val="ListParagraph"/>
        <w:numPr>
          <w:ilvl w:val="0"/>
          <w:numId w:val="2"/>
        </w:numPr>
        <w:spacing w:before="40" w:after="40"/>
      </w:pPr>
      <w:r>
        <w:rPr>
          <w:rFonts w:ascii="Arial" w:cs="Arial" w:eastAsia="Arial" w:hAnsi="Arial"/>
          <w:sz w:val="22"/>
          <w:szCs w:val="22"/>
        </w:rPr>
        <w:t xml:space="preserve">Ensure the use of qualified interpreters and appropriately assessed bilingual staff — not informal or ad hoc solutions</w:t>
      </w:r>
    </w:p>
    <w:p>
      <w:pPr>
        <w:pStyle w:val="ListParagraph"/>
        <w:numPr>
          <w:ilvl w:val="0"/>
          <w:numId w:val="2"/>
        </w:numPr>
        <w:spacing w:before="40" w:after="40"/>
      </w:pPr>
      <w:r>
        <w:rPr>
          <w:rFonts w:ascii="Arial" w:cs="Arial" w:eastAsia="Arial" w:hAnsi="Arial"/>
          <w:sz w:val="22"/>
          <w:szCs w:val="22"/>
        </w:rPr>
        <w:t xml:space="preserve">Integrate language access into clinical workflows, handoffs, discharge planning, and patient education — rather than treating it as an optional add-on</w:t>
      </w:r>
    </w:p>
    <w:p>
      <w:pPr>
        <w:pStyle w:val="ListParagraph"/>
        <w:numPr>
          <w:ilvl w:val="0"/>
          <w:numId w:val="2"/>
        </w:numPr>
        <w:spacing w:before="40" w:after="40"/>
      </w:pPr>
      <w:r>
        <w:rPr>
          <w:rFonts w:ascii="Arial" w:cs="Arial" w:eastAsia="Arial" w:hAnsi="Arial"/>
          <w:sz w:val="22"/>
          <w:szCs w:val="22"/>
        </w:rPr>
        <w:t xml:space="preserve">Provide role-based training so staff understand not just what to do, but when and why communication support must be secured</w:t>
      </w:r>
    </w:p>
    <w:p>
      <w:pPr>
        <w:pStyle w:val="ListParagraph"/>
        <w:numPr>
          <w:ilvl w:val="0"/>
          <w:numId w:val="2"/>
        </w:numPr>
        <w:spacing w:before="40" w:after="40"/>
      </w:pPr>
      <w:r>
        <w:rPr>
          <w:rFonts w:ascii="Arial" w:cs="Arial" w:eastAsia="Arial" w:hAnsi="Arial"/>
          <w:sz w:val="22"/>
          <w:szCs w:val="22"/>
        </w:rPr>
        <w:t xml:space="preserve">Monitor, measure, and improve communication processes over time — using data rather than anecdote</w:t>
      </w:r>
    </w:p>
    <w:p>
      <w:pPr>
        <w:pStyle w:val="ListParagraph"/>
        <w:numPr>
          <w:ilvl w:val="0"/>
          <w:numId w:val="2"/>
        </w:numPr>
        <w:spacing w:before="40" w:after="40"/>
      </w:pPr>
      <w:r>
        <w:rPr>
          <w:rFonts w:ascii="Arial" w:cs="Arial" w:eastAsia="Arial" w:hAnsi="Arial"/>
          <w:sz w:val="22"/>
          <w:szCs w:val="22"/>
        </w:rPr>
        <w:t xml:space="preserve">Demonstrate leadership accountability and governance — showing that communication reliability is owned at the executive level, not delegated away</w:t>
      </w:r>
    </w:p>
    <w:p>
      <w:pPr>
        <w:spacing w:before="80" w:after="0"/>
      </w:pPr>
      <w:r>
        <w:t xml:space="preserve"/>
      </w:r>
    </w:p>
    <w:p>
      <w:pPr>
        <w:spacing w:before="60" w:after="100"/>
      </w:pPr>
      <w:r>
        <w:rPr>
          <w:rFonts w:ascii="Arial" w:cs="Arial" w:eastAsia="Arial" w:hAnsi="Arial"/>
          <w:b w:val="false"/>
          <w:bCs w:val="false"/>
          <w:i w:val="false"/>
          <w:iCs w:val="false"/>
          <w:color w:val="000000"/>
          <w:sz w:val="22"/>
          <w:szCs w:val="22"/>
        </w:rPr>
        <w:t xml:space="preserve">Organizations should be able to explain how their communication processes are embedded into everyday care delivery, executed consistently, and reinforced through measurement and oversight. That is a fundamentally different standard than demonstrating that policies exist.</w:t>
      </w:r>
    </w:p>
    <w:p>
      <w:pPr>
        <w:spacing w:before="80" w:after="0"/>
      </w:pPr>
      <w:r>
        <w:t xml:space="preserve"/>
      </w:r>
    </w:p>
    <w:p>
      <w:pPr>
        <w:spacing w:before="60" w:after="100"/>
      </w:pPr>
      <w:r>
        <w:rPr>
          <w:rFonts w:ascii="Arial" w:cs="Arial" w:eastAsia="Arial" w:hAnsi="Arial"/>
          <w:b/>
          <w:bCs/>
          <w:i w:val="false"/>
          <w:iCs w:val="false"/>
          <w:color w:val="000000"/>
          <w:sz w:val="22"/>
          <w:szCs w:val="22"/>
        </w:rPr>
        <w:t xml:space="preserve">This shift has important implications for executive leadership:</w:t>
      </w:r>
    </w:p>
    <w:p>
      <w:pPr>
        <w:pStyle w:val="ListParagraph"/>
        <w:numPr>
          <w:ilvl w:val="0"/>
          <w:numId w:val="3"/>
        </w:numPr>
        <w:spacing w:before="40" w:after="40"/>
      </w:pPr>
      <w:r>
        <w:rPr>
          <w:rFonts w:ascii="Arial" w:cs="Arial" w:eastAsia="Arial" w:hAnsi="Arial"/>
          <w:b/>
          <w:bCs/>
          <w:sz w:val="22"/>
          <w:szCs w:val="22"/>
        </w:rPr>
        <w:t xml:space="preserve">First: </w:t>
      </w:r>
      <w:r>
        <w:rPr>
          <w:rFonts w:ascii="Arial" w:cs="Arial" w:eastAsia="Arial" w:hAnsi="Arial"/>
          <w:sz w:val="22"/>
          <w:szCs w:val="22"/>
        </w:rPr>
        <w:t xml:space="preserve">It reframes language access as a patient safety obligation, not a cultural or administrative accommodation. Communication failures are now explicitly recognized as contributors to adverse events, liability exposure, and preventable harm. That recognition belongs in the boardroom, not just the compliance office.</w:t>
      </w:r>
    </w:p>
    <w:p>
      <w:pPr>
        <w:pStyle w:val="ListParagraph"/>
        <w:numPr>
          <w:ilvl w:val="0"/>
          <w:numId w:val="3"/>
        </w:numPr>
        <w:spacing w:before="40" w:after="40"/>
      </w:pPr>
      <w:r>
        <w:rPr>
          <w:rFonts w:ascii="Arial" w:cs="Arial" w:eastAsia="Arial" w:hAnsi="Arial"/>
          <w:b/>
          <w:bCs/>
          <w:sz w:val="22"/>
          <w:szCs w:val="22"/>
        </w:rPr>
        <w:t xml:space="preserve">Second: </w:t>
      </w:r>
      <w:r>
        <w:rPr>
          <w:rFonts w:ascii="Arial" w:cs="Arial" w:eastAsia="Arial" w:hAnsi="Arial"/>
          <w:sz w:val="22"/>
          <w:szCs w:val="22"/>
        </w:rPr>
        <w:t xml:space="preserve">It elevates communication reliability to an organizational performance claim. Just as hospitals must demonstrate reliable infection prevention or medication reconciliation processes, they are increasingly expected to demonstrate reliable communication processes — with evidence that they hold under real operating conditions.</w:t>
      </w:r>
    </w:p>
    <w:p>
      <w:pPr>
        <w:pStyle w:val="ListParagraph"/>
        <w:numPr>
          <w:ilvl w:val="0"/>
          <w:numId w:val="3"/>
        </w:numPr>
        <w:spacing w:before="40" w:after="40"/>
      </w:pPr>
      <w:r>
        <w:rPr>
          <w:rFonts w:ascii="Arial" w:cs="Arial" w:eastAsia="Arial" w:hAnsi="Arial"/>
          <w:b/>
          <w:bCs/>
          <w:sz w:val="22"/>
          <w:szCs w:val="22"/>
        </w:rPr>
        <w:t xml:space="preserve">Third: </w:t>
      </w:r>
      <w:r>
        <w:rPr>
          <w:rFonts w:ascii="Arial" w:cs="Arial" w:eastAsia="Arial" w:hAnsi="Arial"/>
          <w:sz w:val="22"/>
          <w:szCs w:val="22"/>
        </w:rPr>
        <w:t xml:space="preserve">It exposes the limitations of traditional, compliance-driven approaches. Policies alone do not ensure reliability. Training alone does not guarantee execution under pressure. Interpreter availability alone does not mean interpreters are used. The gap between having a resource and deploying it consistently is where most organizations are currently exposed.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F0F8F7"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PROGRAM COMMITMENT</w:t>
            </w:r>
          </w:p>
          <w:p>
            <w:pPr>
              <w:spacing w:before="0" w:after="0"/>
            </w:pPr>
            <w:r>
              <w:rPr>
                <w:rFonts w:ascii="Arial" w:cs="Arial" w:eastAsia="Arial" w:hAnsi="Arial"/>
                <w:sz w:val="22"/>
                <w:szCs w:val="22"/>
              </w:rPr>
              <w:t xml:space="preserve">This program does not aim to help organizations “check the box” on regulatory requirements. Instead, it equips leaders to translate regulatory expectations into operational design decisions — decisions that shape how care is delivered, documented, and improved over time.</w:t>
            </w:r>
          </w:p>
        </w:tc>
      </w:tr>
    </w:tbl>
    <w:p>
      <w:pPr>
        <w:spacing w:before="120" w:after="0"/>
      </w:pPr>
      <w:r>
        <w:t xml:space="preserve"/>
      </w:r>
    </w:p>
    <w:p>
      <w:pPr>
        <w:pBdr>
          <w:bottom w:val="single" w:color="0E9E8C" w:sz="4" w:space="1"/>
        </w:pBdr>
        <w:spacing w:before="480" w:after="60"/>
      </w:pPr>
      <w:r>
        <w:rPr>
          <w:rFonts w:ascii="Arial" w:cs="Arial" w:eastAsia="Arial" w:hAnsi="Arial"/>
          <w:b/>
          <w:bCs/>
          <w:caps/>
          <w:color w:val="0E9E8C"/>
          <w:sz w:val="18"/>
          <w:szCs w:val="18"/>
        </w:rPr>
        <w:t xml:space="preserve">SECTION 3  </w:t>
      </w:r>
      <w:r>
        <w:rPr>
          <w:rFonts w:ascii="Arial" w:cs="Arial" w:eastAsia="Arial" w:hAnsi="Arial"/>
          <w:color w:val="4A637D"/>
          <w:sz w:val="18"/>
          <w:szCs w:val="18"/>
        </w:rPr>
        <w:t xml:space="preserve">Making Communication Performance Visible: Why the LAI Exists</w:t>
      </w:r>
    </w:p>
    <w:p>
      <w:pPr>
        <w:shd w:fill="F0F0F0" w:val="clear"/>
        <w:spacing w:before="280" w:after="80"/>
      </w:pPr>
      <w:r>
        <w:rPr>
          <w:rFonts w:ascii="Arial" w:cs="Arial" w:eastAsia="Arial" w:hAnsi="Arial"/>
          <w:b/>
          <w:bCs/>
          <w:i/>
          <w:iCs/>
          <w:color w:val="7F7F7F"/>
          <w:sz w:val="18"/>
          <w:szCs w:val="18"/>
        </w:rPr>
        <w:t xml:space="preserve">▸ ARTICULATE SCREEN: Intro screen, then interactive domain table</w:t>
      </w:r>
    </w:p>
    <w:p>
      <w:pPr>
        <w:pStyle w:val="Heading2"/>
        <w:spacing w:before="360" w:after="100"/>
      </w:pPr>
      <w:r>
        <w:rPr>
          <w:rFonts w:ascii="Arial" w:cs="Arial" w:eastAsia="Arial" w:hAnsi="Arial"/>
          <w:b/>
          <w:bCs/>
          <w:color w:val="0C1E35"/>
          <w:sz w:val="26"/>
          <w:szCs w:val="26"/>
        </w:rPr>
        <w:t xml:space="preserve">Why the Language Access Index Exists</w:t>
      </w:r>
    </w:p>
    <w:p>
      <w:pPr>
        <w:spacing w:before="60" w:after="100"/>
      </w:pPr>
      <w:r>
        <w:rPr>
          <w:rFonts w:ascii="Arial" w:cs="Arial" w:eastAsia="Arial" w:hAnsi="Arial"/>
          <w:b w:val="false"/>
          <w:bCs w:val="false"/>
          <w:i w:val="false"/>
          <w:iCs w:val="false"/>
          <w:color w:val="000000"/>
          <w:sz w:val="22"/>
          <w:szCs w:val="22"/>
        </w:rPr>
        <w:t xml:space="preserve">If communication reliability is now an organizational performance expectation, leaders need a way to see that system clearly.</w:t>
      </w:r>
    </w:p>
    <w:p>
      <w:pPr>
        <w:spacing w:before="60" w:after="100"/>
      </w:pPr>
      <w:r>
        <w:rPr>
          <w:rFonts w:ascii="Arial" w:cs="Arial" w:eastAsia="Arial" w:hAnsi="Arial"/>
          <w:b w:val="false"/>
          <w:bCs w:val="false"/>
          <w:i w:val="false"/>
          <w:iCs w:val="false"/>
          <w:color w:val="000000"/>
          <w:sz w:val="22"/>
          <w:szCs w:val="22"/>
        </w:rPr>
        <w:t xml:space="preserve">Most organizations already collect fragments of information related to communication — interpreter utilization data, patient experience scores, complaint logs, audit findings, safety reports, and cost analyses. The problem is not a shortage of data. It is a shortage of integration. These fragments exist in separate systems, measured by separate teams, and reported to separate audiences. No single picture emerges.</w:t>
      </w:r>
    </w:p>
    <w:p>
      <w:pPr>
        <w:spacing w:before="60" w:after="100"/>
      </w:pPr>
      <w:r>
        <w:rPr>
          <w:rFonts w:ascii="Arial" w:cs="Arial" w:eastAsia="Arial" w:hAnsi="Arial"/>
          <w:b w:val="false"/>
          <w:bCs w:val="false"/>
          <w:i w:val="false"/>
          <w:iCs w:val="false"/>
          <w:color w:val="000000"/>
          <w:sz w:val="22"/>
          <w:szCs w:val="22"/>
        </w:rPr>
        <w:t xml:space="preserve">The Language Access Index (LAI) was developed to address this gap.</w:t>
      </w:r>
    </w:p>
    <w:p>
      <w:pPr>
        <w:spacing w:before="60" w:after="100"/>
      </w:pPr>
      <w:r>
        <w:rPr>
          <w:rFonts w:ascii="Arial" w:cs="Arial" w:eastAsia="Arial" w:hAnsi="Arial"/>
          <w:b w:val="false"/>
          <w:bCs w:val="false"/>
          <w:i w:val="false"/>
          <w:iCs w:val="false"/>
          <w:color w:val="000000"/>
          <w:sz w:val="22"/>
          <w:szCs w:val="22"/>
        </w:rPr>
        <w:t xml:space="preserve">Grounded in NIH-funded research, stakeholder interviews, and a structured review of more than 200 peer-reviewed studies across clinical, operational, and regulatory literature, the LAI is not a checklist, a scorecard, or a compliance tracker. It is a maturity framework — a structured method for evaluating how reliably an organization delivers effective communication across the full patient journey, and where the system is most fragile.</w:t>
      </w:r>
    </w:p>
    <w:p>
      <w:pPr>
        <w:spacing w:before="80" w:after="0"/>
      </w:pPr>
      <w:r>
        <w:t xml:space="preserve"/>
      </w:r>
    </w:p>
    <w:p>
      <w:pPr>
        <w:spacing w:before="60" w:after="100"/>
      </w:pPr>
      <w:r>
        <w:rPr>
          <w:rFonts w:ascii="Arial" w:cs="Arial" w:eastAsia="Arial" w:hAnsi="Arial"/>
          <w:b/>
          <w:bCs/>
          <w:i w:val="false"/>
          <w:iCs w:val="false"/>
          <w:color w:val="000000"/>
          <w:sz w:val="22"/>
          <w:szCs w:val="22"/>
        </w:rPr>
        <w:t xml:space="preserve">Rather than isolating individual indicators, the LAI organizes communication performance into ten interdependent domains. Each domain represents a necessary organizational capability. Weakness in any single domain can compromise performance across all others.</w:t>
      </w:r>
    </w:p>
    <w:p>
      <w:pPr>
        <w:spacing w:before="60" w:after="0"/>
      </w:pPr>
      <w:r>
        <w:t xml:space="preserve"/>
      </w:r>
    </w:p>
    <w:p>
      <w:pPr>
        <w:shd w:fill="F0F0F0" w:val="clear"/>
        <w:spacing w:before="280" w:after="80"/>
      </w:pPr>
      <w:r>
        <w:rPr>
          <w:rFonts w:ascii="Arial" w:cs="Arial" w:eastAsia="Arial" w:hAnsi="Arial"/>
          <w:b/>
          <w:bCs/>
          <w:i/>
          <w:iCs/>
          <w:color w:val="7F7F7F"/>
          <w:sz w:val="18"/>
          <w:szCs w:val="18"/>
        </w:rPr>
        <w:t xml:space="preserve">▸ ARTICULATE SCREEN: Interactive table — learner can hover each domain for a one-sentence clinical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C1E35" w:val="clear"/>
            <w:tcMar>
              <w:top w:type="dxa" w:w="100"/>
              <w:left w:type="dxa" w:w="120"/>
              <w:bottom w:type="dxa" w:w="100"/>
              <w:right w:type="dxa" w:w="120"/>
            </w:tcMar>
          </w:tcPr>
          <w:p>
            <w:r>
              <w:rPr>
                <w:rFonts w:ascii="Arial" w:cs="Arial" w:eastAsia="Arial" w:hAnsi="Arial"/>
                <w:b/>
                <w:bCs/>
                <w:color w:val="FFFFFF"/>
                <w:sz w:val="22"/>
                <w:szCs w:val="22"/>
              </w:rPr>
              <w:t xml:space="preserve">LAI Domain</w:t>
            </w:r>
          </w:p>
        </w:tc>
        <w:tc>
          <w:tcPr>
            <w:tcW w:type="dxa" w:w="7160"/>
            <w:tcBorders>
              <w:top w:val="single" w:color="CCCCCC" w:sz="1"/>
              <w:left w:val="single" w:color="CCCCCC" w:sz="1"/>
              <w:bottom w:val="single" w:color="CCCCCC" w:sz="1"/>
              <w:right w:val="single" w:color="CCCCCC" w:sz="1"/>
            </w:tcBorders>
            <w:shd w:fill="0C1E35" w:val="clear"/>
            <w:tcMar>
              <w:top w:type="dxa" w:w="100"/>
              <w:left w:type="dxa" w:w="120"/>
              <w:bottom w:type="dxa" w:w="100"/>
              <w:right w:type="dxa" w:w="120"/>
            </w:tcMar>
          </w:tcPr>
          <w:p>
            <w:r>
              <w:rPr>
                <w:rFonts w:ascii="Arial" w:cs="Arial" w:eastAsia="Arial" w:hAnsi="Arial"/>
                <w:b/>
                <w:bCs/>
                <w:color w:val="FFFFFF"/>
                <w:sz w:val="22"/>
                <w:szCs w:val="22"/>
              </w:rPr>
              <w:t xml:space="preserve">What It Measures</w:t>
            </w:r>
          </w:p>
        </w:tc>
      </w:tr>
      <w:tr>
        <w:tc>
          <w:tcPr>
            <w:tcW w:type="dxa" w:w="22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1"/>
                <w:szCs w:val="21"/>
              </w:rPr>
              <w:t xml:space="preserve">Access</w:t>
            </w:r>
          </w:p>
        </w:tc>
        <w:tc>
          <w:tcPr>
            <w:tcW w:type="dxa" w:w="716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The ability to secure qualified interpreter or bilingual support without clinically significant delay, and the alignment of staff language capabilities with the LEP patient population served.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1E35"/>
                <w:sz w:val="21"/>
                <w:szCs w:val="21"/>
              </w:rPr>
              <w:t xml:space="preserve">Compliance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reliable, auditable documentation of civil rights obligations, interpreter use, language needs, and required notices across every encounter.</w:t>
            </w:r>
          </w:p>
        </w:tc>
      </w:tr>
      <w:tr>
        <w:tc>
          <w:tcPr>
            <w:tcW w:type="dxa" w:w="22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1"/>
                <w:szCs w:val="21"/>
              </w:rPr>
              <w:t xml:space="preserve">Patient Experience</w:t>
            </w:r>
          </w:p>
        </w:tc>
        <w:tc>
          <w:tcPr>
            <w:tcW w:type="dxa" w:w="716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The patient’s perception of being heard, understood, and respected during care interactions, as reflected in structured experience indicators.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1E35"/>
                <w:sz w:val="21"/>
                <w:szCs w:val="21"/>
              </w:rPr>
              <w:t xml:space="preserve">Quality &amp; Safety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identification and prevention of communication-related harm, including adverse events, safety event reporting, and hazard recognition.</w:t>
            </w:r>
          </w:p>
        </w:tc>
      </w:tr>
      <w:tr>
        <w:tc>
          <w:tcPr>
            <w:tcW w:type="dxa" w:w="22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1"/>
                <w:szCs w:val="21"/>
              </w:rPr>
              <w:t xml:space="preserve">Workforce Development</w:t>
            </w:r>
          </w:p>
        </w:tc>
        <w:tc>
          <w:tcPr>
            <w:tcW w:type="dxa" w:w="716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Staff capability, role clarity, and confidence in securing and using appropriate language services, including QBS credentialing pathways.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1E35"/>
                <w:sz w:val="21"/>
                <w:szCs w:val="21"/>
              </w:rPr>
              <w:t xml:space="preserve">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Patient adherence to treatment regimens, completion of preventive services, and measurable reductions in preventable utilization.</w:t>
            </w:r>
          </w:p>
        </w:tc>
      </w:tr>
      <w:tr>
        <w:tc>
          <w:tcPr>
            <w:tcW w:type="dxa" w:w="22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1"/>
                <w:szCs w:val="21"/>
              </w:rPr>
              <w:t xml:space="preserve">Financial Stewardship</w:t>
            </w:r>
          </w:p>
        </w:tc>
        <w:tc>
          <w:tcPr>
            <w:tcW w:type="dxa" w:w="716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Cost avoidance from reduced rework and extended stays, and revenue protection through defensible documentation of language-related services.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1E35"/>
                <w:sz w:val="21"/>
                <w:szCs w:val="21"/>
              </w:rPr>
              <w:t xml:space="preserve">Patient Engagement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Verified patient comprehension through structured methods such as teach-back, and alignment between care instructions and the patient’s preferred language.</w:t>
            </w:r>
          </w:p>
        </w:tc>
      </w:tr>
      <w:tr>
        <w:tc>
          <w:tcPr>
            <w:tcW w:type="dxa" w:w="22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1"/>
                <w:szCs w:val="21"/>
              </w:rPr>
              <w:t xml:space="preserve">Workflow Optimization</w:t>
            </w:r>
          </w:p>
        </w:tc>
        <w:tc>
          <w:tcPr>
            <w:tcW w:type="dxa" w:w="716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The degree to which communication support is embedded into clinical workflows at all seven patient touchpoints rather than added on ad hoc.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1E35"/>
                <w:sz w:val="21"/>
                <w:szCs w:val="21"/>
              </w:rPr>
              <w:t xml:space="preserve">Technology Innovation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deployment and adoption of technology to reduce delay, automate communication tasks, and support shared decision-making at the point of care.</w:t>
            </w:r>
          </w:p>
        </w:tc>
      </w:tr>
    </w:tbl>
    <w:p>
      <w:pPr>
        <w:spacing w:before="100" w:after="0"/>
      </w:pPr>
      <w:r>
        <w:t xml:space="preserve"/>
      </w:r>
    </w:p>
    <w:p>
      <w:pPr>
        <w:spacing w:before="60" w:after="100"/>
      </w:pPr>
      <w:r>
        <w:rPr>
          <w:rFonts w:ascii="Arial" w:cs="Arial" w:eastAsia="Arial" w:hAnsi="Arial"/>
          <w:b w:val="false"/>
          <w:bCs w:val="false"/>
          <w:i w:val="false"/>
          <w:iCs w:val="false"/>
          <w:color w:val="000000"/>
          <w:sz w:val="22"/>
          <w:szCs w:val="22"/>
        </w:rPr>
        <w:t xml:space="preserve">Each domain reflects patterns repeatedly documented in the literature: where communication breaks down, how those failures translate into harm or cost, and what types of organizational investment are most likely to produce durable improvement.</w:t>
      </w:r>
    </w:p>
    <w:p>
      <w:pPr>
        <w:spacing w:before="60" w:after="100"/>
      </w:pPr>
      <w:r>
        <w:rPr>
          <w:rFonts w:ascii="Arial" w:cs="Arial" w:eastAsia="Arial" w:hAnsi="Arial"/>
          <w:b w:val="false"/>
          <w:bCs w:val="false"/>
          <w:i w:val="false"/>
          <w:iCs w:val="false"/>
          <w:color w:val="000000"/>
          <w:sz w:val="22"/>
          <w:szCs w:val="22"/>
        </w:rPr>
        <w:t xml:space="preserve">Importantly, these domains do not operate independently. Communication failures rarely stem from a single broken component. They arise when multiple capabilities are misaligned at the same moment in care — for example, when a patient's language need is identified (Access) but the interaction is not documented (Compliance), the provider proceeds without verification (Patient Engagement), and the discharge instructions are provided in the wrong language (Outcomes). Each domain's failure multiplies the others.</w:t>
      </w:r>
    </w:p>
    <w:p>
      <w:pPr>
        <w:spacing w:before="80" w:after="0"/>
      </w:pPr>
      <w:r>
        <w:t xml:space="preserve"/>
      </w:r>
    </w:p>
    <w:p>
      <w:pPr>
        <w:spacing w:before="60" w:after="100"/>
      </w:pPr>
      <w:r>
        <w:rPr>
          <w:rFonts w:ascii="Arial" w:cs="Arial" w:eastAsia="Arial" w:hAnsi="Arial"/>
          <w:b w:val="false"/>
          <w:bCs w:val="false"/>
          <w:i w:val="false"/>
          <w:iCs w:val="false"/>
          <w:color w:val="000000"/>
          <w:sz w:val="22"/>
          <w:szCs w:val="22"/>
        </w:rPr>
        <w:t xml:space="preserve">The LAI makes this system visible. It introduces the concept of maturity — recognizing that organizations progress through identifiable stages as communication processes become more standardized, integrated, and measurable. Maturity is not about perfection. It is about reliability under real-world conditions: high volume, time pressure, staffing variability, and competing priorities. A mature communication system delivers consistent results not because everything goes right, but because it is designed to catch and correct when things go wrong.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HOW YOU WILL USE THE LAI IN THIS PROGRAM</w:t>
            </w:r>
          </w:p>
          <w:p>
            <w:pPr>
              <w:spacing w:before="0" w:after="0"/>
            </w:pPr>
            <w:r>
              <w:rPr>
                <w:rFonts w:ascii="Arial" w:cs="Arial" w:eastAsia="Arial" w:hAnsi="Arial"/>
                <w:sz w:val="22"/>
                <w:szCs w:val="22"/>
              </w:rPr>
              <w:t xml:space="preserve">Throughout this program, the LAI serves as a shared language — allowing executives, clinicians, compliance leaders, and operational teams to reason about communication performance using a common framework. Each module applies specific LAI domains to a different moment in the patient journey, building toward an integrated understanding of where your organization’s communication system is strong, where it is fragile, and what it would take to reach the next level of reliability.</w:t>
            </w:r>
          </w:p>
        </w:tc>
      </w:tr>
    </w:tbl>
    <w:p>
      <w:pPr>
        <w:spacing w:before="120" w:after="0"/>
      </w:pPr>
      <w:r>
        <w:t xml:space="preserve"/>
      </w:r>
    </w:p>
    <w:p>
      <w:pPr>
        <w:pBdr>
          <w:bottom w:val="single" w:color="0E9E8C" w:sz="4" w:space="1"/>
        </w:pBdr>
        <w:spacing w:before="480" w:after="60"/>
      </w:pPr>
      <w:r>
        <w:rPr>
          <w:rFonts w:ascii="Arial" w:cs="Arial" w:eastAsia="Arial" w:hAnsi="Arial"/>
          <w:b/>
          <w:bCs/>
          <w:caps/>
          <w:color w:val="0E9E8C"/>
          <w:sz w:val="18"/>
          <w:szCs w:val="18"/>
        </w:rPr>
        <w:t xml:space="preserve">SECTION 4  </w:t>
      </w:r>
      <w:r>
        <w:rPr>
          <w:rFonts w:ascii="Arial" w:cs="Arial" w:eastAsia="Arial" w:hAnsi="Arial"/>
          <w:color w:val="4A637D"/>
          <w:sz w:val="18"/>
          <w:szCs w:val="18"/>
        </w:rPr>
        <w:t xml:space="preserve">The Patient Journey as the Organizing Spine of Communication Reliability</w:t>
      </w:r>
    </w:p>
    <w:p>
      <w:pPr>
        <w:shd w:fill="F0F0F0" w:val="clear"/>
        <w:spacing w:before="280" w:after="80"/>
      </w:pPr>
      <w:r>
        <w:rPr>
          <w:rFonts w:ascii="Arial" w:cs="Arial" w:eastAsia="Arial" w:hAnsi="Arial"/>
          <w:b/>
          <w:bCs/>
          <w:i/>
          <w:iCs/>
          <w:color w:val="7F7F7F"/>
          <w:sz w:val="18"/>
          <w:szCs w:val="18"/>
        </w:rPr>
        <w:t xml:space="preserve">▸ ARTICULATE SCREEN: Workflow graphic with clickable hotspots — one per touchpoint</w:t>
      </w:r>
    </w:p>
    <w:p>
      <w:pPr>
        <w:pStyle w:val="Heading2"/>
        <w:spacing w:before="360" w:after="100"/>
      </w:pPr>
      <w:r>
        <w:rPr>
          <w:rFonts w:ascii="Arial" w:cs="Arial" w:eastAsia="Arial" w:hAnsi="Arial"/>
          <w:b/>
          <w:bCs/>
          <w:color w:val="0C1E35"/>
          <w:sz w:val="26"/>
          <w:szCs w:val="26"/>
        </w:rPr>
        <w:t xml:space="preserve">The Patient Journey — and the Tiered Decision Cycle</w:t>
      </w:r>
    </w:p>
    <w:p>
      <w:pPr>
        <w:spacing w:before="60" w:after="100"/>
      </w:pPr>
      <w:r>
        <w:rPr>
          <w:rFonts w:ascii="Arial" w:cs="Arial" w:eastAsia="Arial" w:hAnsi="Arial"/>
          <w:b w:val="false"/>
          <w:bCs w:val="false"/>
          <w:i w:val="false"/>
          <w:iCs w:val="false"/>
          <w:color w:val="000000"/>
          <w:sz w:val="22"/>
          <w:szCs w:val="22"/>
        </w:rPr>
        <w:t xml:space="preserve">The CLEAR program translates the Language Access Index from a conceptual framework into practical execution at the point of care. Rather than organizing learning around abstract domains or isolated metrics, the program is deliberately aligned to the actual patient journey — the sequence of moments in which communication either succeeds or fails.</w:t>
      </w:r>
    </w:p>
    <w:p>
      <w:pPr>
        <w:spacing w:before="60" w:after="100"/>
      </w:pPr>
      <w:r>
        <w:rPr>
          <w:rFonts w:ascii="Arial" w:cs="Arial" w:eastAsia="Arial" w:hAnsi="Arial"/>
          <w:b w:val="false"/>
          <w:bCs w:val="false"/>
          <w:i w:val="false"/>
          <w:iCs w:val="false"/>
          <w:color w:val="000000"/>
          <w:sz w:val="22"/>
          <w:szCs w:val="22"/>
        </w:rPr>
        <w:t xml:space="preserve">Every patient, regardless of diagnosis or setting, encounters the same core communication-dependent stages as they move through the health system. These stages represent predictable points of risk, where the consequences of communication failure are most severe and the opportunity for improvement is most direct.</w:t>
      </w:r>
    </w:p>
    <w:p>
      <w:pPr>
        <w:spacing w:before="80" w:after="0"/>
      </w:pPr>
      <w:r>
        <w:t xml:space="preserve"/>
      </w:r>
    </w:p>
    <w:p>
      <w:pPr>
        <w:spacing w:before="60" w:after="100"/>
      </w:pPr>
      <w:r>
        <w:rPr>
          <w:rFonts w:ascii="Arial" w:cs="Arial" w:eastAsia="Arial" w:hAnsi="Arial"/>
          <w:b/>
          <w:bCs/>
          <w:i w:val="false"/>
          <w:iCs w:val="false"/>
          <w:color w:val="000000"/>
          <w:sz w:val="22"/>
          <w:szCs w:val="22"/>
        </w:rPr>
        <w:t xml:space="preserve">Each module in the program is organized around one of seven critical communication touchpoints:</w:t>
      </w:r>
    </w:p>
    <w:p>
      <w:pPr>
        <w:spacing w:before="40" w:after="0"/>
      </w:pPr>
      <w:r>
        <w:t xml:space="preserve"/>
      </w:r>
    </w:p>
    <w:p>
      <w:pPr>
        <w:shd w:fill="F0F0F0" w:val="clear"/>
        <w:spacing w:before="280" w:after="80"/>
      </w:pPr>
      <w:r>
        <w:rPr>
          <w:rFonts w:ascii="Arial" w:cs="Arial" w:eastAsia="Arial" w:hAnsi="Arial"/>
          <w:b/>
          <w:bCs/>
          <w:i/>
          <w:iCs/>
          <w:color w:val="7F7F7F"/>
          <w:sz w:val="18"/>
          <w:szCs w:val="18"/>
        </w:rPr>
        <w:t xml:space="preserve">▸ ARTICULATE SCREEN: Clickable hotspot interaction on workflow diagram — each touchpoint expands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TOUCHPOINT 1: Pre-Arrival &amp; Scheduling</w:t>
            </w:r>
          </w:p>
          <w:p>
            <w:pPr>
              <w:spacing w:before="0" w:after="0"/>
            </w:pPr>
            <w:r>
              <w:rPr>
                <w:rFonts w:ascii="Arial" w:cs="Arial" w:eastAsia="Arial" w:hAnsi="Arial"/>
                <w:sz w:val="22"/>
                <w:szCs w:val="22"/>
              </w:rPr>
              <w:t xml:space="preserve">Language access is essential for appointment scheduling, confirmation, referral instruction comprehension, pre-visit preparation, and early identification of language needs.
This is the first opportunity to reduce downstream friction and delay.
Risk if missed: Missed appointments, late arrivals, rescheduling, care delays, and avoidable operational inefficiency.
Primary LAI Domains: Access · Workflow Optimization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TOUCHPOINT 2: Pre-Assessment (Triage)</w:t>
            </w:r>
          </w:p>
          <w:p>
            <w:pPr>
              <w:spacing w:before="0" w:after="0"/>
            </w:pPr>
            <w:r>
              <w:rPr>
                <w:rFonts w:ascii="Arial" w:cs="Arial" w:eastAsia="Arial" w:hAnsi="Arial"/>
                <w:sz w:val="22"/>
                <w:szCs w:val="22"/>
              </w:rPr>
              <w:t xml:space="preserve">Language access is essential for symptom description, history taking, allergy and medication reconciliation, and risk stratification.
This is one of the highest-risk points for preventable harm.
Risk if missed: Misdiagnosis, delayed treatment, inappropriate triage decisions, adverse events, and liability exposure.
Primary LAI Domains: Access · Quality &amp; Safety · Compliance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TOUCHPOINT 3: Clinical Evaluation (H&amp;P, Diagnostic Review)</w:t>
            </w:r>
          </w:p>
          <w:p>
            <w:pPr>
              <w:spacing w:before="0" w:after="0"/>
            </w:pPr>
            <w:r>
              <w:rPr>
                <w:rFonts w:ascii="Arial" w:cs="Arial" w:eastAsia="Arial" w:hAnsi="Arial"/>
                <w:sz w:val="22"/>
                <w:szCs w:val="22"/>
              </w:rPr>
              <w:t xml:space="preserve">Language access is essential for detailed history-taking, explanation of diagnostic tests, informed consent, and shared diagnostic decision-making.
This touchpoint directly influences clinical accuracy and treatment trajectory.
Risk if missed: Incorrect diagnoses, unnecessary testing, delayed interventions, patient harm, and regulatory non-compliance.
Primary LAI Domains: Quality &amp; Safety · Patient Experience · Compliance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TOUCHPOINT 4: RN / Patient Care Assistant Check-Ins</w:t>
            </w:r>
          </w:p>
          <w:p>
            <w:pPr>
              <w:spacing w:before="0" w:after="0"/>
            </w:pPr>
            <w:r>
              <w:rPr>
                <w:rFonts w:ascii="Arial" w:cs="Arial" w:eastAsia="Arial" w:hAnsi="Arial"/>
                <w:sz w:val="22"/>
                <w:szCs w:val="22"/>
              </w:rPr>
              <w:t xml:space="preserve">Language access is essential for symptom updates, pain assessment, medication understanding, reinforcement of care plans, and reasonable accommodations (diet, religious observance, cultural needs).
Communication reliability must be sustained over time — not treated as a one-time event.
Risk if missed: Deterioration without detection, medication errors, repeated rework, unmet patient needs, staff frustration, and safety events.
Primary LAI Domains: Workflow Optimization · Workforce Development · Patient Experience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TOUCHPOINT 5: Discharge Planning</w:t>
            </w:r>
          </w:p>
          <w:p>
            <w:pPr>
              <w:spacing w:before="0" w:after="0"/>
            </w:pPr>
            <w:r>
              <w:rPr>
                <w:rFonts w:ascii="Arial" w:cs="Arial" w:eastAsia="Arial" w:hAnsi="Arial"/>
                <w:sz w:val="22"/>
                <w:szCs w:val="22"/>
              </w:rPr>
              <w:t xml:space="preserve">Language access is essential for explanation of discharge criteria, medication changes and reconciliation, follow-up appointments, and identification of barriers to safe discharge.
This is a high-stakes transition point with direct cost and safety implications.
Risk if missed: Unsafe discharge, extended length of stay, discharge delays, readmissions, and preventable utilization.
Primary LAI Domains: Patient Engagement · Outcomes · Financial Stewardship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TOUCHPOINT 6: Patient Education</w:t>
            </w:r>
          </w:p>
          <w:p>
            <w:pPr>
              <w:spacing w:before="0" w:after="0"/>
            </w:pPr>
            <w:r>
              <w:rPr>
                <w:rFonts w:ascii="Arial" w:cs="Arial" w:eastAsia="Arial" w:hAnsi="Arial"/>
                <w:sz w:val="22"/>
                <w:szCs w:val="22"/>
              </w:rPr>
              <w:t xml:space="preserve">Language access is essential for teach-back and verification of understanding, warning signs and escalation instructions, self-care and treatment adherence, and use of equipment, medications, or devices.
Understanding — not merely information delivery — is the goal.
Risk if missed: Poor adherence, confusion at home, adverse events, return visits, and dissatisfaction.
Primary LAI Domains: Patient Engagement · Outcomes · Quality &amp; Safety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TOUCHPOINT 7: Post-Discharge Follow-Up</w:t>
            </w:r>
          </w:p>
          <w:p>
            <w:pPr>
              <w:spacing w:before="0" w:after="0"/>
            </w:pPr>
            <w:r>
              <w:rPr>
                <w:rFonts w:ascii="Arial" w:cs="Arial" w:eastAsia="Arial" w:hAnsi="Arial"/>
                <w:sz w:val="22"/>
                <w:szCs w:val="22"/>
              </w:rPr>
              <w:t xml:space="preserve">Language access is essential for post-discharge check-ins, addressing questions or emerging concerns, reinforcement of follow-up plans, and prevention of avoidable escalation.
This touchpoint determines whether earlier communication efforts hold or unravel.
Risk if missed: Unresolved issues, avoidable readmissions, patient complaints, and increased total cost of care.
Primary LAI Domains: Outcomes · Patient Engagement · Financial Stewardship</w:t>
            </w:r>
          </w:p>
        </w:tc>
      </w:tr>
    </w:tbl>
    <w:p>
      <w:pPr>
        <w:spacing w:before="100" w:after="0"/>
      </w:pPr>
      <w:r>
        <w:t xml:space="preserve"/>
      </w:r>
    </w:p>
    <w:p>
      <w:pPr>
        <w:spacing w:before="240" w:after="80"/>
      </w:pPr>
      <w:r>
        <w:rPr>
          <w:rFonts w:ascii="Arial" w:cs="Arial" w:eastAsia="Arial" w:hAnsi="Arial"/>
          <w:b/>
          <w:bCs/>
          <w:color w:val="4A637D"/>
          <w:sz w:val="24"/>
          <w:szCs w:val="24"/>
        </w:rPr>
        <w:t xml:space="preserve">From Touchpoints to Tasks — and the 70% Automation Opportunity</w:t>
      </w:r>
    </w:p>
    <w:p>
      <w:pPr>
        <w:spacing w:before="60" w:after="100"/>
      </w:pPr>
      <w:r>
        <w:rPr>
          <w:rFonts w:ascii="Arial" w:cs="Arial" w:eastAsia="Arial" w:hAnsi="Arial"/>
          <w:b w:val="false"/>
          <w:bCs w:val="false"/>
          <w:i w:val="false"/>
          <w:iCs w:val="false"/>
          <w:color w:val="000000"/>
          <w:sz w:val="22"/>
          <w:szCs w:val="22"/>
        </w:rPr>
        <w:t xml:space="preserve">Embedded within each of these workflow stages are dozens of discrete, observable tasks that directly shape communication quality, patient safety, documentation integrity, and operational efficiency.</w:t>
      </w:r>
    </w:p>
    <w:p>
      <w:pPr>
        <w:spacing w:before="60" w:after="100"/>
      </w:pPr>
      <w:r>
        <w:rPr>
          <w:rFonts w:ascii="Arial" w:cs="Arial" w:eastAsia="Arial" w:hAnsi="Arial"/>
          <w:b w:val="false"/>
          <w:bCs w:val="false"/>
          <w:i w:val="false"/>
          <w:iCs w:val="false"/>
          <w:color w:val="000000"/>
          <w:sz w:val="22"/>
          <w:szCs w:val="22"/>
        </w:rPr>
        <w:t xml:space="preserve">Task analysis conducted as part of the NIH-funded research underpinning the LAI found that approximately 70% of these tasks can be automated or technologically supported. When these tasks rely solely on manual staff effort, performance is inconsistent, dependent on individual initiative, and invisible to measurement. When they are embedded into workflow design — supported by automation, documentation templates, and decision triggers — consistency improves and burden decreases.</w:t>
      </w:r>
    </w:p>
    <w:p>
      <w:pPr>
        <w:spacing w:before="60" w:after="100"/>
      </w:pPr>
      <w:r>
        <w:rPr>
          <w:rFonts w:ascii="Arial" w:cs="Arial" w:eastAsia="Arial" w:hAnsi="Arial"/>
          <w:b w:val="false"/>
          <w:bCs w:val="false"/>
          <w:i w:val="false"/>
          <w:iCs w:val="false"/>
          <w:color w:val="000000"/>
          <w:sz w:val="22"/>
          <w:szCs w:val="22"/>
        </w:rPr>
        <w:t xml:space="preserve">This is a central design insight of the program: communication reliability improves not by adding more responsibilities to already burdened teams, but by redesigning how existing work gets done.</w:t>
      </w:r>
    </w:p>
    <w:p>
      <w:pPr>
        <w:spacing w:before="80" w:after="0"/>
      </w:pPr>
      <w:r>
        <w:t xml:space="preserve"/>
      </w:r>
    </w:p>
    <w:p>
      <w:pPr>
        <w:spacing w:before="240" w:after="80"/>
      </w:pPr>
      <w:r>
        <w:rPr>
          <w:rFonts w:ascii="Arial" w:cs="Arial" w:eastAsia="Arial" w:hAnsi="Arial"/>
          <w:b/>
          <w:bCs/>
          <w:color w:val="4A637D"/>
          <w:sz w:val="24"/>
          <w:szCs w:val="24"/>
        </w:rPr>
        <w:t xml:space="preserve">The Tiered Decision Cycle</w:t>
      </w:r>
    </w:p>
    <w:p>
      <w:pPr>
        <w:spacing w:before="60" w:after="100"/>
      </w:pPr>
      <w:r>
        <w:rPr>
          <w:rFonts w:ascii="Arial" w:cs="Arial" w:eastAsia="Arial" w:hAnsi="Arial"/>
          <w:b w:val="false"/>
          <w:bCs w:val="false"/>
          <w:i w:val="false"/>
          <w:iCs w:val="false"/>
          <w:color w:val="000000"/>
          <w:sz w:val="22"/>
          <w:szCs w:val="22"/>
        </w:rPr>
        <w:t xml:space="preserve">As you move through each module, you will apply the same three-step reasoning process — called the Tiered Decision Cycle — to each touchpoint in the patient journey:</w:t>
      </w:r>
    </w:p>
    <w:p>
      <w:pPr>
        <w:pStyle w:val="ListParagraph"/>
        <w:numPr>
          <w:ilvl w:val="0"/>
          <w:numId w:val="3"/>
        </w:numPr>
        <w:spacing w:before="40" w:after="40"/>
      </w:pPr>
      <w:r>
        <w:rPr>
          <w:rFonts w:ascii="Arial" w:cs="Arial" w:eastAsia="Arial" w:hAnsi="Arial"/>
          <w:sz w:val="22"/>
          <w:szCs w:val="22"/>
        </w:rPr>
        <w:t xml:space="preserve">Tier 1 — Assess: What does our current performance look like at this touchpoint? (Self-assessment and perception)</w:t>
      </w:r>
    </w:p>
    <w:p>
      <w:pPr>
        <w:pStyle w:val="ListParagraph"/>
        <w:numPr>
          <w:ilvl w:val="0"/>
          <w:numId w:val="3"/>
        </w:numPr>
        <w:spacing w:before="40" w:after="40"/>
      </w:pPr>
      <w:r>
        <w:rPr>
          <w:rFonts w:ascii="Arial" w:cs="Arial" w:eastAsia="Arial" w:hAnsi="Arial"/>
          <w:sz w:val="22"/>
          <w:szCs w:val="22"/>
        </w:rPr>
        <w:t xml:space="preserve">Tier 2 — Hypothesize: What do we believe is driving our performance — or underperformance — at this stage? (Structured hypothesis formation)</w:t>
      </w:r>
    </w:p>
    <w:p>
      <w:pPr>
        <w:pStyle w:val="ListParagraph"/>
        <w:numPr>
          <w:ilvl w:val="0"/>
          <w:numId w:val="3"/>
        </w:numPr>
        <w:spacing w:before="40" w:after="40"/>
      </w:pPr>
      <w:r>
        <w:rPr>
          <w:rFonts w:ascii="Arial" w:cs="Arial" w:eastAsia="Arial" w:hAnsi="Arial"/>
          <w:sz w:val="22"/>
          <w:szCs w:val="22"/>
        </w:rPr>
        <w:t xml:space="preserve">Tier 3 — Validate: What does the evidence actually show when we test those hypotheses against data? (Empirical analysis and statistical testing)</w:t>
      </w:r>
    </w:p>
    <w:p>
      <w:pPr>
        <w:spacing w:before="60" w:after="0"/>
      </w:pPr>
      <w:r>
        <w:t xml:space="preserve"/>
      </w:r>
    </w:p>
    <w:p>
      <w:pPr>
        <w:spacing w:before="60" w:after="100"/>
      </w:pPr>
      <w:r>
        <w:rPr>
          <w:rFonts w:ascii="Arial" w:cs="Arial" w:eastAsia="Arial" w:hAnsi="Arial"/>
          <w:b w:val="false"/>
          <w:bCs w:val="false"/>
          <w:i w:val="false"/>
          <w:iCs w:val="false"/>
          <w:color w:val="000000"/>
          <w:sz w:val="22"/>
          <w:szCs w:val="22"/>
        </w:rPr>
        <w:t xml:space="preserve">This cycle repeats across every module, building your capacity to reason about communication performance not from intuition or anecdote, but from structured observation, declared assumptions, and evidence. Each completed cycle contributes a building block to your Customized Action Plan (CAP).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DESIGN PRINCIPLE</w:t>
            </w:r>
          </w:p>
          <w:p>
            <w:pPr>
              <w:spacing w:before="0" w:after="0"/>
            </w:pPr>
            <w:r>
              <w:rPr>
                <w:rFonts w:ascii="Arial" w:cs="Arial" w:eastAsia="Arial" w:hAnsi="Arial"/>
                <w:sz w:val="22"/>
                <w:szCs w:val="22"/>
              </w:rPr>
              <w:t xml:space="preserve">Communication failures rarely stem from a single missed action. They emerge when multiple small breakdowns occur across a workflow stage — often invisibly — until harm, delay, or rework becomes unavoidable. The program’s workflow-aligned structure enables leaders to see how early failures propagate downstream, missed handoffs amplify risk, and documentation gaps undermine safety, compliance, and financial performance simultaneously.</w:t>
            </w:r>
          </w:p>
        </w:tc>
      </w:tr>
    </w:tbl>
    <w:p>
      <w:pPr>
        <w:spacing w:before="120" w:after="0"/>
      </w:pPr>
      <w:r>
        <w:t xml:space="preserve"/>
      </w:r>
    </w:p>
    <w:p>
      <w:pPr>
        <w:pBdr>
          <w:bottom w:val="single" w:color="0E9E8C" w:sz="4" w:space="1"/>
        </w:pBdr>
        <w:spacing w:before="480" w:after="60"/>
      </w:pPr>
      <w:r>
        <w:rPr>
          <w:rFonts w:ascii="Arial" w:cs="Arial" w:eastAsia="Arial" w:hAnsi="Arial"/>
          <w:b/>
          <w:bCs/>
          <w:caps/>
          <w:color w:val="0E9E8C"/>
          <w:sz w:val="18"/>
          <w:szCs w:val="18"/>
        </w:rPr>
        <w:t xml:space="preserve">SECTION 5  </w:t>
      </w:r>
      <w:r>
        <w:rPr>
          <w:rFonts w:ascii="Arial" w:cs="Arial" w:eastAsia="Arial" w:hAnsi="Arial"/>
          <w:color w:val="4A637D"/>
          <w:sz w:val="18"/>
          <w:szCs w:val="18"/>
        </w:rPr>
        <w:t xml:space="preserve">The LAI Navigation Platform</w:t>
      </w:r>
    </w:p>
    <w:p>
      <w:pPr>
        <w:shd w:fill="F0F0F0" w:val="clear"/>
        <w:spacing w:before="280" w:after="80"/>
      </w:pPr>
      <w:r>
        <w:rPr>
          <w:rFonts w:ascii="Arial" w:cs="Arial" w:eastAsia="Arial" w:hAnsi="Arial"/>
          <w:b/>
          <w:bCs/>
          <w:i/>
          <w:iCs/>
          <w:color w:val="7F7F7F"/>
          <w:sz w:val="18"/>
          <w:szCs w:val="18"/>
        </w:rPr>
        <w:t xml:space="preserve">▸ ARTICULATE SCREEN: Embedded platform — full functionality. Learner completes guided exploration steps.</w:t>
      </w:r>
    </w:p>
    <w:p>
      <w:pPr>
        <w:pStyle w:val="Heading2"/>
        <w:spacing w:before="360" w:after="100"/>
      </w:pPr>
      <w:r>
        <w:rPr>
          <w:rFonts w:ascii="Arial" w:cs="Arial" w:eastAsia="Arial" w:hAnsi="Arial"/>
          <w:b/>
          <w:bCs/>
          <w:color w:val="0C1E35"/>
          <w:sz w:val="26"/>
          <w:szCs w:val="26"/>
        </w:rPr>
        <w:t xml:space="preserve">Your First Interaction with the LAI Navigation Platform</w:t>
      </w:r>
    </w:p>
    <w:p>
      <w:pPr>
        <w:spacing w:before="60" w:after="100"/>
      </w:pPr>
      <w:r>
        <w:rPr>
          <w:rFonts w:ascii="Arial" w:cs="Arial" w:eastAsia="Arial" w:hAnsi="Arial"/>
          <w:b w:val="false"/>
          <w:bCs w:val="false"/>
          <w:i w:val="false"/>
          <w:iCs w:val="false"/>
          <w:color w:val="000000"/>
          <w:sz w:val="22"/>
          <w:szCs w:val="22"/>
        </w:rPr>
        <w:t xml:space="preserve">Below you will find the LAI Navigation Platform — embedded and fully functional. This is your first opportunity to interact directly with the system that will support decision-making throughout the program.</w:t>
      </w:r>
    </w:p>
    <w:p>
      <w:pPr>
        <w:spacing w:before="60" w:after="100"/>
      </w:pPr>
      <w:r>
        <w:rPr>
          <w:rFonts w:ascii="Arial" w:cs="Arial" w:eastAsia="Arial" w:hAnsi="Arial"/>
          <w:b w:val="false"/>
          <w:bCs w:val="false"/>
          <w:i w:val="false"/>
          <w:iCs w:val="false"/>
          <w:color w:val="000000"/>
          <w:sz w:val="22"/>
          <w:szCs w:val="22"/>
        </w:rPr>
        <w:t xml:space="preserve">At this stage, your goal is orientation, not analysis. You are not being asked to interpret scores, explain domain performance, or draw conclusions about your organization. You are being asked to become familiar with how the platform is structured, what each component is designed to do, and how to navigate it responsibly as an executive leader.</w:t>
      </w:r>
    </w:p>
    <w:p>
      <w:pPr>
        <w:pBdr>
          <w:left w:val="single" w:color="0E9E8C" w:sz="16" w:space="10"/>
        </w:pBdr>
        <w:spacing w:before="180" w:after="180"/>
        <w:ind w:left="720" w:right="720"/>
      </w:pPr>
      <w:r>
        <w:rPr>
          <w:rFonts w:ascii="Arial" w:cs="Arial" w:eastAsia="Arial" w:hAnsi="Arial"/>
          <w:b/>
          <w:bCs/>
          <w:i/>
          <w:iCs/>
          <w:color w:val="0C1E35"/>
          <w:sz w:val="24"/>
          <w:szCs w:val="24"/>
        </w:rPr>
        <w:t xml:space="preserve">“This platform is an instrument panel, not a verdict. Its value depends entirely on how it is used — not how quickly it is interpreted.”</w:t>
      </w:r>
    </w:p>
    <w:p>
      <w:pPr>
        <w:spacing w:before="60" w:after="100"/>
      </w:pPr>
      <w:r>
        <w:rPr>
          <w:rFonts w:ascii="Arial" w:cs="Arial" w:eastAsia="Arial" w:hAnsi="Arial"/>
          <w:b w:val="false"/>
          <w:bCs w:val="false"/>
          <w:i w:val="false"/>
          <w:iCs w:val="false"/>
          <w:color w:val="000000"/>
          <w:sz w:val="22"/>
          <w:szCs w:val="22"/>
        </w:rPr>
        <w:t xml:space="preserve">The LAI Navigation Platform is intentionally designed to support executive reasoning under uncertainty. Used correctly, it sharpens judgment. Used prematurely, it can reinforce bias or prompt reactive decisions. This section will guide you through what to explore now, what to notice, and what to leave for later modules.</w:t>
      </w:r>
    </w:p>
    <w:p>
      <w:pPr>
        <w:spacing w:before="80" w:after="0"/>
      </w:pPr>
      <w:r>
        <w:t xml:space="preserve"/>
      </w:r>
    </w:p>
    <w:p>
      <w:pPr>
        <w:spacing w:before="240" w:after="80"/>
      </w:pPr>
      <w:r>
        <w:rPr>
          <w:rFonts w:ascii="Arial" w:cs="Arial" w:eastAsia="Arial" w:hAnsi="Arial"/>
          <w:b/>
          <w:bCs/>
          <w:color w:val="4A637D"/>
          <w:sz w:val="24"/>
          <w:szCs w:val="24"/>
        </w:rPr>
        <w:t xml:space="preserve">Platform Architecture: Four Components</w:t>
      </w:r>
    </w:p>
    <w:p>
      <w:pPr>
        <w:spacing w:before="60" w:after="100"/>
      </w:pPr>
      <w:r>
        <w:rPr>
          <w:rFonts w:ascii="Arial" w:cs="Arial" w:eastAsia="Arial" w:hAnsi="Arial"/>
          <w:b w:val="false"/>
          <w:bCs w:val="false"/>
          <w:i w:val="false"/>
          <w:iCs w:val="false"/>
          <w:color w:val="000000"/>
          <w:sz w:val="22"/>
          <w:szCs w:val="22"/>
        </w:rPr>
        <w:t xml:space="preserve">The platform contains four tabs. Each serves a distinct purpose in the Tiered Decision Cycle.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0C1E35"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1800"/>
            <w:tcBorders>
              <w:top w:val="single" w:color="CCCCCC" w:sz="1"/>
              <w:left w:val="single" w:color="CCCCCC" w:sz="1"/>
              <w:bottom w:val="single" w:color="CCCCCC" w:sz="1"/>
              <w:right w:val="single" w:color="CCCCCC" w:sz="1"/>
            </w:tcBorders>
            <w:shd w:fill="0C1E3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20"/>
            <w:tcBorders>
              <w:top w:val="single" w:color="CCCCCC" w:sz="1"/>
              <w:left w:val="single" w:color="CCCCCC" w:sz="1"/>
              <w:bottom w:val="single" w:color="CCCCCC" w:sz="1"/>
              <w:right w:val="single" w:color="CCCCCC" w:sz="1"/>
            </w:tcBorders>
            <w:shd w:fill="0C1E3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44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E9E8C"/>
                <w:sz w:val="21"/>
                <w:szCs w:val="21"/>
              </w:rPr>
              <w:t xml:space="preserve">Tier 1</w:t>
            </w:r>
          </w:p>
        </w:tc>
        <w:tc>
          <w:tcPr>
            <w:tcW w:type="dxa" w:w="18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1"/>
                <w:szCs w:val="21"/>
              </w:rPr>
              <w:t xml:space="preserve">Self-Assessment</w:t>
            </w:r>
          </w:p>
        </w:tc>
        <w:tc>
          <w:tcPr>
            <w:tcW w:type="dxa" w:w="612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Surfaces your organization’s current LAI score and domain-level profile based on self-reported inputs. Shows the overall LAI Preparedness Pulse gauge, pillar-level scores across all 10 domains, and the current maturity stage and stage gate. This is Tier 1 of the Decision Cycle: perception. At this stage, scores reflect what your organization believes about its own performance — before that belief is tested.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E8C"/>
                <w:sz w:val="21"/>
                <w:szCs w:val="21"/>
              </w:rPr>
              <w:t xml:space="preserve">Tier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1E35"/>
                <w:sz w:val="21"/>
                <w:szCs w:val="21"/>
              </w:rPr>
              <w:t xml:space="preserve">Hypothesis Builder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Structures your reasoning about what is driving performance in each domain. Prompts you to write responses to four domain-specific questions per pillar, forming explicit hypotheses before you examine evidence. This is Tier 2 of the Decision Cycle: hypothesis formation. Completing this step before viewing Tier 3 is essential — it surfaces assumptions that the data will then confirm, challenge, or refine.</w:t>
            </w:r>
          </w:p>
        </w:tc>
      </w:tr>
      <w:tr>
        <w:tc>
          <w:tcPr>
            <w:tcW w:type="dxa" w:w="144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E9E8C"/>
                <w:sz w:val="21"/>
                <w:szCs w:val="21"/>
              </w:rPr>
              <w:t xml:space="preserve">Tier 3</w:t>
            </w:r>
          </w:p>
        </w:tc>
        <w:tc>
          <w:tcPr>
            <w:tcW w:type="dxa" w:w="18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1"/>
                <w:szCs w:val="21"/>
              </w:rPr>
              <w:t xml:space="preserve">Performance Review</w:t>
            </w:r>
          </w:p>
        </w:tc>
        <w:tc>
          <w:tcPr>
            <w:tcW w:type="dxa" w:w="612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Tests your Tier 2 hypotheses against actual encounter data using three embedded statistical methods: Chi-square tests for comparing group proportions, Mann-Whitney U tests for comparing medians between two groups, and Kruskal-Wallis tests for comparing medians across three or more groups. Each test returns a verdict (Supported / Partially Supported / Not Supported), a quantified finding, and three layers of expert analysis: Obvious Takeaway, Nuanced Insight, and Actionable Recommendation. This is Tier 3 of the Decision Cycle: evidence validation.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E8C"/>
                <w:sz w:val="21"/>
                <w:szCs w:val="21"/>
              </w:rPr>
              <w:t xml:space="preserve">Exercises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1E35"/>
                <w:sz w:val="21"/>
                <w:szCs w:val="21"/>
              </w:rPr>
              <w:t xml:space="preserve">Module Simulations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Contains 18 hands-on statistical simulation exercises — three per substantive module. Each exercise walks you through a real clinical scenario, asks for your prediction, runs the appropriate statistical test against the sample dataset, and guides your interpretation with expert feedback. These exercises are where the statistical findings from Tier 3 become actionable leadership insights.</w:t>
            </w:r>
          </w:p>
        </w:tc>
      </w:tr>
    </w:tbl>
    <w:p>
      <w:pPr>
        <w:spacing w:before="100" w:after="0"/>
      </w:pPr>
      <w:r>
        <w:t xml:space="preserve"/>
      </w:r>
    </w:p>
    <w:p>
      <w:pPr>
        <w:spacing w:before="240" w:after="80"/>
      </w:pPr>
      <w:r>
        <w:rPr>
          <w:rFonts w:ascii="Arial" w:cs="Arial" w:eastAsia="Arial" w:hAnsi="Arial"/>
          <w:b/>
          <w:bCs/>
          <w:color w:val="4A637D"/>
          <w:sz w:val="24"/>
          <w:szCs w:val="24"/>
        </w:rPr>
        <w:t xml:space="preserve">Step 1 — Identify the Four Tabs (Do This First)</w:t>
      </w:r>
    </w:p>
    <w:p>
      <w:pPr>
        <w:spacing w:before="60" w:after="100"/>
      </w:pPr>
      <w:r>
        <w:rPr>
          <w:rFonts w:ascii="Arial" w:cs="Arial" w:eastAsia="Arial" w:hAnsi="Arial"/>
          <w:b w:val="false"/>
          <w:bCs w:val="false"/>
          <w:i w:val="false"/>
          <w:iCs w:val="false"/>
          <w:color w:val="000000"/>
          <w:sz w:val="22"/>
          <w:szCs w:val="22"/>
        </w:rPr>
        <w:t xml:space="preserve">Open the platform and locate the four tabs: Tier 1 · Self-Assessment, Tier 2 · Hypothesis Builder, Tier 3 · Performance Review, and Exercises · Module Simulations.</w:t>
      </w:r>
    </w:p>
    <w:p>
      <w:pPr>
        <w:spacing w:before="60" w:after="100"/>
      </w:pPr>
      <w:r>
        <w:rPr>
          <w:rFonts w:ascii="Arial" w:cs="Arial" w:eastAsia="Arial" w:hAnsi="Arial"/>
          <w:b w:val="false"/>
          <w:bCs w:val="false"/>
          <w:i w:val="false"/>
          <w:iCs w:val="false"/>
          <w:color w:val="000000"/>
          <w:sz w:val="22"/>
          <w:szCs w:val="22"/>
        </w:rPr>
        <w:t xml:space="preserve">Click into Tier 1. Observe the overall structure without interpreting it. Notice: the LAI Preparedness Pulse gauge at the top, the 10 domain-level pillar scores, and the maturity stage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E1A" w:sz="8"/>
              <w:left w:val="single" w:color="D48E1A" w:sz="16"/>
              <w:bottom w:val="single" w:color="CCCCCC" w:sz="1"/>
              <w:right w:val="single" w:color="CCCCCC" w:sz="1"/>
            </w:tcBorders>
            <w:shd w:fill="FFF8E1" w:val="clear"/>
            <w:tcMar>
              <w:top w:type="dxa" w:w="120"/>
              <w:left w:type="dxa" w:w="180"/>
              <w:bottom w:type="dxa" w:w="120"/>
              <w:right w:type="dxa" w:w="180"/>
            </w:tcMar>
          </w:tcPr>
          <w:p>
            <w:pPr>
              <w:spacing w:before="0" w:after="60"/>
            </w:pPr>
            <w:r>
              <w:rPr>
                <w:rFonts w:ascii="Arial" w:cs="Arial" w:eastAsia="Arial" w:hAnsi="Arial"/>
                <w:b/>
                <w:bCs/>
                <w:caps/>
                <w:color w:val="D48E1A"/>
                <w:sz w:val="20"/>
                <w:szCs w:val="20"/>
              </w:rPr>
              <w:t xml:space="preserve">WHAT NOT TO DO YET</w:t>
            </w:r>
          </w:p>
          <w:p>
            <w:pPr>
              <w:spacing w:before="0" w:after="0"/>
            </w:pPr>
            <w:r>
              <w:rPr>
                <w:rFonts w:ascii="Arial" w:cs="Arial" w:eastAsia="Arial" w:hAnsi="Arial"/>
                <w:sz w:val="22"/>
                <w:szCs w:val="22"/>
              </w:rPr>
              <w:t xml:space="preserve">Do not judge whether scores are good or bad. Do not try to explain why a domain is high or low. At this stage, Tier 1 serves as a mirror of perception — a reflection of how performance appears before evidence is tested. You will interpret these scores in the context of each module as the program progresses.</w:t>
            </w:r>
          </w:p>
        </w:tc>
      </w:tr>
    </w:tbl>
    <w:p>
      <w:pPr>
        <w:spacing w:before="80" w:after="0"/>
      </w:pPr>
      <w:r>
        <w:t xml:space="preserve"/>
      </w:r>
    </w:p>
    <w:p>
      <w:pPr>
        <w:spacing w:before="240" w:after="80"/>
      </w:pPr>
      <w:r>
        <w:rPr>
          <w:rFonts w:ascii="Arial" w:cs="Arial" w:eastAsia="Arial" w:hAnsi="Arial"/>
          <w:b/>
          <w:bCs/>
          <w:color w:val="4A637D"/>
          <w:sz w:val="24"/>
          <w:szCs w:val="24"/>
        </w:rPr>
        <w:t xml:space="preserve">Step 2 — Upload the Sample Patient Dataset</w:t>
      </w:r>
    </w:p>
    <w:p>
      <w:pPr>
        <w:spacing w:before="60" w:after="100"/>
      </w:pPr>
      <w:r>
        <w:rPr>
          <w:rFonts w:ascii="Arial" w:cs="Arial" w:eastAsia="Arial" w:hAnsi="Arial"/>
          <w:b w:val="false"/>
          <w:bCs w:val="false"/>
          <w:i w:val="false"/>
          <w:iCs w:val="false"/>
          <w:color w:val="000000"/>
          <w:sz w:val="22"/>
          <w:szCs w:val="22"/>
        </w:rPr>
        <w:t xml:space="preserve">You will also find a downloadable Sample Patient Dataset available in Tier 3. Download and upload it to activate the platform’s full Tier 3 and Exercises functionality.</w:t>
      </w:r>
    </w:p>
    <w:p>
      <w:pPr>
        <w:spacing w:before="60" w:after="100"/>
      </w:pPr>
      <w:r>
        <w:rPr>
          <w:rFonts w:ascii="Arial" w:cs="Arial" w:eastAsia="Arial" w:hAnsi="Arial"/>
          <w:b w:val="false"/>
          <w:bCs w:val="false"/>
          <w:i w:val="false"/>
          <w:iCs w:val="false"/>
          <w:color w:val="000000"/>
          <w:sz w:val="22"/>
          <w:szCs w:val="22"/>
        </w:rPr>
        <w:t xml:space="preserve">The sample dataset represents Q1 2026 and contains 1,000 simulated LEP encounters across five service lines (ED, Inpatient, OB, Behavioral Health, and Outpatient) and 85 variables. It includes:</w:t>
      </w:r>
    </w:p>
    <w:p>
      <w:pPr>
        <w:pStyle w:val="ListParagraph"/>
        <w:numPr>
          <w:ilvl w:val="0"/>
          <w:numId w:val="2"/>
        </w:numPr>
        <w:spacing w:before="40" w:after="40"/>
      </w:pPr>
      <w:r>
        <w:rPr>
          <w:rFonts w:ascii="Arial" w:cs="Arial" w:eastAsia="Arial" w:hAnsi="Arial"/>
          <w:sz w:val="22"/>
          <w:szCs w:val="22"/>
        </w:rPr>
        <w:t xml:space="preserve">Communication access and timeliness — interpreter requests, modality, request and start timestamps, and calculated delays</w:t>
      </w:r>
    </w:p>
    <w:p>
      <w:pPr>
        <w:pStyle w:val="ListParagraph"/>
        <w:numPr>
          <w:ilvl w:val="0"/>
          <w:numId w:val="2"/>
        </w:numPr>
        <w:spacing w:before="40" w:after="40"/>
      </w:pPr>
      <w:r>
        <w:rPr>
          <w:rFonts w:ascii="Arial" w:cs="Arial" w:eastAsia="Arial" w:hAnsi="Arial"/>
          <w:sz w:val="22"/>
          <w:szCs w:val="22"/>
        </w:rPr>
        <w:t xml:space="preserve">Workflow touchpoint documentation — whether communication support was present and recorded at each of the seven care stages</w:t>
      </w:r>
    </w:p>
    <w:p>
      <w:pPr>
        <w:pStyle w:val="ListParagraph"/>
        <w:numPr>
          <w:ilvl w:val="0"/>
          <w:numId w:val="2"/>
        </w:numPr>
        <w:spacing w:before="40" w:after="40"/>
      </w:pPr>
      <w:r>
        <w:rPr>
          <w:rFonts w:ascii="Arial" w:cs="Arial" w:eastAsia="Arial" w:hAnsi="Arial"/>
          <w:sz w:val="22"/>
          <w:szCs w:val="22"/>
        </w:rPr>
        <w:t xml:space="preserve">Patient engagement indicators — teach-back documentation, preferred language and discharge instruction alignment</w:t>
      </w:r>
    </w:p>
    <w:p>
      <w:pPr>
        <w:pStyle w:val="ListParagraph"/>
        <w:numPr>
          <w:ilvl w:val="0"/>
          <w:numId w:val="2"/>
        </w:numPr>
        <w:spacing w:before="40" w:after="40"/>
      </w:pPr>
      <w:r>
        <w:rPr>
          <w:rFonts w:ascii="Arial" w:cs="Arial" w:eastAsia="Arial" w:hAnsi="Arial"/>
          <w:sz w:val="22"/>
          <w:szCs w:val="22"/>
        </w:rPr>
        <w:t xml:space="preserve">Compliance and safety signals — Section 1557 documentation, adverse event flags, and safety event reporting</w:t>
      </w:r>
    </w:p>
    <w:p>
      <w:pPr>
        <w:pStyle w:val="ListParagraph"/>
        <w:numPr>
          <w:ilvl w:val="0"/>
          <w:numId w:val="2"/>
        </w:numPr>
        <w:spacing w:before="40" w:after="40"/>
      </w:pPr>
      <w:r>
        <w:rPr>
          <w:rFonts w:ascii="Arial" w:cs="Arial" w:eastAsia="Arial" w:hAnsi="Arial"/>
          <w:sz w:val="22"/>
          <w:szCs w:val="22"/>
        </w:rPr>
        <w:t xml:space="preserve">Utilization and outcomes — preventive service completion, 30-day readmissions, and follow-up indicators</w:t>
      </w:r>
    </w:p>
    <w:p>
      <w:pPr>
        <w:pStyle w:val="ListParagraph"/>
        <w:numPr>
          <w:ilvl w:val="0"/>
          <w:numId w:val="2"/>
        </w:numPr>
        <w:spacing w:before="40" w:after="40"/>
      </w:pPr>
      <w:r>
        <w:rPr>
          <w:rFonts w:ascii="Arial" w:cs="Arial" w:eastAsia="Arial" w:hAnsi="Arial"/>
          <w:sz w:val="22"/>
          <w:szCs w:val="22"/>
        </w:rPr>
        <w:t xml:space="preserve">Workforce and technology data — QBS qualification, training currency, interpreter modality, and tech integration level</w:t>
      </w:r>
    </w:p>
    <w:p>
      <w:pPr>
        <w:pStyle w:val="ListParagraph"/>
        <w:numPr>
          <w:ilvl w:val="0"/>
          <w:numId w:val="2"/>
        </w:numPr>
        <w:spacing w:before="40" w:after="40"/>
      </w:pPr>
      <w:r>
        <w:rPr>
          <w:rFonts w:ascii="Arial" w:cs="Arial" w:eastAsia="Arial" w:hAnsi="Arial"/>
          <w:sz w:val="22"/>
          <w:szCs w:val="22"/>
        </w:rPr>
        <w:t xml:space="preserve">Revenue cycle signals — CPT/HCPCS documentation sufficiency, rework burden indicators, and missed reimbursement flags</w:t>
      </w:r>
    </w:p>
    <w:p>
      <w:pPr>
        <w:spacing w:before="60" w:after="0"/>
      </w:pPr>
      <w:r>
        <w:t xml:space="preserve"/>
      </w:r>
    </w:p>
    <w:p>
      <w:pPr>
        <w:spacing w:before="60" w:after="100"/>
      </w:pPr>
      <w:r>
        <w:rPr>
          <w:rFonts w:ascii="Arial" w:cs="Arial" w:eastAsia="Arial" w:hAnsi="Arial"/>
          <w:b w:val="false"/>
          <w:bCs w:val="false"/>
          <w:i w:val="false"/>
          <w:iCs w:val="false"/>
          <w:color w:val="000000"/>
          <w:sz w:val="22"/>
          <w:szCs w:val="22"/>
        </w:rPr>
        <w:t xml:space="preserve">When uploaded, the dataset activates Tier 3’s hypothesis testing panel and all 18 module simulation exercises. You will return to this dataset throughout the program to practice stratification, statistical testing, and governance decision-making.</w:t>
      </w:r>
    </w:p>
    <w:p>
      <w:pPr>
        <w:spacing w:before="80" w:after="0"/>
      </w:pPr>
      <w:r>
        <w:t xml:space="preserve"/>
      </w:r>
    </w:p>
    <w:p>
      <w:pPr>
        <w:spacing w:before="240" w:after="80"/>
      </w:pPr>
      <w:r>
        <w:rPr>
          <w:rFonts w:ascii="Arial" w:cs="Arial" w:eastAsia="Arial" w:hAnsi="Arial"/>
          <w:b/>
          <w:bCs/>
          <w:color w:val="4A637D"/>
          <w:sz w:val="24"/>
          <w:szCs w:val="24"/>
        </w:rPr>
        <w:t xml:space="preserve">Step 3 — Notice What Changes Across Tiers (and What Does Not)</w:t>
      </w:r>
    </w:p>
    <w:p>
      <w:pPr>
        <w:spacing w:before="60" w:after="100"/>
      </w:pPr>
      <w:r>
        <w:rPr>
          <w:rFonts w:ascii="Arial" w:cs="Arial" w:eastAsia="Arial" w:hAnsi="Arial"/>
          <w:b w:val="false"/>
          <w:bCs w:val="false"/>
          <w:i w:val="false"/>
          <w:iCs w:val="false"/>
          <w:color w:val="000000"/>
          <w:sz w:val="22"/>
          <w:szCs w:val="22"/>
        </w:rPr>
        <w:t xml:space="preserve">As you move between tiers, observe: the same 10 domains appear throughout. The same system is being viewed from different angles. What changes is the type of reasoning required, not the subject matter.</w:t>
      </w:r>
    </w:p>
    <w:p>
      <w:pPr>
        <w:spacing w:before="60" w:after="100"/>
      </w:pPr>
      <w:r>
        <w:rPr>
          <w:rFonts w:ascii="Arial" w:cs="Arial" w:eastAsia="Arial" w:hAnsi="Arial"/>
          <w:b w:val="false"/>
          <w:bCs w:val="false"/>
          <w:i w:val="false"/>
          <w:iCs w:val="false"/>
          <w:color w:val="000000"/>
          <w:sz w:val="22"/>
          <w:szCs w:val="22"/>
        </w:rPr>
        <w:t xml:space="preserve">Tier 1 surfaces perception. Tier 2 structures judgment. Tier 3 validates reality.</w:t>
      </w:r>
    </w:p>
    <w:p>
      <w:pPr>
        <w:spacing w:before="60" w:after="100"/>
      </w:pPr>
      <w:r>
        <w:rPr>
          <w:rFonts w:ascii="Arial" w:cs="Arial" w:eastAsia="Arial" w:hAnsi="Arial"/>
          <w:b w:val="false"/>
          <w:bCs w:val="false"/>
          <w:i w:val="false"/>
          <w:iCs w:val="false"/>
          <w:color w:val="000000"/>
          <w:sz w:val="22"/>
          <w:szCs w:val="22"/>
        </w:rPr>
        <w:t xml:space="preserve">Holding these distinctions is essential to using the platform well — and essential to the leadership reasoning this program is designed to build.</w:t>
      </w:r>
    </w:p>
    <w:p>
      <w:pPr>
        <w:spacing w:before="80" w:after="0"/>
      </w:pPr>
      <w:r>
        <w:t xml:space="preserve"/>
      </w:r>
    </w:p>
    <w:p>
      <w:pPr>
        <w:spacing w:before="240" w:after="80"/>
      </w:pPr>
      <w:r>
        <w:rPr>
          <w:rFonts w:ascii="Arial" w:cs="Arial" w:eastAsia="Arial" w:hAnsi="Arial"/>
          <w:b/>
          <w:bCs/>
          <w:color w:val="4A637D"/>
          <w:sz w:val="24"/>
          <w:szCs w:val="24"/>
        </w:rPr>
        <w:t xml:space="preserve">Step 4 — Preview the Exercises Tab (Do Not Run Exercises Yet)</w:t>
      </w:r>
    </w:p>
    <w:p>
      <w:pPr>
        <w:spacing w:before="60" w:after="100"/>
      </w:pPr>
      <w:r>
        <w:rPr>
          <w:rFonts w:ascii="Arial" w:cs="Arial" w:eastAsia="Arial" w:hAnsi="Arial"/>
          <w:b w:val="false"/>
          <w:bCs w:val="false"/>
          <w:i w:val="false"/>
          <w:iCs w:val="false"/>
          <w:color w:val="000000"/>
          <w:sz w:val="22"/>
          <w:szCs w:val="22"/>
        </w:rPr>
        <w:t xml:space="preserve">Click into the Exercises tab. You will see six module-specific exercise sets, each containing three hands-on statistical simulations. Browse the Module 1 exercises to understand the structure: clinical context, a prediction question, statistical results, and a guided interpretation with expert feedback.</w:t>
      </w:r>
    </w:p>
    <w:p>
      <w:pPr>
        <w:spacing w:before="60" w:after="100"/>
      </w:pPr>
      <w:r>
        <w:rPr>
          <w:rFonts w:ascii="Arial" w:cs="Arial" w:eastAsia="Arial" w:hAnsi="Arial"/>
          <w:b w:val="false"/>
          <w:bCs w:val="false"/>
          <w:i w:val="false"/>
          <w:iCs w:val="false"/>
          <w:color w:val="000000"/>
          <w:sz w:val="22"/>
          <w:szCs w:val="22"/>
        </w:rPr>
        <w:t xml:space="preserve">You will work through these exercises in sequence as the program progresses. For now, simply register that the platform’s exercise functionality is designed to make statistical evidence legible and actionable for executive leaders — without requiring statistical expertise.</w:t>
      </w:r>
    </w:p>
    <w:p>
      <w:pPr>
        <w:spacing w:before="120" w:after="0"/>
      </w:pPr>
      <w:r>
        <w:t xml:space="preserve"/>
      </w:r>
    </w:p>
    <w:p>
      <w:pPr>
        <w:pBdr>
          <w:bottom w:val="single" w:color="0E9E8C" w:sz="4" w:space="1"/>
        </w:pBdr>
        <w:spacing w:before="480" w:after="60"/>
      </w:pPr>
      <w:r>
        <w:rPr>
          <w:rFonts w:ascii="Arial" w:cs="Arial" w:eastAsia="Arial" w:hAnsi="Arial"/>
          <w:b/>
          <w:bCs/>
          <w:caps/>
          <w:color w:val="0E9E8C"/>
          <w:sz w:val="18"/>
          <w:szCs w:val="18"/>
        </w:rPr>
        <w:t xml:space="preserve">SECTION 6  </w:t>
      </w:r>
      <w:r>
        <w:rPr>
          <w:rFonts w:ascii="Arial" w:cs="Arial" w:eastAsia="Arial" w:hAnsi="Arial"/>
          <w:color w:val="4A637D"/>
          <w:sz w:val="18"/>
          <w:szCs w:val="18"/>
        </w:rPr>
        <w:t xml:space="preserve">The Executive Agenda: Ten Questions That Will Guide This Program</w:t>
      </w:r>
    </w:p>
    <w:p>
      <w:pPr>
        <w:shd w:fill="F0F0F0" w:val="clear"/>
        <w:spacing w:before="280" w:after="80"/>
      </w:pPr>
      <w:r>
        <w:rPr>
          <w:rFonts w:ascii="Arial" w:cs="Arial" w:eastAsia="Arial" w:hAnsi="Arial"/>
          <w:b/>
          <w:bCs/>
          <w:i/>
          <w:iCs/>
          <w:color w:val="7F7F7F"/>
          <w:sz w:val="18"/>
          <w:szCs w:val="18"/>
        </w:rPr>
        <w:t xml:space="preserve">▸ ARTICULATE SCREEN: Screen 1 of 3 — category introduction. Screen 2 — interactive question table. Screen 3 — reflection preview.</w:t>
      </w:r>
    </w:p>
    <w:p>
      <w:pPr>
        <w:pStyle w:val="Heading2"/>
        <w:spacing w:before="360" w:after="100"/>
      </w:pPr>
      <w:r>
        <w:rPr>
          <w:rFonts w:ascii="Arial" w:cs="Arial" w:eastAsia="Arial" w:hAnsi="Arial"/>
          <w:b/>
          <w:bCs/>
          <w:color w:val="0C1E35"/>
          <w:sz w:val="26"/>
          <w:szCs w:val="26"/>
        </w:rPr>
        <w:t xml:space="preserve">The Questions This Program Is Designed to Answer</w:t>
      </w:r>
    </w:p>
    <w:p>
      <w:pPr>
        <w:spacing w:before="60" w:after="100"/>
      </w:pPr>
      <w:r>
        <w:rPr>
          <w:rFonts w:ascii="Arial" w:cs="Arial" w:eastAsia="Arial" w:hAnsi="Arial"/>
          <w:b w:val="false"/>
          <w:bCs w:val="false"/>
          <w:i w:val="false"/>
          <w:iCs w:val="false"/>
          <w:color w:val="000000"/>
          <w:sz w:val="22"/>
          <w:szCs w:val="22"/>
        </w:rPr>
        <w:t xml:space="preserve">By this point in the orientation, you have been introduced to the operating reality that drives communication failures, the regulatory and safety inflection point, the Language Access Index as an evidence-based framework, the patient journey as the organizing spine of care delivery, the Tiered Decision Cycle as the reasoning method you will apply in each module, and the LAI Navigation Platform as the decision-support tool.</w:t>
      </w:r>
    </w:p>
    <w:p>
      <w:pPr>
        <w:spacing w:before="60" w:after="100"/>
      </w:pPr>
      <w:r>
        <w:rPr>
          <w:rFonts w:ascii="Arial" w:cs="Arial" w:eastAsia="Arial" w:hAnsi="Arial"/>
          <w:b w:val="false"/>
          <w:bCs w:val="false"/>
          <w:i w:val="false"/>
          <w:iCs w:val="false"/>
          <w:color w:val="000000"/>
          <w:sz w:val="22"/>
          <w:szCs w:val="22"/>
        </w:rPr>
        <w:t xml:space="preserve">What remains is to make the executive agenda explicit.</w:t>
      </w:r>
    </w:p>
    <w:p>
      <w:pPr>
        <w:spacing w:before="60" w:after="100"/>
      </w:pPr>
      <w:r>
        <w:rPr>
          <w:rFonts w:ascii="Arial" w:cs="Arial" w:eastAsia="Arial" w:hAnsi="Arial"/>
          <w:b w:val="false"/>
          <w:bCs w:val="false"/>
          <w:i w:val="false"/>
          <w:iCs w:val="false"/>
          <w:color w:val="000000"/>
          <w:sz w:val="22"/>
          <w:szCs w:val="22"/>
        </w:rPr>
        <w:t xml:space="preserve">This program is not designed to teach you new questions. It is designed to help you answer the same questions that leaders already face — more clearly, more defensibly, and with greater operational precision. Across the modules that follow, you will repeatedly return to a core set of ten questions. Each module will deepen your ability to answer them by applying the Tiered Decision Cycle to a different stage of the patient journey.</w:t>
      </w:r>
    </w:p>
    <w:p>
      <w:pPr>
        <w:spacing w:before="80" w:after="0"/>
      </w:pPr>
      <w:r>
        <w:t xml:space="preserve"/>
      </w:r>
    </w:p>
    <w:p>
      <w:pPr>
        <w:spacing w:before="60" w:after="100"/>
      </w:pPr>
      <w:r>
        <w:rPr>
          <w:rFonts w:ascii="Arial" w:cs="Arial" w:eastAsia="Arial" w:hAnsi="Arial"/>
          <w:b/>
          <w:bCs/>
          <w:i w:val="false"/>
          <w:iCs w:val="false"/>
          <w:color w:val="000000"/>
          <w:sz w:val="22"/>
          <w:szCs w:val="22"/>
        </w:rPr>
        <w:t xml:space="preserve">These ten questions fall into four categories: Risk, Reliability, Value, and Action.</w:t>
      </w:r>
    </w:p>
    <w:p>
      <w:pPr>
        <w:spacing w:before="60" w:after="0"/>
      </w:pPr>
      <w:r>
        <w:t xml:space="preserve"/>
      </w:r>
    </w:p>
    <w:p>
      <w:pPr>
        <w:shd w:fill="F0F0F0" w:val="clear"/>
        <w:spacing w:before="280" w:after="80"/>
      </w:pPr>
      <w:r>
        <w:rPr>
          <w:rFonts w:ascii="Arial" w:cs="Arial" w:eastAsia="Arial" w:hAnsi="Arial"/>
          <w:b/>
          <w:bCs/>
          <w:i/>
          <w:iCs/>
          <w:color w:val="7F7F7F"/>
          <w:sz w:val="18"/>
          <w:szCs w:val="18"/>
        </w:rPr>
        <w:t xml:space="preserve">▸ ARTICULATE SCREEN: Interactive table — learner clicks each row to expand with module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0"/>
        <w:gridCol w:w="7420"/>
      </w:tblGrid>
      <w:tr>
        <w:tc>
          <w:tcPr>
            <w:tcW w:type="dxa" w:w="1440"/>
            <w:tcBorders>
              <w:top w:val="single" w:color="CCCCCC" w:sz="1"/>
              <w:left w:val="single" w:color="CCCCCC" w:sz="1"/>
              <w:bottom w:val="single" w:color="CCCCCC" w:sz="1"/>
              <w:right w:val="single" w:color="CCCCCC" w:sz="1"/>
            </w:tcBorders>
            <w:shd w:fill="0C1E3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00"/>
            <w:tcBorders>
              <w:top w:val="single" w:color="CCCCCC" w:sz="1"/>
              <w:left w:val="single" w:color="CCCCCC" w:sz="1"/>
              <w:bottom w:val="single" w:color="CCCCCC" w:sz="1"/>
              <w:right w:val="single" w:color="CCCCCC" w:sz="1"/>
            </w:tcBorders>
            <w:shd w:fill="0C1E35"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7420"/>
            <w:tcBorders>
              <w:top w:val="single" w:color="CCCCCC" w:sz="1"/>
              <w:left w:val="single" w:color="CCCCCC" w:sz="1"/>
              <w:bottom w:val="single" w:color="CCCCCC" w:sz="1"/>
              <w:right w:val="single" w:color="CCCCCC" w:sz="1"/>
            </w:tcBorders>
            <w:shd w:fill="0C1E35" w:val="clear"/>
            <w:tcMar>
              <w:top w:type="dxa" w:w="80"/>
              <w:left w:type="dxa" w:w="120"/>
              <w:bottom w:type="dxa" w:w="80"/>
              <w:right w:type="dxa" w:w="120"/>
            </w:tcMar>
          </w:tcPr>
          <w:p>
            <w:r>
              <w:rPr>
                <w:rFonts w:ascii="Arial" w:cs="Arial" w:eastAsia="Arial" w:hAnsi="Arial"/>
                <w:b/>
                <w:bCs/>
                <w:color w:val="FFFFFF"/>
                <w:sz w:val="20"/>
                <w:szCs w:val="20"/>
              </w:rPr>
              <w:t xml:space="preserve">Executive Question</w:t>
            </w:r>
          </w:p>
        </w:tc>
      </w:tr>
      <w:tr>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aps/>
                <w:color w:val="C94040"/>
                <w:sz w:val="19"/>
                <w:szCs w:val="19"/>
              </w:rPr>
              <w:t xml:space="preserve">RISK</w:t>
            </w:r>
          </w:p>
        </w:tc>
        <w:tc>
          <w:tcPr>
            <w:tcW w:type="dxa" w:w="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94040"/>
                <w:sz w:val="22"/>
                <w:szCs w:val="22"/>
              </w:rPr>
              <w:t xml:space="preserve">1</w:t>
            </w:r>
          </w:p>
        </w:tc>
        <w:tc>
          <w:tcPr>
            <w:tcW w:type="dxa" w:w="74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1"/>
                <w:szCs w:val="21"/>
              </w:rPr>
              <w:t xml:space="preserve">Where are we actually exposed right now—even if our averages look acceptable?</w:t>
            </w:r>
          </w:p>
        </w:tc>
      </w:tr>
      <w:tr>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aps/>
                <w:color w:val="C94040"/>
                <w:sz w:val="19"/>
                <w:szCs w:val="19"/>
              </w:rPr>
              <w:t xml:space="preserve">RISK</w:t>
            </w:r>
          </w:p>
        </w:tc>
        <w:tc>
          <w:tcPr>
            <w:tcW w:type="dxa" w:w="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94040"/>
                <w:sz w:val="22"/>
                <w:szCs w:val="22"/>
              </w:rPr>
              <w:t xml:space="preserve">2</w:t>
            </w:r>
          </w:p>
        </w:tc>
        <w:tc>
          <w:tcPr>
            <w:tcW w:type="dxa" w:w="74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1"/>
                <w:szCs w:val="21"/>
              </w:rPr>
              <w:t xml:space="preserve">Which patient populations would experience harm first if we do not intervene?</w:t>
            </w:r>
          </w:p>
        </w:tc>
      </w:tr>
      <w:tr>
        <w:tc>
          <w:tcPr>
            <w:tcW w:type="dxa" w:w="1440"/>
            <w:tcBorders>
              <w:top w:val="single" w:color="CCCCCC" w:sz="1"/>
              <w:left w:val="single" w:color="CCCCCC" w:sz="1"/>
              <w:bottom w:val="single" w:color="CCCCCC" w:sz="1"/>
              <w:right w:val="single" w:color="CCCCCC" w:sz="1"/>
            </w:tcBorders>
            <w:shd w:fill="E8F8F6" w:val="clear"/>
            <w:tcMar>
              <w:top w:type="dxa" w:w="80"/>
              <w:left w:type="dxa" w:w="120"/>
              <w:bottom w:type="dxa" w:w="80"/>
              <w:right w:type="dxa" w:w="120"/>
            </w:tcMar>
          </w:tcPr>
          <w:p>
            <w:r>
              <w:rPr>
                <w:rFonts w:ascii="Arial" w:cs="Arial" w:eastAsia="Arial" w:hAnsi="Arial"/>
                <w:b/>
                <w:bCs/>
                <w:caps/>
                <w:color w:val="0E9E8C"/>
                <w:sz w:val="19"/>
                <w:szCs w:val="19"/>
              </w:rPr>
              <w:t xml:space="preserve">RELIABILITY</w:t>
            </w:r>
          </w:p>
        </w:tc>
        <w:tc>
          <w:tcPr>
            <w:tcW w:type="dxa" w:w="500"/>
            <w:tcBorders>
              <w:top w:val="single" w:color="CCCCCC" w:sz="1"/>
              <w:left w:val="single" w:color="CCCCCC" w:sz="1"/>
              <w:bottom w:val="single" w:color="CCCCCC" w:sz="1"/>
              <w:right w:val="single" w:color="CCCCCC" w:sz="1"/>
            </w:tcBorders>
            <w:shd w:fill="E8F8F6" w:val="clear"/>
            <w:tcMar>
              <w:top w:type="dxa" w:w="80"/>
              <w:left w:type="dxa" w:w="120"/>
              <w:bottom w:type="dxa" w:w="80"/>
              <w:right w:type="dxa" w:w="120"/>
            </w:tcMar>
          </w:tcPr>
          <w:p>
            <w:r>
              <w:rPr>
                <w:rFonts w:ascii="Arial" w:cs="Arial" w:eastAsia="Arial" w:hAnsi="Arial"/>
                <w:b/>
                <w:bCs/>
                <w:color w:val="0E9E8C"/>
                <w:sz w:val="22"/>
                <w:szCs w:val="22"/>
              </w:rPr>
              <w:t xml:space="preserve">3</w:t>
            </w:r>
          </w:p>
        </w:tc>
        <w:tc>
          <w:tcPr>
            <w:tcW w:type="dxa" w:w="7420"/>
            <w:tcBorders>
              <w:top w:val="single" w:color="CCCCCC" w:sz="1"/>
              <w:left w:val="single" w:color="CCCCCC" w:sz="1"/>
              <w:bottom w:val="single" w:color="CCCCCC" w:sz="1"/>
              <w:right w:val="single" w:color="CCCCCC" w:sz="1"/>
            </w:tcBorders>
            <w:shd w:fill="E8F8F6" w:val="clear"/>
            <w:tcMar>
              <w:top w:type="dxa" w:w="80"/>
              <w:left w:type="dxa" w:w="120"/>
              <w:bottom w:type="dxa" w:w="80"/>
              <w:right w:type="dxa" w:w="120"/>
            </w:tcMar>
          </w:tcPr>
          <w:p>
            <w:r>
              <w:rPr>
                <w:rFonts w:ascii="Arial" w:cs="Arial" w:eastAsia="Arial" w:hAnsi="Arial"/>
                <w:sz w:val="21"/>
                <w:szCs w:val="21"/>
              </w:rPr>
              <w:t xml:space="preserve">Which single pillar is preventing us from claiming the next level of organizational maturity?</w:t>
            </w:r>
          </w:p>
        </w:tc>
      </w:tr>
      <w:tr>
        <w:tc>
          <w:tcPr>
            <w:tcW w:type="dxa" w:w="1440"/>
            <w:tcBorders>
              <w:top w:val="single" w:color="CCCCCC" w:sz="1"/>
              <w:left w:val="single" w:color="CCCCCC" w:sz="1"/>
              <w:bottom w:val="single" w:color="CCCCCC" w:sz="1"/>
              <w:right w:val="single" w:color="CCCCCC" w:sz="1"/>
            </w:tcBorders>
            <w:shd w:fill="E8F8F6" w:val="clear"/>
            <w:tcMar>
              <w:top w:type="dxa" w:w="80"/>
              <w:left w:type="dxa" w:w="120"/>
              <w:bottom w:type="dxa" w:w="80"/>
              <w:right w:type="dxa" w:w="120"/>
            </w:tcMar>
          </w:tcPr>
          <w:p>
            <w:r>
              <w:rPr>
                <w:rFonts w:ascii="Arial" w:cs="Arial" w:eastAsia="Arial" w:hAnsi="Arial"/>
                <w:b/>
                <w:bCs/>
                <w:caps/>
                <w:color w:val="0E9E8C"/>
                <w:sz w:val="19"/>
                <w:szCs w:val="19"/>
              </w:rPr>
              <w:t xml:space="preserve">RELIABILITY</w:t>
            </w:r>
          </w:p>
        </w:tc>
        <w:tc>
          <w:tcPr>
            <w:tcW w:type="dxa" w:w="500"/>
            <w:tcBorders>
              <w:top w:val="single" w:color="CCCCCC" w:sz="1"/>
              <w:left w:val="single" w:color="CCCCCC" w:sz="1"/>
              <w:bottom w:val="single" w:color="CCCCCC" w:sz="1"/>
              <w:right w:val="single" w:color="CCCCCC" w:sz="1"/>
            </w:tcBorders>
            <w:shd w:fill="E8F8F6" w:val="clear"/>
            <w:tcMar>
              <w:top w:type="dxa" w:w="80"/>
              <w:left w:type="dxa" w:w="120"/>
              <w:bottom w:type="dxa" w:w="80"/>
              <w:right w:type="dxa" w:w="120"/>
            </w:tcMar>
          </w:tcPr>
          <w:p>
            <w:r>
              <w:rPr>
                <w:rFonts w:ascii="Arial" w:cs="Arial" w:eastAsia="Arial" w:hAnsi="Arial"/>
                <w:b/>
                <w:bCs/>
                <w:color w:val="0E9E8C"/>
                <w:sz w:val="22"/>
                <w:szCs w:val="22"/>
              </w:rPr>
              <w:t xml:space="preserve">4</w:t>
            </w:r>
          </w:p>
        </w:tc>
        <w:tc>
          <w:tcPr>
            <w:tcW w:type="dxa" w:w="7420"/>
            <w:tcBorders>
              <w:top w:val="single" w:color="CCCCCC" w:sz="1"/>
              <w:left w:val="single" w:color="CCCCCC" w:sz="1"/>
              <w:bottom w:val="single" w:color="CCCCCC" w:sz="1"/>
              <w:right w:val="single" w:color="CCCCCC" w:sz="1"/>
            </w:tcBorders>
            <w:shd w:fill="E8F8F6" w:val="clear"/>
            <w:tcMar>
              <w:top w:type="dxa" w:w="80"/>
              <w:left w:type="dxa" w:w="120"/>
              <w:bottom w:type="dxa" w:w="80"/>
              <w:right w:type="dxa" w:w="120"/>
            </w:tcMar>
          </w:tcPr>
          <w:p>
            <w:r>
              <w:rPr>
                <w:rFonts w:ascii="Arial" w:cs="Arial" w:eastAsia="Arial" w:hAnsi="Arial"/>
                <w:sz w:val="21"/>
                <w:szCs w:val="21"/>
              </w:rPr>
              <w:t xml:space="preserve">Are our performance gaps driven by workflow failure or by documentation and evidence-capture failure?</w:t>
            </w:r>
          </w:p>
        </w:tc>
      </w:tr>
      <w:tr>
        <w:tc>
          <w:tcPr>
            <w:tcW w:type="dxa" w:w="144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aps/>
                <w:color w:val="D48E1A"/>
                <w:sz w:val="19"/>
                <w:szCs w:val="19"/>
              </w:rPr>
              <w:t xml:space="preserve">VALUE</w:t>
            </w:r>
          </w:p>
        </w:tc>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D48E1A"/>
                <w:sz w:val="22"/>
                <w:szCs w:val="22"/>
              </w:rPr>
              <w:t xml:space="preserve">5</w:t>
            </w:r>
          </w:p>
        </w:tc>
        <w:tc>
          <w:tcPr>
            <w:tcW w:type="dxa" w:w="742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sz w:val="21"/>
                <w:szCs w:val="21"/>
              </w:rPr>
              <w:t xml:space="preserve">Where are we losing revenue without seeing it, due to documentation fragility or rework?</w:t>
            </w:r>
          </w:p>
        </w:tc>
      </w:tr>
      <w:tr>
        <w:tc>
          <w:tcPr>
            <w:tcW w:type="dxa" w:w="144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aps/>
                <w:color w:val="D48E1A"/>
                <w:sz w:val="19"/>
                <w:szCs w:val="19"/>
              </w:rPr>
              <w:t xml:space="preserve">VALUE</w:t>
            </w:r>
          </w:p>
        </w:tc>
        <w:tc>
          <w:tcPr>
            <w:tcW w:type="dxa" w:w="5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b/>
                <w:bCs/>
                <w:color w:val="D48E1A"/>
                <w:sz w:val="22"/>
                <w:szCs w:val="22"/>
              </w:rPr>
              <w:t xml:space="preserve">6</w:t>
            </w:r>
          </w:p>
        </w:tc>
        <w:tc>
          <w:tcPr>
            <w:tcW w:type="dxa" w:w="742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r>
              <w:rPr>
                <w:rFonts w:ascii="Arial" w:cs="Arial" w:eastAsia="Arial" w:hAnsi="Arial"/>
                <w:sz w:val="21"/>
                <w:szCs w:val="21"/>
              </w:rPr>
              <w:t xml:space="preserve">Which service lines perform better—and why—when controlling for population risk?</w:t>
            </w:r>
          </w:p>
        </w:tc>
      </w:tr>
      <w:tr>
        <w:tc>
          <w:tcPr>
            <w:tcW w:type="dxa" w:w="144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aps/>
                <w:color w:val="0C1E35"/>
                <w:sz w:val="19"/>
                <w:szCs w:val="19"/>
              </w:rPr>
              <w:t xml:space="preserve">ACTION</w:t>
            </w:r>
          </w:p>
        </w:tc>
        <w:tc>
          <w:tcPr>
            <w:tcW w:type="dxa" w:w="5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2"/>
                <w:szCs w:val="22"/>
              </w:rPr>
              <w:t xml:space="preserve">7</w:t>
            </w:r>
          </w:p>
        </w:tc>
        <w:tc>
          <w:tcPr>
            <w:tcW w:type="dxa" w:w="742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If we could fix only one thing in the next 30 days, what would move the needle most?</w:t>
            </w:r>
          </w:p>
        </w:tc>
      </w:tr>
      <w:tr>
        <w:tc>
          <w:tcPr>
            <w:tcW w:type="dxa" w:w="144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aps/>
                <w:color w:val="0C1E35"/>
                <w:sz w:val="19"/>
                <w:szCs w:val="19"/>
              </w:rPr>
              <w:t xml:space="preserve">ACTION</w:t>
            </w:r>
          </w:p>
        </w:tc>
        <w:tc>
          <w:tcPr>
            <w:tcW w:type="dxa" w:w="5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2"/>
                <w:szCs w:val="22"/>
              </w:rPr>
              <w:t xml:space="preserve">8</w:t>
            </w:r>
          </w:p>
        </w:tc>
        <w:tc>
          <w:tcPr>
            <w:tcW w:type="dxa" w:w="742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What improvement would raise our performance scores but still not justify a higher maturity claim?</w:t>
            </w:r>
          </w:p>
        </w:tc>
      </w:tr>
      <w:tr>
        <w:tc>
          <w:tcPr>
            <w:tcW w:type="dxa" w:w="144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aps/>
                <w:color w:val="0C1E35"/>
                <w:sz w:val="19"/>
                <w:szCs w:val="19"/>
              </w:rPr>
              <w:t xml:space="preserve">ACTION</w:t>
            </w:r>
          </w:p>
        </w:tc>
        <w:tc>
          <w:tcPr>
            <w:tcW w:type="dxa" w:w="5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2"/>
                <w:szCs w:val="22"/>
              </w:rPr>
              <w:t xml:space="preserve">9</w:t>
            </w:r>
          </w:p>
        </w:tc>
        <w:tc>
          <w:tcPr>
            <w:tcW w:type="dxa" w:w="742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How does the same intervention behave differently in acute versus chronic or ambulatory care?</w:t>
            </w:r>
          </w:p>
        </w:tc>
      </w:tr>
      <w:tr>
        <w:tc>
          <w:tcPr>
            <w:tcW w:type="dxa" w:w="144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aps/>
                <w:color w:val="0C1E35"/>
                <w:sz w:val="19"/>
                <w:szCs w:val="19"/>
              </w:rPr>
              <w:t xml:space="preserve">ACTION</w:t>
            </w:r>
          </w:p>
        </w:tc>
        <w:tc>
          <w:tcPr>
            <w:tcW w:type="dxa" w:w="50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b/>
                <w:bCs/>
                <w:color w:val="0C1E35"/>
                <w:sz w:val="22"/>
                <w:szCs w:val="22"/>
              </w:rPr>
              <w:t xml:space="preserve">10</w:t>
            </w:r>
          </w:p>
        </w:tc>
        <w:tc>
          <w:tcPr>
            <w:tcW w:type="dxa" w:w="7420"/>
            <w:tcBorders>
              <w:top w:val="single" w:color="CCCCCC" w:sz="1"/>
              <w:left w:val="single" w:color="CCCCCC" w:sz="1"/>
              <w:bottom w:val="single" w:color="CCCCCC" w:sz="1"/>
              <w:right w:val="single" w:color="CCCCCC" w:sz="1"/>
            </w:tcBorders>
            <w:shd w:fill="E8F4FA" w:val="clear"/>
            <w:tcMar>
              <w:top w:type="dxa" w:w="80"/>
              <w:left w:type="dxa" w:w="120"/>
              <w:bottom w:type="dxa" w:w="80"/>
              <w:right w:type="dxa" w:w="120"/>
            </w:tcMar>
          </w:tcPr>
          <w:p>
            <w:r>
              <w:rPr>
                <w:rFonts w:ascii="Arial" w:cs="Arial" w:eastAsia="Arial" w:hAnsi="Arial"/>
                <w:sz w:val="21"/>
                <w:szCs w:val="21"/>
              </w:rPr>
              <w:t xml:space="preserve">What do we commit to next—and how will we know if it worked?</w:t>
            </w:r>
          </w:p>
        </w:tc>
      </w:tr>
    </w:tbl>
    <w:p>
      <w:pPr>
        <w:spacing w:before="80" w:after="0"/>
      </w:pPr>
      <w:r>
        <w:t xml:space="preserve"/>
      </w:r>
    </w:p>
    <w:p>
      <w:pPr>
        <w:spacing w:before="240" w:after="80"/>
      </w:pPr>
      <w:r>
        <w:rPr>
          <w:rFonts w:ascii="Arial" w:cs="Arial" w:eastAsia="Arial" w:hAnsi="Arial"/>
          <w:b/>
          <w:bCs/>
          <w:color w:val="4A637D"/>
          <w:sz w:val="24"/>
          <w:szCs w:val="24"/>
        </w:rPr>
        <w:t xml:space="preserve">How These Questions Will Be Used</w:t>
      </w:r>
    </w:p>
    <w:p>
      <w:pPr>
        <w:spacing w:before="60" w:after="100"/>
      </w:pPr>
      <w:r>
        <w:rPr>
          <w:rFonts w:ascii="Arial" w:cs="Arial" w:eastAsia="Arial" w:hAnsi="Arial"/>
          <w:b w:val="false"/>
          <w:bCs w:val="false"/>
          <w:i w:val="false"/>
          <w:iCs w:val="false"/>
          <w:color w:val="000000"/>
          <w:sz w:val="22"/>
          <w:szCs w:val="22"/>
        </w:rPr>
        <w:t xml:space="preserve">You will not answer all ten questions at once. Instead, as you move through the program:</w:t>
      </w:r>
    </w:p>
    <w:p>
      <w:pPr>
        <w:pStyle w:val="ListParagraph"/>
        <w:numPr>
          <w:ilvl w:val="0"/>
          <w:numId w:val="2"/>
        </w:numPr>
        <w:spacing w:before="40" w:after="40"/>
      </w:pPr>
      <w:r>
        <w:rPr>
          <w:rFonts w:ascii="Arial" w:cs="Arial" w:eastAsia="Arial" w:hAnsi="Arial"/>
          <w:sz w:val="22"/>
          <w:szCs w:val="22"/>
        </w:rPr>
        <w:t xml:space="preserve">Early modules (1–2) will help you answer the Risk questions — identifying where communication failures are concentrated and who is most exposed</w:t>
      </w:r>
    </w:p>
    <w:p>
      <w:pPr>
        <w:pStyle w:val="ListParagraph"/>
        <w:numPr>
          <w:ilvl w:val="0"/>
          <w:numId w:val="2"/>
        </w:numPr>
        <w:spacing w:before="40" w:after="40"/>
      </w:pPr>
      <w:r>
        <w:rPr>
          <w:rFonts w:ascii="Arial" w:cs="Arial" w:eastAsia="Arial" w:hAnsi="Arial"/>
          <w:sz w:val="22"/>
          <w:szCs w:val="22"/>
        </w:rPr>
        <w:t xml:space="preserve">Mid-program modules (3–4) will sharpen your understanding of Reliability — what constrains maturity and whether gaps are driven by workflow design or documentation failure</w:t>
      </w:r>
    </w:p>
    <w:p>
      <w:pPr>
        <w:pStyle w:val="ListParagraph"/>
        <w:numPr>
          <w:ilvl w:val="0"/>
          <w:numId w:val="2"/>
        </w:numPr>
        <w:spacing w:before="40" w:after="40"/>
      </w:pPr>
      <w:r>
        <w:rPr>
          <w:rFonts w:ascii="Arial" w:cs="Arial" w:eastAsia="Arial" w:hAnsi="Arial"/>
          <w:sz w:val="22"/>
          <w:szCs w:val="22"/>
        </w:rPr>
        <w:t xml:space="preserve">Later modules (5–6) will address Value and tradeoffs — connecting communication performance to financial stewardship, revenue protection, and governance</w:t>
      </w:r>
    </w:p>
    <w:p>
      <w:pPr>
        <w:pStyle w:val="ListParagraph"/>
        <w:numPr>
          <w:ilvl w:val="0"/>
          <w:numId w:val="2"/>
        </w:numPr>
        <w:spacing w:before="40" w:after="40"/>
      </w:pPr>
      <w:r>
        <w:rPr>
          <w:rFonts w:ascii="Arial" w:cs="Arial" w:eastAsia="Arial" w:hAnsi="Arial"/>
          <w:sz w:val="22"/>
          <w:szCs w:val="22"/>
        </w:rPr>
        <w:t xml:space="preserve">The capstone module (7) will close all ten questions — synthesizing evidence, decisions, and commitments into your Customized Action Plan</w:t>
      </w:r>
    </w:p>
    <w:p>
      <w:pPr>
        <w:spacing w:before="80" w:after="0"/>
      </w:pPr>
      <w:r>
        <w:t xml:space="preserve"/>
      </w:r>
    </w:p>
    <w:p>
      <w:pPr>
        <w:spacing w:before="60" w:after="100"/>
      </w:pPr>
      <w:r>
        <w:rPr>
          <w:rFonts w:ascii="Arial" w:cs="Arial" w:eastAsia="Arial" w:hAnsi="Arial"/>
          <w:b w:val="false"/>
          <w:bCs w:val="false"/>
          <w:i w:val="false"/>
          <w:iCs w:val="false"/>
          <w:color w:val="000000"/>
          <w:sz w:val="22"/>
          <w:szCs w:val="22"/>
        </w:rPr>
        <w:t xml:space="preserve">Importantly, Tier 2 plays a central role in this process. Before evidence is examined in Tier 3, you will be asked to declare what you believe the answers to the relevant questions are. Those declared hypotheses — written in Tier 2 — will be tested statistically in Tier 3. The gap between what you hypothesize and what the data shows is where the most important learning occurs.</w:t>
      </w:r>
    </w:p>
    <w:p>
      <w:pPr>
        <w:spacing w:before="80" w:after="0"/>
      </w:pPr>
      <w:r>
        <w:t xml:space="preserve"/>
      </w:r>
    </w:p>
    <w:p>
      <w:pPr>
        <w:shd w:fill="F0F0F0" w:val="clear"/>
        <w:spacing w:before="280" w:after="80"/>
      </w:pPr>
      <w:r>
        <w:rPr>
          <w:rFonts w:ascii="Arial" w:cs="Arial" w:eastAsia="Arial" w:hAnsi="Arial"/>
          <w:b/>
          <w:bCs/>
          <w:i/>
          <w:iCs/>
          <w:color w:val="7F7F7F"/>
          <w:sz w:val="18"/>
          <w:szCs w:val="18"/>
        </w:rPr>
        <w:t xml:space="preserve">▸ ARTICULATE SCREEN: Reflection interaction — three-part small group activity with text entry fields</w:t>
      </w:r>
    </w:p>
    <w:p>
      <w:pPr>
        <w:spacing w:before="240" w:after="80"/>
      </w:pPr>
      <w:r>
        <w:rPr>
          <w:rFonts w:ascii="Arial" w:cs="Arial" w:eastAsia="Arial" w:hAnsi="Arial"/>
          <w:b/>
          <w:bCs/>
          <w:color w:val="4A637D"/>
          <w:sz w:val="24"/>
          <w:szCs w:val="24"/>
        </w:rPr>
        <w:t xml:space="preserve">Reflection Assignment: The Executive Agenda in Your Organizational Context</w:t>
      </w:r>
    </w:p>
    <w:p>
      <w:pPr>
        <w:spacing w:before="60" w:after="100"/>
      </w:pPr>
      <w:r>
        <w:rPr>
          <w:rFonts w:ascii="Arial" w:cs="Arial" w:eastAsia="Arial" w:hAnsi="Arial"/>
          <w:b w:val="false"/>
          <w:bCs w:val="false"/>
          <w:i w:val="false"/>
          <w:iCs w:val="false"/>
          <w:color w:val="000000"/>
          <w:sz w:val="22"/>
          <w:szCs w:val="22"/>
        </w:rPr>
        <w:t xml:space="preserve">Before moving into the workflow-specific modules, take a moment to reflect on the ten executive questions in the context of your organization. This reflection is designed to surface your current assumptions — not to produce right or wrong answers. Your responses will become the first entry in your Customized Action Plan.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PART I — EXPOSURE AND RISK PERCEPTION</w:t>
            </w:r>
          </w:p>
          <w:p>
            <w:pPr>
              <w:spacing w:before="0" w:after="0"/>
            </w:pPr>
            <w:r>
              <w:rPr>
                <w:rFonts w:ascii="Arial" w:cs="Arial" w:eastAsia="Arial" w:hAnsi="Arial"/>
                <w:sz w:val="22"/>
                <w:szCs w:val="22"/>
              </w:rPr>
              <w:t xml:space="preserve">1. Which one or two of the ten executive questions feel most urgent for your organization right now? What recent events, pressures, or signals make these questions pressing?
2. Where do you believe your organization is most exposed to communication-related risk today? Consider patient harm, compliance, operational disruption, or reputational risk.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PART II — ASSUMPTIONS ABOUT DRIVERS</w:t>
            </w:r>
          </w:p>
          <w:p>
            <w:pPr>
              <w:spacing w:before="0" w:after="0"/>
            </w:pPr>
            <w:r>
              <w:rPr>
                <w:rFonts w:ascii="Arial" w:cs="Arial" w:eastAsia="Arial" w:hAnsi="Arial"/>
                <w:sz w:val="22"/>
                <w:szCs w:val="22"/>
              </w:rPr>
              <w:t xml:space="preserve">3. Which workflow touchpoint do you suspect is most fragile when it comes to communication reliability in your organization — and why that stage rather than another?
4. Do you believe communication failures in your organization are driven more by workflow design or by documentation and evidence-capture failure? What experiences or observations inform that belief?</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PART III — READINESS FOR ACTION</w:t>
            </w:r>
          </w:p>
          <w:p>
            <w:pPr>
              <w:spacing w:before="0" w:after="0"/>
            </w:pPr>
            <w:r>
              <w:rPr>
                <w:rFonts w:ascii="Arial" w:cs="Arial" w:eastAsia="Arial" w:hAnsi="Arial"/>
                <w:sz w:val="22"/>
                <w:szCs w:val="22"/>
              </w:rPr>
              <w:t xml:space="preserve">5. If you could commit to addressing only one communication-related issue over the next 30 days, what would it be — and why?
6. Who do you need buy-in from to address it? What would success look like operationally or clinically? How would you know it made a difference?</w:t>
            </w:r>
          </w:p>
        </w:tc>
      </w:tr>
    </w:tbl>
    <w:p>
      <w:pPr>
        <w:spacing w:before="60" w:after="0"/>
      </w:pPr>
      <w:r>
        <w:t xml:space="preserve"/>
      </w:r>
    </w:p>
    <w:p>
      <w:pPr>
        <w:spacing w:before="60" w:after="100"/>
      </w:pPr>
      <w:r>
        <w:rPr>
          <w:rFonts w:ascii="Arial" w:cs="Arial" w:eastAsia="Arial" w:hAnsi="Arial"/>
          <w:b w:val="false"/>
          <w:bCs w:val="false"/>
          <w:i/>
          <w:iCs/>
          <w:color w:val="4A637D"/>
          <w:sz w:val="22"/>
          <w:szCs w:val="22"/>
        </w:rPr>
        <w:t xml:space="preserve">[Art direction: Three images for this section — suggest (1) executive presentation in boardroom, data visible on screen behind speaker; (2) busy emergency department, staff visible, patient interaction implied; (3) small clinical leadership meeting, collaborative discussion. Replace placeholders before Articulate import.]</w:t>
      </w:r>
    </w:p>
    <w:p>
      <w:pPr>
        <w:spacing w:before="120" w:after="0"/>
      </w:pPr>
      <w:r>
        <w:t xml:space="preserve"/>
      </w:r>
    </w:p>
    <w:p>
      <w:pPr>
        <w:pBdr>
          <w:bottom w:val="single" w:color="0E9E8C" w:sz="4" w:space="1"/>
        </w:pBdr>
        <w:spacing w:before="480" w:after="60"/>
      </w:pPr>
      <w:r>
        <w:rPr>
          <w:rFonts w:ascii="Arial" w:cs="Arial" w:eastAsia="Arial" w:hAnsi="Arial"/>
          <w:b/>
          <w:bCs/>
          <w:caps/>
          <w:color w:val="0E9E8C"/>
          <w:sz w:val="18"/>
          <w:szCs w:val="18"/>
        </w:rPr>
        <w:t xml:space="preserve">SECTION 7  </w:t>
      </w:r>
      <w:r>
        <w:rPr>
          <w:rFonts w:ascii="Arial" w:cs="Arial" w:eastAsia="Arial" w:hAnsi="Arial"/>
          <w:color w:val="4A637D"/>
          <w:sz w:val="18"/>
          <w:szCs w:val="18"/>
        </w:rPr>
        <w:t xml:space="preserve">Your Customized Action Plan (CAP)</w:t>
      </w:r>
    </w:p>
    <w:p>
      <w:pPr>
        <w:shd w:fill="F0F0F0" w:val="clear"/>
        <w:spacing w:before="280" w:after="80"/>
      </w:pPr>
      <w:r>
        <w:rPr>
          <w:rFonts w:ascii="Arial" w:cs="Arial" w:eastAsia="Arial" w:hAnsi="Arial"/>
          <w:b/>
          <w:bCs/>
          <w:i/>
          <w:iCs/>
          <w:color w:val="7F7F7F"/>
          <w:sz w:val="18"/>
          <w:szCs w:val="18"/>
        </w:rPr>
        <w:t xml:space="preserve">▸ ARTICULATE SCREEN: Overview screen, then CAP scaffold table with expandable rows</w:t>
      </w:r>
    </w:p>
    <w:p>
      <w:pPr>
        <w:pStyle w:val="Heading2"/>
        <w:spacing w:before="360" w:after="100"/>
      </w:pPr>
      <w:r>
        <w:rPr>
          <w:rFonts w:ascii="Arial" w:cs="Arial" w:eastAsia="Arial" w:hAnsi="Arial"/>
          <w:b/>
          <w:bCs/>
          <w:color w:val="0C1E35"/>
          <w:sz w:val="26"/>
          <w:szCs w:val="26"/>
        </w:rPr>
        <w:t xml:space="preserve">Making the LAI Actionable: The Customized Action Plan</w:t>
      </w:r>
    </w:p>
    <w:p>
      <w:pPr>
        <w:spacing w:before="60" w:after="100"/>
      </w:pPr>
      <w:r>
        <w:rPr>
          <w:rFonts w:ascii="Arial" w:cs="Arial" w:eastAsia="Arial" w:hAnsi="Arial"/>
          <w:b w:val="false"/>
          <w:bCs w:val="false"/>
          <w:i w:val="false"/>
          <w:iCs w:val="false"/>
          <w:color w:val="000000"/>
          <w:sz w:val="22"/>
          <w:szCs w:val="22"/>
        </w:rPr>
        <w:t xml:space="preserve">The capstone of the CLEAR program is not a research paper, a theoretical exercise, or a one-time presentation. It is a Customized Action Plan (CAP) — a living document that translates the evidence-based LAI framework into executable, technology-enabled operations that reflect your organization’s actual workflows, constraints, and priorities.</w:t>
      </w:r>
    </w:p>
    <w:p>
      <w:pPr>
        <w:spacing w:before="60" w:after="100"/>
      </w:pPr>
      <w:r>
        <w:rPr>
          <w:rFonts w:ascii="Arial" w:cs="Arial" w:eastAsia="Arial" w:hAnsi="Arial"/>
          <w:b w:val="false"/>
          <w:bCs w:val="false"/>
          <w:i w:val="false"/>
          <w:iCs w:val="false"/>
          <w:color w:val="000000"/>
          <w:sz w:val="22"/>
          <w:szCs w:val="22"/>
        </w:rPr>
        <w:t xml:space="preserve">By the end of the program, your CAP will align communication reliability initiatives with patient safety goals, regulatory readiness, and operational efficiency; integrate workflow redesign, workforce enablement, policy alignment, technology investment, and measurement; provide a board-ready narrative explaining what will change, why it matters, and how success will be measured; and support immediate implementation, not future planning.</w:t>
      </w:r>
    </w:p>
    <w:p>
      <w:pPr>
        <w:spacing w:before="80" w:after="0"/>
      </w:pPr>
      <w:r>
        <w:t xml:space="preserve"/>
      </w:r>
    </w:p>
    <w:p>
      <w:pPr>
        <w:spacing w:before="240" w:after="80"/>
      </w:pPr>
      <w:r>
        <w:rPr>
          <w:rFonts w:ascii="Arial" w:cs="Arial" w:eastAsia="Arial" w:hAnsi="Arial"/>
          <w:b/>
          <w:bCs/>
          <w:color w:val="4A637D"/>
          <w:sz w:val="24"/>
          <w:szCs w:val="24"/>
        </w:rPr>
        <w:t xml:space="preserve">How the CAP Is Built — Progressively</w:t>
      </w:r>
    </w:p>
    <w:p>
      <w:pPr>
        <w:spacing w:before="60" w:after="100"/>
      </w:pPr>
      <w:r>
        <w:rPr>
          <w:rFonts w:ascii="Arial" w:cs="Arial" w:eastAsia="Arial" w:hAnsi="Arial"/>
          <w:b w:val="false"/>
          <w:bCs w:val="false"/>
          <w:i w:val="false"/>
          <w:iCs w:val="false"/>
          <w:color w:val="000000"/>
          <w:sz w:val="22"/>
          <w:szCs w:val="22"/>
        </w:rPr>
        <w:t xml:space="preserve">The CAP is constructed incrementally across the modules, not assembled at the end. As you move through each workflow stage of the patient journey, you will: identify where communication reliability is fragile; declare hypotheses about what is driving that fragility (Tier 2); validate or refine those hypotheses using evidence (Tier 3); test improvement strategies through the module simulation exercises; and make governance decisions about what to implement next.</w:t>
      </w:r>
    </w:p>
    <w:p>
      <w:pPr>
        <w:spacing w:before="60" w:after="100"/>
      </w:pPr>
      <w:r>
        <w:rPr>
          <w:rFonts w:ascii="Arial" w:cs="Arial" w:eastAsia="Arial" w:hAnsi="Arial"/>
          <w:b w:val="false"/>
          <w:bCs w:val="false"/>
          <w:i w:val="false"/>
          <w:iCs w:val="false"/>
          <w:color w:val="000000"/>
          <w:sz w:val="22"/>
          <w:szCs w:val="22"/>
        </w:rPr>
        <w:t xml:space="preserve">Each of these decisions becomes a building block of your CAP. By the time you reach Module 7, the CAP is already largely complete — shaped by real reasoning, real data, and real constraints encountered across the full program.</w:t>
      </w:r>
    </w:p>
    <w:p>
      <w:pPr>
        <w:spacing w:before="80" w:after="0"/>
      </w:pPr>
      <w:r>
        <w:t xml:space="preserve"/>
      </w:r>
    </w:p>
    <w:p>
      <w:pPr>
        <w:spacing w:before="240" w:after="80"/>
      </w:pPr>
      <w:r>
        <w:rPr>
          <w:rFonts w:ascii="Arial" w:cs="Arial" w:eastAsia="Arial" w:hAnsi="Arial"/>
          <w:b/>
          <w:bCs/>
          <w:color w:val="4A637D"/>
          <w:sz w:val="24"/>
          <w:szCs w:val="24"/>
        </w:rPr>
        <w:t xml:space="preserve">What the CAP Demonstrates</w:t>
      </w:r>
    </w:p>
    <w:p>
      <w:pPr>
        <w:spacing w:before="60" w:after="100"/>
      </w:pPr>
      <w:r>
        <w:rPr>
          <w:rFonts w:ascii="Arial" w:cs="Arial" w:eastAsia="Arial" w:hAnsi="Arial"/>
          <w:b w:val="false"/>
          <w:bCs w:val="false"/>
          <w:i w:val="false"/>
          <w:iCs w:val="false"/>
          <w:color w:val="000000"/>
          <w:sz w:val="22"/>
          <w:szCs w:val="22"/>
        </w:rPr>
        <w:t xml:space="preserve">A well-developed CAP demonstrates executive readiness, not academic mastery. Specifically, it demonstrates that you can:</w:t>
      </w:r>
    </w:p>
    <w:p>
      <w:pPr>
        <w:pStyle w:val="ListParagraph"/>
        <w:numPr>
          <w:ilvl w:val="0"/>
          <w:numId w:val="2"/>
        </w:numPr>
        <w:spacing w:before="40" w:after="40"/>
      </w:pPr>
      <w:r>
        <w:rPr>
          <w:rFonts w:ascii="Arial" w:cs="Arial" w:eastAsia="Arial" w:hAnsi="Arial"/>
          <w:sz w:val="22"/>
          <w:szCs w:val="22"/>
        </w:rPr>
        <w:t xml:space="preserve">Defend your understanding of risk — where it is concentrated, why, and for which populations</w:t>
      </w:r>
    </w:p>
    <w:p>
      <w:pPr>
        <w:pStyle w:val="ListParagraph"/>
        <w:numPr>
          <w:ilvl w:val="0"/>
          <w:numId w:val="2"/>
        </w:numPr>
        <w:spacing w:before="40" w:after="40"/>
      </w:pPr>
      <w:r>
        <w:rPr>
          <w:rFonts w:ascii="Arial" w:cs="Arial" w:eastAsia="Arial" w:hAnsi="Arial"/>
          <w:sz w:val="22"/>
          <w:szCs w:val="22"/>
        </w:rPr>
        <w:t xml:space="preserve">Explain why certain improvements matter more than others, and why some do not remove system constraints</w:t>
      </w:r>
    </w:p>
    <w:p>
      <w:pPr>
        <w:pStyle w:val="ListParagraph"/>
        <w:numPr>
          <w:ilvl w:val="0"/>
          <w:numId w:val="2"/>
        </w:numPr>
        <w:spacing w:before="40" w:after="40"/>
      </w:pPr>
      <w:r>
        <w:rPr>
          <w:rFonts w:ascii="Arial" w:cs="Arial" w:eastAsia="Arial" w:hAnsi="Arial"/>
          <w:sz w:val="22"/>
          <w:szCs w:val="22"/>
        </w:rPr>
        <w:t xml:space="preserve">Justify investments in workforce development or technology using operational and financial logic, not intuition</w:t>
      </w:r>
    </w:p>
    <w:p>
      <w:pPr>
        <w:pStyle w:val="ListParagraph"/>
        <w:numPr>
          <w:ilvl w:val="0"/>
          <w:numId w:val="2"/>
        </w:numPr>
        <w:spacing w:before="40" w:after="40"/>
      </w:pPr>
      <w:r>
        <w:rPr>
          <w:rFonts w:ascii="Arial" w:cs="Arial" w:eastAsia="Arial" w:hAnsi="Arial"/>
          <w:sz w:val="22"/>
          <w:szCs w:val="22"/>
        </w:rPr>
        <w:t xml:space="preserve">Show how communication reliability is designed across the patient journey — not patched at isolated moments</w:t>
      </w:r>
    </w:p>
    <w:p>
      <w:pPr>
        <w:pStyle w:val="ListParagraph"/>
        <w:numPr>
          <w:ilvl w:val="0"/>
          <w:numId w:val="2"/>
        </w:numPr>
        <w:spacing w:before="40" w:after="40"/>
      </w:pPr>
      <w:r>
        <w:rPr>
          <w:rFonts w:ascii="Arial" w:cs="Arial" w:eastAsia="Arial" w:hAnsi="Arial"/>
          <w:sz w:val="22"/>
          <w:szCs w:val="22"/>
        </w:rPr>
        <w:t xml:space="preserve">Commit to a measurable, time-bound implementation plan with a clear re-check strategy</w:t>
      </w:r>
    </w:p>
    <w:p>
      <w:pPr>
        <w:spacing w:before="80" w:after="0"/>
      </w:pPr>
      <w:r>
        <w:t xml:space="preserve"/>
      </w:r>
    </w:p>
    <w:p>
      <w:pPr>
        <w:spacing w:before="240" w:after="80"/>
      </w:pPr>
      <w:r>
        <w:rPr>
          <w:rFonts w:ascii="Arial" w:cs="Arial" w:eastAsia="Arial" w:hAnsi="Arial"/>
          <w:b/>
          <w:bCs/>
          <w:color w:val="4A637D"/>
          <w:sz w:val="24"/>
          <w:szCs w:val="24"/>
        </w:rPr>
        <w:t xml:space="preserve">CAP Starter Scaffold — Completing One Row Per Module</w:t>
      </w:r>
    </w:p>
    <w:p>
      <w:pPr>
        <w:spacing w:before="60" w:after="100"/>
      </w:pPr>
      <w:r>
        <w:rPr>
          <w:rFonts w:ascii="Arial" w:cs="Arial" w:eastAsia="Arial" w:hAnsi="Arial"/>
          <w:b w:val="false"/>
          <w:bCs w:val="false"/>
          <w:i w:val="false"/>
          <w:iCs w:val="false"/>
          <w:color w:val="000000"/>
          <w:sz w:val="22"/>
          <w:szCs w:val="22"/>
        </w:rPr>
        <w:t xml:space="preserve">The table below shows how your CAP will be built across the program. You will complete one contribution row per module. The Module 0 row is your first entry — drawn from the reflection assignment in Section 6.</w:t>
      </w:r>
    </w:p>
    <w:p>
      <w:pPr>
        <w:spacing w:before="60" w:after="0"/>
      </w:pPr>
      <w:r>
        <w:t xml:space="preserve"/>
      </w:r>
    </w:p>
    <w:p>
      <w:pPr>
        <w:shd w:fill="F0F0F0" w:val="clear"/>
        <w:spacing w:before="280" w:after="80"/>
      </w:pPr>
      <w:r>
        <w:rPr>
          <w:rFonts w:ascii="Arial" w:cs="Arial" w:eastAsia="Arial" w:hAnsi="Arial"/>
          <w:b/>
          <w:bCs/>
          <w:i/>
          <w:iCs/>
          <w:color w:val="7F7F7F"/>
          <w:sz w:val="18"/>
          <w:szCs w:val="18"/>
        </w:rPr>
        <w:t xml:space="preserve">▸ ARTICULATE SCREEN: Interactive table — each row expands to show a structured input form (Articulate text entry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5060"/>
      </w:tblGrid>
      <w:tr>
        <w:tc>
          <w:tcPr>
            <w:tcW w:type="dxa" w:w="500"/>
            <w:tcBorders>
              <w:top w:val="single" w:color="CCCCCC" w:sz="1"/>
              <w:left w:val="single" w:color="CCCCCC" w:sz="1"/>
              <w:bottom w:val="single" w:color="CCCCCC" w:sz="1"/>
              <w:right w:val="single" w:color="CCCCCC" w:sz="1"/>
            </w:tcBorders>
            <w:shd w:fill="0C1E35" w:val="clear"/>
            <w:tcMar>
              <w:top w:type="dxa" w:w="80"/>
              <w:left w:type="dxa" w:w="120"/>
              <w:bottom w:type="dxa" w:w="80"/>
              <w:right w:type="dxa" w:w="120"/>
            </w:tcMar>
          </w:tcPr>
          <w:p>
            <w:r>
              <w:rPr>
                <w:rFonts w:ascii="Arial" w:cs="Arial" w:eastAsia="Arial" w:hAnsi="Arial"/>
                <w:b/>
                <w:bCs/>
                <w:color w:val="FFFFFF"/>
                <w:sz w:val="19"/>
                <w:szCs w:val="19"/>
              </w:rPr>
              <w:t xml:space="preserve">Mod.</w:t>
            </w:r>
          </w:p>
        </w:tc>
        <w:tc>
          <w:tcPr>
            <w:tcW w:type="dxa" w:w="1800"/>
            <w:tcBorders>
              <w:top w:val="single" w:color="CCCCCC" w:sz="1"/>
              <w:left w:val="single" w:color="CCCCCC" w:sz="1"/>
              <w:bottom w:val="single" w:color="CCCCCC" w:sz="1"/>
              <w:right w:val="single" w:color="CCCCCC" w:sz="1"/>
            </w:tcBorders>
            <w:shd w:fill="0C1E35" w:val="clear"/>
            <w:tcMar>
              <w:top w:type="dxa" w:w="80"/>
              <w:left w:type="dxa" w:w="120"/>
              <w:bottom w:type="dxa" w:w="80"/>
              <w:right w:type="dxa" w:w="120"/>
            </w:tcMar>
          </w:tcPr>
          <w:p>
            <w:r>
              <w:rPr>
                <w:rFonts w:ascii="Arial" w:cs="Arial" w:eastAsia="Arial" w:hAnsi="Arial"/>
                <w:b/>
                <w:bCs/>
                <w:color w:val="FFFFFF"/>
                <w:sz w:val="19"/>
                <w:szCs w:val="19"/>
              </w:rPr>
              <w:t xml:space="preserve">Focus Area</w:t>
            </w:r>
          </w:p>
        </w:tc>
        <w:tc>
          <w:tcPr>
            <w:tcW w:type="dxa" w:w="2000"/>
            <w:tcBorders>
              <w:top w:val="single" w:color="CCCCCC" w:sz="1"/>
              <w:left w:val="single" w:color="CCCCCC" w:sz="1"/>
              <w:bottom w:val="single" w:color="CCCCCC" w:sz="1"/>
              <w:right w:val="single" w:color="CCCCCC" w:sz="1"/>
            </w:tcBorders>
            <w:shd w:fill="0C1E35" w:val="clear"/>
            <w:tcMar>
              <w:top w:type="dxa" w:w="80"/>
              <w:left w:type="dxa" w:w="120"/>
              <w:bottom w:type="dxa" w:w="80"/>
              <w:right w:type="dxa" w:w="120"/>
            </w:tcMar>
          </w:tcPr>
          <w:p>
            <w:r>
              <w:rPr>
                <w:rFonts w:ascii="Arial" w:cs="Arial" w:eastAsia="Arial" w:hAnsi="Arial"/>
                <w:b/>
                <w:bCs/>
                <w:color w:val="FFFFFF"/>
                <w:sz w:val="19"/>
                <w:szCs w:val="19"/>
              </w:rPr>
              <w:t xml:space="preserve">Primary Domains</w:t>
            </w:r>
          </w:p>
        </w:tc>
        <w:tc>
          <w:tcPr>
            <w:tcW w:type="dxa" w:w="5060"/>
            <w:tcBorders>
              <w:top w:val="single" w:color="CCCCCC" w:sz="1"/>
              <w:left w:val="single" w:color="CCCCCC" w:sz="1"/>
              <w:bottom w:val="single" w:color="CCCCCC" w:sz="1"/>
              <w:right w:val="single" w:color="CCCCCC" w:sz="1"/>
            </w:tcBorders>
            <w:shd w:fill="0C1E35" w:val="clear"/>
            <w:tcMar>
              <w:top w:type="dxa" w:w="80"/>
              <w:left w:type="dxa" w:w="120"/>
              <w:bottom w:type="dxa" w:w="80"/>
              <w:right w:type="dxa" w:w="120"/>
            </w:tcMar>
          </w:tcPr>
          <w:p>
            <w:r>
              <w:rPr>
                <w:rFonts w:ascii="Arial" w:cs="Arial" w:eastAsia="Arial" w:hAnsi="Arial"/>
                <w:b/>
                <w:bCs/>
                <w:color w:val="FFFFFF"/>
                <w:sz w:val="19"/>
                <w:szCs w:val="19"/>
              </w:rPr>
              <w:t xml:space="preserve">Your CAP Contribution (complete during each module)</w:t>
            </w:r>
          </w:p>
        </w:tc>
      </w:tr>
      <w:tr>
        <w:tc>
          <w:tcPr>
            <w:tcW w:type="dxa" w:w="500"/>
            <w:tcBorders>
              <w:top w:val="single" w:color="CCCCCC" w:sz="1"/>
              <w:left w:val="single" w:color="CCCCCC" w:sz="1"/>
              <w:bottom w:val="single" w:color="CCCCCC" w:sz="1"/>
              <w:right w:val="single" w:color="CCCCCC" w:sz="1"/>
            </w:tcBorders>
            <w:shd w:fill="F0F8F7" w:val="clear"/>
            <w:tcMar>
              <w:top w:type="dxa" w:w="100"/>
              <w:left w:type="dxa" w:w="120"/>
              <w:bottom w:type="dxa" w:w="100"/>
              <w:right w:type="dxa" w:w="120"/>
            </w:tcMar>
          </w:tcPr>
          <w:p>
            <w:r>
              <w:rPr>
                <w:rFonts w:ascii="Arial" w:cs="Arial" w:eastAsia="Arial" w:hAnsi="Arial"/>
                <w:b/>
                <w:bCs/>
                <w:color w:val="0E9E8C"/>
                <w:sz w:val="22"/>
                <w:szCs w:val="22"/>
              </w:rPr>
              <w:t xml:space="preserve">0</w:t>
            </w:r>
          </w:p>
        </w:tc>
        <w:tc>
          <w:tcPr>
            <w:tcW w:type="dxa" w:w="1800"/>
            <w:tcBorders>
              <w:top w:val="single" w:color="CCCCCC" w:sz="1"/>
              <w:left w:val="single" w:color="CCCCCC" w:sz="1"/>
              <w:bottom w:val="single" w:color="CCCCCC" w:sz="1"/>
              <w:right w:val="single" w:color="CCCCCC" w:sz="1"/>
            </w:tcBorders>
            <w:shd w:fill="F0F8F7" w:val="clear"/>
            <w:tcMar>
              <w:top w:type="dxa" w:w="100"/>
              <w:left w:type="dxa" w:w="120"/>
              <w:bottom w:type="dxa" w:w="100"/>
              <w:right w:type="dxa" w:w="120"/>
            </w:tcMar>
          </w:tcPr>
          <w:p>
            <w:r>
              <w:rPr>
                <w:rFonts w:ascii="Arial" w:cs="Arial" w:eastAsia="Arial" w:hAnsi="Arial"/>
                <w:b/>
                <w:bCs/>
                <w:sz w:val="21"/>
                <w:szCs w:val="21"/>
              </w:rPr>
              <w:t xml:space="preserve">Orientation</w:t>
            </w:r>
          </w:p>
        </w:tc>
        <w:tc>
          <w:tcPr>
            <w:tcW w:type="dxa" w:w="2000"/>
            <w:tcBorders>
              <w:top w:val="single" w:color="CCCCCC" w:sz="1"/>
              <w:left w:val="single" w:color="CCCCCC" w:sz="1"/>
              <w:bottom w:val="single" w:color="CCCCCC" w:sz="1"/>
              <w:right w:val="single" w:color="CCCCCC" w:sz="1"/>
            </w:tcBorders>
            <w:shd w:fill="F0F8F7" w:val="clear"/>
            <w:tcMar>
              <w:top w:type="dxa" w:w="100"/>
              <w:left w:type="dxa" w:w="120"/>
              <w:bottom w:type="dxa" w:w="100"/>
              <w:right w:type="dxa" w:w="120"/>
            </w:tcMar>
          </w:tcPr>
          <w:p>
            <w:r>
              <w:rPr>
                <w:rFonts w:ascii="Arial" w:cs="Arial" w:eastAsia="Arial" w:hAnsi="Arial"/>
                <w:color w:val="4A637D"/>
                <w:sz w:val="20"/>
                <w:szCs w:val="20"/>
              </w:rPr>
              <w:t xml:space="preserve">Program Overview</w:t>
            </w:r>
          </w:p>
        </w:tc>
        <w:tc>
          <w:tcPr>
            <w:tcW w:type="dxa" w:w="5060"/>
            <w:tcBorders>
              <w:top w:val="single" w:color="CCCCCC" w:sz="1"/>
              <w:left w:val="single" w:color="CCCCCC" w:sz="1"/>
              <w:bottom w:val="single" w:color="CCCCCC" w:sz="1"/>
              <w:right w:val="single" w:color="CCCCCC" w:sz="1"/>
            </w:tcBorders>
            <w:shd w:fill="F0F8F7" w:val="clear"/>
            <w:tcMar>
              <w:top w:type="dxa" w:w="100"/>
              <w:left w:type="dxa" w:w="120"/>
              <w:bottom w:type="dxa" w:w="100"/>
              <w:right w:type="dxa" w:w="120"/>
            </w:tcMar>
          </w:tcPr>
          <w:p>
            <w:r>
              <w:rPr>
                <w:rFonts w:ascii="Arial" w:cs="Arial" w:eastAsia="Arial" w:hAnsi="Arial"/>
                <w:i/>
                <w:iCs/>
                <w:color w:val="444444"/>
                <w:sz w:val="20"/>
                <w:szCs w:val="20"/>
              </w:rPr>
              <w:t xml:space="preserve">Identify your two most urgent executive questions. Describe where you believe your organization is most exposed. (Completed during Module 0 reflection.)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C1E35"/>
                <w:sz w:val="22"/>
                <w:szCs w:val="22"/>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1"/>
                <w:szCs w:val="21"/>
              </w:rPr>
              <w:t xml:space="preserve">Pre-Arrival &amp; Pre-Assessment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A637D"/>
                <w:sz w:val="20"/>
                <w:szCs w:val="20"/>
              </w:rPr>
              <w:t xml:space="preserve">Access · Compliance</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color w:val="444444"/>
                <w:sz w:val="20"/>
                <w:szCs w:val="20"/>
              </w:rPr>
              <w:t xml:space="preserve">Which populations are most at risk of delayed or missed interpreter contact at triage? What is the primary driver—workflow design, staffing, or documentation?</w:t>
            </w:r>
          </w:p>
        </w:tc>
      </w:tr>
      <w:tr>
        <w:tc>
          <w:tcPr>
            <w:tcW w:type="dxa" w:w="50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b/>
                <w:bCs/>
                <w:color w:val="0C1E35"/>
                <w:sz w:val="22"/>
                <w:szCs w:val="22"/>
              </w:rPr>
              <w:t xml:space="preserve">2</w:t>
            </w:r>
          </w:p>
        </w:tc>
        <w:tc>
          <w:tcPr>
            <w:tcW w:type="dxa" w:w="180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b/>
                <w:bCs/>
                <w:sz w:val="21"/>
                <w:szCs w:val="21"/>
              </w:rPr>
              <w:t xml:space="preserve">Triage, H&amp;P &amp; Diagnostic Review</w:t>
            </w:r>
          </w:p>
        </w:tc>
        <w:tc>
          <w:tcPr>
            <w:tcW w:type="dxa" w:w="200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color w:val="4A637D"/>
                <w:sz w:val="20"/>
                <w:szCs w:val="20"/>
              </w:rPr>
              <w:t xml:space="preserve">Quality &amp; Safety · Patient Experience</w:t>
            </w:r>
          </w:p>
        </w:tc>
        <w:tc>
          <w:tcPr>
            <w:tcW w:type="dxa" w:w="506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i/>
                <w:iCs/>
                <w:color w:val="444444"/>
                <w:sz w:val="20"/>
                <w:szCs w:val="20"/>
              </w:rPr>
              <w:t xml:space="preserve">Where is diagnostic communication reliability most fragile in your organization? What is the highest-risk clinical moment?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C1E35"/>
                <w:sz w:val="22"/>
                <w:szCs w:val="22"/>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1"/>
                <w:szCs w:val="21"/>
              </w:rPr>
              <w:t xml:space="preserve">Vitals, Rounding &amp; Follow-Up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A637D"/>
                <w:sz w:val="20"/>
                <w:szCs w:val="20"/>
              </w:rPr>
              <w:t xml:space="preserve">Workflow Optimization · Workforce Development</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color w:val="444444"/>
                <w:sz w:val="20"/>
                <w:szCs w:val="20"/>
              </w:rPr>
              <w:t xml:space="preserve">Which inpatient unit carries the highest rework burden? What is one workflow redesign that could reduce it?</w:t>
            </w:r>
          </w:p>
        </w:tc>
      </w:tr>
      <w:tr>
        <w:tc>
          <w:tcPr>
            <w:tcW w:type="dxa" w:w="50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b/>
                <w:bCs/>
                <w:color w:val="0C1E35"/>
                <w:sz w:val="22"/>
                <w:szCs w:val="22"/>
              </w:rPr>
              <w:t xml:space="preserve">4</w:t>
            </w:r>
          </w:p>
        </w:tc>
        <w:tc>
          <w:tcPr>
            <w:tcW w:type="dxa" w:w="180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b/>
                <w:bCs/>
                <w:sz w:val="21"/>
                <w:szCs w:val="21"/>
              </w:rPr>
              <w:t xml:space="preserve">Discharge Planning &amp; Patient Education</w:t>
            </w:r>
          </w:p>
        </w:tc>
        <w:tc>
          <w:tcPr>
            <w:tcW w:type="dxa" w:w="200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color w:val="4A637D"/>
                <w:sz w:val="20"/>
                <w:szCs w:val="20"/>
              </w:rPr>
              <w:t xml:space="preserve">Patient Engagement · Outcomes · Financial Stewardship</w:t>
            </w:r>
          </w:p>
        </w:tc>
        <w:tc>
          <w:tcPr>
            <w:tcW w:type="dxa" w:w="506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i/>
                <w:iCs/>
                <w:color w:val="444444"/>
                <w:sz w:val="20"/>
                <w:szCs w:val="20"/>
              </w:rPr>
              <w:t xml:space="preserve">What is your organization’s 30-day readmission rate for LEP patients? What single change at discharge would most reduce preventable returns?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C1E35"/>
                <w:sz w:val="22"/>
                <w:szCs w:val="22"/>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1"/>
                <w:szCs w:val="21"/>
              </w:rPr>
              <w:t xml:space="preserve">Post-Discharge &amp; Patient Safety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A637D"/>
                <w:sz w:val="20"/>
                <w:szCs w:val="20"/>
              </w:rPr>
              <w:t xml:space="preserve">Quality &amp; Safety · Outcomes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color w:val="444444"/>
                <w:sz w:val="20"/>
                <w:szCs w:val="20"/>
              </w:rPr>
              <w:t xml:space="preserve">How are communication-related adverse events currently identified and reported? Where is the biggest gap between occurrence and reporting?</w:t>
            </w:r>
          </w:p>
        </w:tc>
      </w:tr>
      <w:tr>
        <w:tc>
          <w:tcPr>
            <w:tcW w:type="dxa" w:w="50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b/>
                <w:bCs/>
                <w:color w:val="0C1E35"/>
                <w:sz w:val="22"/>
                <w:szCs w:val="22"/>
              </w:rPr>
              <w:t xml:space="preserve">6</w:t>
            </w:r>
          </w:p>
        </w:tc>
        <w:tc>
          <w:tcPr>
            <w:tcW w:type="dxa" w:w="180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b/>
                <w:bCs/>
                <w:sz w:val="21"/>
                <w:szCs w:val="21"/>
              </w:rPr>
              <w:t xml:space="preserve">Policy, Procedures &amp; Governance</w:t>
            </w:r>
          </w:p>
        </w:tc>
        <w:tc>
          <w:tcPr>
            <w:tcW w:type="dxa" w:w="200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color w:val="4A637D"/>
                <w:sz w:val="20"/>
                <w:szCs w:val="20"/>
              </w:rPr>
              <w:t xml:space="preserve">Compliance · All Domains</w:t>
            </w:r>
          </w:p>
        </w:tc>
        <w:tc>
          <w:tcPr>
            <w:tcW w:type="dxa" w:w="5060"/>
            <w:tcBorders>
              <w:top w:val="single" w:color="CCCCCC" w:sz="1"/>
              <w:left w:val="single" w:color="CCCCCC" w:sz="1"/>
              <w:bottom w:val="single" w:color="CCCCCC" w:sz="1"/>
              <w:right w:val="single" w:color="CCCCCC" w:sz="1"/>
            </w:tcBorders>
            <w:shd w:fill="E8F4FA" w:val="clear"/>
            <w:tcMar>
              <w:top w:type="dxa" w:w="100"/>
              <w:left w:type="dxa" w:w="120"/>
              <w:bottom w:type="dxa" w:w="100"/>
              <w:right w:type="dxa" w:w="120"/>
            </w:tcMar>
          </w:tcPr>
          <w:p>
            <w:r>
              <w:rPr>
                <w:rFonts w:ascii="Arial" w:cs="Arial" w:eastAsia="Arial" w:hAnsi="Arial"/>
                <w:i/>
                <w:iCs/>
                <w:color w:val="444444"/>
                <w:sz w:val="20"/>
                <w:szCs w:val="20"/>
              </w:rPr>
              <w:t xml:space="preserve">Which policy or governance mechanism is your biggest constraint? What is one structural change that would improve system-wide reliability?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0C1E35"/>
                <w:sz w:val="22"/>
                <w:szCs w:val="22"/>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1"/>
                <w:szCs w:val="21"/>
              </w:rPr>
              <w:t xml:space="preserve">Change Management &amp; Value Realization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A637D"/>
                <w:sz w:val="20"/>
                <w:szCs w:val="20"/>
              </w:rPr>
              <w:t xml:space="preserve">All Domains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color w:val="444444"/>
                <w:sz w:val="20"/>
                <w:szCs w:val="20"/>
              </w:rPr>
              <w:t xml:space="preserve">What is the one commitment you will implement in the first 30 days after program completion? Who owns it, and how will you measure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E8C" w:sz="8"/>
              <w:left w:val="single" w:color="0E9E8C" w:sz="16"/>
              <w:bottom w:val="single" w:color="CCCCCC" w:sz="1"/>
              <w:right w:val="single" w:color="CCCCCC" w:sz="1"/>
            </w:tcBorders>
            <w:shd w:fill="E8F4FA" w:val="clear"/>
            <w:tcMar>
              <w:top w:type="dxa" w:w="120"/>
              <w:left w:type="dxa" w:w="180"/>
              <w:bottom w:type="dxa" w:w="120"/>
              <w:right w:type="dxa" w:w="180"/>
            </w:tcMar>
          </w:tcPr>
          <w:p>
            <w:pPr>
              <w:spacing w:before="0" w:after="60"/>
            </w:pPr>
            <w:r>
              <w:rPr>
                <w:rFonts w:ascii="Arial" w:cs="Arial" w:eastAsia="Arial" w:hAnsi="Arial"/>
                <w:b/>
                <w:bCs/>
                <w:caps/>
                <w:color w:val="0E9E8C"/>
                <w:sz w:val="20"/>
                <w:szCs w:val="20"/>
              </w:rPr>
              <w:t xml:space="preserve">WHY THE CAPSTONE MATTERS</w:t>
            </w:r>
          </w:p>
          <w:p>
            <w:pPr>
              <w:spacing w:before="0" w:after="0"/>
            </w:pPr>
            <w:r>
              <w:rPr>
                <w:rFonts w:ascii="Arial" w:cs="Arial" w:eastAsia="Arial" w:hAnsi="Arial"/>
                <w:sz w:val="22"/>
                <w:szCs w:val="22"/>
              </w:rPr>
              <w:t xml:space="preserve">Health systems are increasingly asked to explain not just what they do, but how their systems produce reliable outcomes under pressure. The CAP equips you to answer that question. It creates a bridge between evidence and execution, compliance and safety, operational design and financial stewardship, and insight and accountability.
Rather than adding new responsibilities to already burdened teams, the CAP focuses on redesigning how work gets done — engineering communication reliability into existing workflows through standardized triggers, documentation, and measurement.</w:t>
            </w:r>
          </w:p>
        </w:tc>
      </w:tr>
    </w:tbl>
    <w:p>
      <w:pPr>
        <w:spacing w:before="80" w:after="0"/>
      </w:pPr>
      <w:r>
        <w:t xml:space="preserve"/>
      </w:r>
    </w:p>
    <w:p>
      <w:pPr>
        <w:spacing w:before="60" w:after="100"/>
      </w:pPr>
      <w:r>
        <w:rPr>
          <w:rFonts w:ascii="Arial" w:cs="Arial" w:eastAsia="Arial" w:hAnsi="Arial"/>
          <w:b w:val="false"/>
          <w:bCs w:val="false"/>
          <w:i w:val="false"/>
          <w:iCs w:val="false"/>
          <w:color w:val="000000"/>
          <w:sz w:val="22"/>
          <w:szCs w:val="22"/>
        </w:rPr>
        <w:t xml:space="preserve">Every hypothesis you declare, every data signal you examine, and every decision you test across this program is contributing to a blueprint you will be able to implement the day you return to your organization.</w:t>
      </w:r>
    </w:p>
    <w:p>
      <w:pPr>
        <w:spacing w:before="60" w:after="0"/>
      </w:pPr>
      <w:r>
        <w:t xml:space="preserve"/>
      </w:r>
    </w:p>
    <w:p>
      <w:pPr>
        <w:spacing w:before="60" w:after="100"/>
      </w:pPr>
      <w:r>
        <w:rPr>
          <w:rFonts w:ascii="Arial" w:cs="Arial" w:eastAsia="Arial" w:hAnsi="Arial"/>
          <w:b w:val="false"/>
          <w:bCs w:val="false"/>
          <w:i/>
          <w:iCs/>
          <w:color w:val="4A637D"/>
          <w:sz w:val="22"/>
          <w:szCs w:val="22"/>
        </w:rPr>
        <w:t xml:space="preserve">With the orientation complete, the next module applies the Tiered Decision Cycle to the first communication-dependent touchpoint in the patient journey: Pre-Arrival and Pre-Assessment.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80"/>
      <w:jc w:val="right"/>
    </w:pPr>
    <w:r>
      <w:rPr>
        <w:rFonts w:ascii="Arial" w:cs="Arial" w:eastAsia="Arial" w:hAnsi="Arial"/>
        <w:color w:val="4A637D"/>
        <w:sz w:val="18"/>
        <w:szCs w:val="18"/>
      </w:rPr>
      <w:t xml:space="preserve">CLEAR Program  ·  Confidential Draft  ·  </w:t>
    </w:r>
    <w:r>
      <w:rPr>
        <w:rFonts w:ascii="Arial" w:cs="Arial" w:eastAsia="Arial" w:hAnsi="Arial"/>
        <w:color w:val="4A63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80"/>
    </w:pPr>
    <w:r>
      <w:rPr>
        <w:rFonts w:ascii="Arial" w:cs="Arial" w:eastAsia="Arial" w:hAnsi="Arial"/>
        <w:color w:val="4A637D"/>
        <w:sz w:val="18"/>
        <w:szCs w:val="18"/>
      </w:rPr>
      <w:t xml:space="preserve">CLEAR Executive Language Access Certificate Program  ·  Module 0: Orientation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0C1E35"/>
      <w:sz w:val="32"/>
      <w:szCs w:val="32"/>
    </w:rPr>
  </w:style>
  <w:style w:type="paragraph" w:styleId="Heading2">
    <w:name w:val="Heading 2"/>
    <w:basedOn w:val="Normal"/>
    <w:next w:val="Normal"/>
    <w:qFormat/>
    <w:pPr>
      <w:spacing w:before="360" w:after="100"/>
      <w:outlineLvl w:val="1"/>
    </w:pPr>
    <w:rPr>
      <w:rFonts w:ascii="Arial" w:cs="Arial" w:eastAsia="Arial" w:hAnsi="Arial"/>
      <w:b/>
      <w:bCs/>
      <w:color w:val="0C1E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2026-03-02T18:47:50.160Z</dcterms:created>
  <dcterms:modified xsi:type="dcterms:W3CDTF">2026-03-02T18:47:50.161Z</dcterms:modified>
</cp:coreProperties>
</file>

<file path=docProps/custom.xml><?xml version="1.0" encoding="utf-8"?>
<Properties xmlns="http://schemas.openxmlformats.org/officeDocument/2006/custom-properties" xmlns:vt="http://schemas.openxmlformats.org/officeDocument/2006/docPropsVTypes"/>
</file>