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after="60"/>
        <w:jc w:val="center"/>
      </w:pPr>
      <w:r>
        <w:rPr>
          <w:rFonts w:ascii="Arial" w:cs="Arial" w:eastAsia="Arial" w:hAnsi="Arial"/>
          <w:b/>
          <w:bCs/>
          <w:color w:val="C0392B"/>
          <w:sz w:val="48"/>
          <w:szCs w:val="48"/>
        </w:rPr>
        <w:t xml:space="preserve">PILLAR 5</w:t>
      </w:r>
    </w:p>
    <w:p>
      <w:pPr>
        <w:spacing w:after="40"/>
        <w:jc w:val="center"/>
      </w:pPr>
      <w:r>
        <w:rPr>
          <w:rFonts w:ascii="Arial" w:cs="Arial" w:eastAsia="Arial" w:hAnsi="Arial"/>
          <w:b/>
          <w:bCs/>
          <w:color w:val="1F3864"/>
          <w:sz w:val="40"/>
          <w:szCs w:val="40"/>
        </w:rPr>
        <w:t xml:space="preserve">THRIVING AND INCLUSIVE COMMUNITIES</w:t>
      </w:r>
    </w:p>
    <w:p>
      <w:pPr>
        <w:spacing w:after="120"/>
        <w:jc w:val="center"/>
      </w:pPr>
      <w:r>
        <w:rPr>
          <w:rFonts w:ascii="Arial" w:cs="Arial" w:eastAsia="Arial" w:hAnsi="Arial"/>
          <w:color w:val="444444"/>
          <w:sz w:val="22"/>
          <w:szCs w:val="22"/>
        </w:rPr>
        <w:t xml:space="preserve">Where everyone's rights are protected</w:t>
      </w:r>
    </w:p>
    <w:p>
      <w:pPr>
        <w:spacing w:before="0" w:after="120"/>
        <w:jc w:val="center"/>
      </w:pPr>
      <w:r>
        <w:drawing>
          <wp:inline distT="0" distB="0" distL="0" distR="0">
            <wp:extent cx="857250" cy="857250"/>
            <wp:effectExtent t="0" r="0" b="0" l="0"/>
            <wp:docPr id="1" name="logo" descr="Richmond Civic Hackathon logo" title="Richmond Civic Hacka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p>
    <w:p>
      <w:pPr>
        <w:pBdr>
          <w:bottom w:val="single" w:color="C0392B" w:sz="6" w:space="1"/>
        </w:pBdr>
        <w:spacing w:before="120" w:after="120"/>
      </w:pPr>
      <w:r>
        <w:t xml:space="preserve"/>
      </w:r>
    </w:p>
    <w:p>
      <w:pPr>
        <w:spacing w:before="60" w:after="0"/>
      </w:pPr>
      <w:r>
        <w:t xml:space="preserve"/>
      </w:r>
    </w:p>
    <w:p>
      <w:pPr>
        <w:spacing w:after="40"/>
        <w:jc w:val="center"/>
      </w:pPr>
      <w:r>
        <w:rPr>
          <w:rFonts w:ascii="Arial" w:cs="Arial" w:eastAsia="Arial" w:hAnsi="Arial"/>
          <w:b/>
          <w:bCs/>
          <w:color w:val="1F3864"/>
          <w:sz w:val="26"/>
          <w:szCs w:val="26"/>
        </w:rPr>
        <w:t xml:space="preserve">JUDGE REFERENCE SHEET</w:t>
      </w:r>
    </w:p>
    <w:p>
      <w:pPr>
        <w:spacing w:after="40"/>
        <w:jc w:val="center"/>
      </w:pPr>
      <w:r>
        <w:rPr>
          <w:rFonts w:ascii="Arial" w:cs="Arial" w:eastAsia="Arial" w:hAnsi="Arial"/>
          <w:color w:val="444444"/>
          <w:sz w:val="18"/>
          <w:szCs w:val="18"/>
        </w:rPr>
        <w:t xml:space="preserve">Richmond Civic Hackathon  ·  March 27–29, 2026  ·  VCU Snead Hall</w:t>
      </w:r>
    </w:p>
    <w:p>
      <w:pPr>
        <w:spacing w:before="200" w:after="0"/>
      </w:pPr>
      <w:r>
        <w:t xml:space="preserve"/>
      </w:r>
    </w:p>
    <w:tbl>
      <w:tblPr>
        <w:tblW w:type="dxa" w:w="9360"/>
        <w:tblBorders>
          <w:top w:val="single" w:color="CCCCCC" w:sz="6"/>
          <w:left w:val="single" w:color="CCCCCC" w:sz="6"/>
          <w:bottom w:val="single" w:color="CCCCCC" w:sz="6"/>
          <w:right w:val="single" w:color="CCCCCC" w:sz="6"/>
          <w:insideH w:val="single" w:color="auto" w:sz="4"/>
          <w:insideV w:val="single" w:color="auto" w:sz="4"/>
        </w:tblBorders>
      </w:tblPr>
      <w:tblGrid>
        <w:gridCol w:w="4680"/>
        <w:gridCol w:w="4680"/>
      </w:tblGrid>
      <w:tr>
        <w:tc>
          <w:tcPr>
            <w:shd w:fill="F2F2F2" w:val="clear"/>
            <w:tcMar>
              <w:top w:type="dxa" w:w="80"/>
              <w:left w:type="dxa" w:w="120"/>
              <w:bottom w:type="dxa" w:w="80"/>
              <w:right w:type="dxa" w:w="120"/>
            </w:tcMar>
          </w:tcPr>
          <w:p>
            <w:pPr>
              <w:spacing w:before="0" w:after="80"/>
            </w:pPr>
            <w:r>
              <w:rPr>
                <w:rFonts w:ascii="Arial" w:cs="Arial" w:eastAsia="Arial" w:hAnsi="Arial"/>
                <w:b/>
                <w:bCs/>
                <w:color w:val="1F3864"/>
                <w:sz w:val="20"/>
                <w:szCs w:val="20"/>
              </w:rPr>
              <w:t xml:space="preserve">This document contains:</w:t>
            </w:r>
          </w:p>
          <w:p>
            <w:pPr>
              <w:pStyle w:val="ListParagraph"/>
              <w:numPr>
                <w:ilvl w:val="0"/>
                <w:numId w:val="2"/>
              </w:numPr>
              <w:spacing w:before="40" w:after="40"/>
            </w:pPr>
            <w:r>
              <w:rPr>
                <w:rFonts w:ascii="Arial" w:cs="Arial" w:eastAsia="Arial" w:hAnsi="Arial"/>
                <w:color w:val="444444"/>
                <w:sz w:val="19"/>
                <w:szCs w:val="19"/>
              </w:rPr>
              <w:t xml:space="preserve">Problem statements for both targeted challenges</w:t>
            </w:r>
          </w:p>
          <w:p>
            <w:pPr>
              <w:pStyle w:val="ListParagraph"/>
              <w:numPr>
                <w:ilvl w:val="0"/>
                <w:numId w:val="2"/>
              </w:numPr>
              <w:spacing w:before="40" w:after="40"/>
            </w:pPr>
            <w:r>
              <w:rPr>
                <w:rFonts w:ascii="Arial" w:cs="Arial" w:eastAsia="Arial" w:hAnsi="Arial"/>
                <w:color w:val="444444"/>
                <w:sz w:val="19"/>
                <w:szCs w:val="19"/>
              </w:rPr>
              <w:t xml:space="preserve">Blue sky vision and hackathon path</w:t>
            </w:r>
          </w:p>
          <w:p>
            <w:pPr>
              <w:pStyle w:val="ListParagraph"/>
              <w:numPr>
                <w:ilvl w:val="0"/>
                <w:numId w:val="2"/>
              </w:numPr>
              <w:spacing w:before="40" w:after="40"/>
            </w:pPr>
            <w:r>
              <w:rPr>
                <w:rFonts w:ascii="Arial" w:cs="Arial" w:eastAsia="Arial" w:hAnsi="Arial"/>
                <w:color w:val="444444"/>
                <w:sz w:val="19"/>
                <w:szCs w:val="19"/>
              </w:rPr>
              <w:t xml:space="preserve">Per-category scoring anchors for this pillar</w:t>
            </w:r>
          </w:p>
          <w:p>
            <w:pPr>
              <w:pStyle w:val="ListParagraph"/>
              <w:numPr>
                <w:ilvl w:val="0"/>
                <w:numId w:val="2"/>
              </w:numPr>
              <w:spacing w:before="40" w:after="40"/>
            </w:pPr>
            <w:r>
              <w:rPr>
                <w:rFonts w:ascii="Arial" w:cs="Arial" w:eastAsia="Arial" w:hAnsi="Arial"/>
                <w:color w:val="444444"/>
                <w:sz w:val="19"/>
                <w:szCs w:val="19"/>
              </w:rPr>
              <w:t xml:space="preserve">What wins and what loses</w:t>
            </w:r>
          </w:p>
          <w:p>
            <w:pPr>
              <w:pStyle w:val="ListParagraph"/>
              <w:numPr>
                <w:ilvl w:val="0"/>
                <w:numId w:val="2"/>
              </w:numPr>
              <w:spacing w:before="40" w:after="40"/>
            </w:pPr>
            <w:r>
              <w:rPr>
                <w:rFonts w:ascii="Arial" w:cs="Arial" w:eastAsia="Arial" w:hAnsi="Arial"/>
                <w:color w:val="444444"/>
                <w:sz w:val="19"/>
                <w:szCs w:val="19"/>
              </w:rPr>
              <w:t xml:space="preserve">Judge prompts and guardrails</w:t>
            </w:r>
          </w:p>
        </w:tc>
        <w:tc>
          <w:tcPr>
            <w:shd w:fill="F2F2F2" w:val="clear"/>
            <w:tcMar>
              <w:top w:type="dxa" w:w="80"/>
              <w:left w:type="dxa" w:w="120"/>
              <w:bottom w:type="dxa" w:w="80"/>
              <w:right w:type="dxa" w:w="120"/>
            </w:tcMar>
          </w:tcPr>
          <w:p>
            <w:pPr>
              <w:spacing w:before="0" w:after="80"/>
            </w:pPr>
            <w:r>
              <w:rPr>
                <w:rFonts w:ascii="Arial" w:cs="Arial" w:eastAsia="Arial" w:hAnsi="Arial"/>
                <w:b/>
                <w:bCs/>
                <w:color w:val="1F3864"/>
                <w:sz w:val="20"/>
                <w:szCs w:val="20"/>
              </w:rPr>
              <w:t xml:space="preserve">Scoring formula:</w:t>
            </w:r>
          </w:p>
          <w:p>
            <w:pPr>
              <w:spacing w:before="0" w:after="80"/>
            </w:pPr>
            <w:r>
              <w:rPr>
                <w:rFonts w:ascii="Arial" w:cs="Arial" w:eastAsia="Arial" w:hAnsi="Arial"/>
                <w:b w:val="false"/>
                <w:bCs w:val="false"/>
                <w:color w:val="444444"/>
                <w:sz w:val="18"/>
                <w:szCs w:val="18"/>
              </w:rPr>
              <w:t xml:space="preserve">Score each of 6 categories on a 1–5 scale, then multiply by the Pillar Award weights below. Maximum: 105.</w:t>
            </w:r>
          </w:p>
          <w:p>
            <w:pPr>
              <w:spacing w:before="60" w:after="0"/>
            </w:pPr>
            <w:r>
              <w:t xml:space="preserve"/>
            </w:r>
          </w:p>
          <w:p>
            <w:pPr>
              <w:spacing w:before="0" w:after="80"/>
            </w:pPr>
            <w:r>
              <w:rPr>
                <w:rFonts w:ascii="Arial" w:cs="Arial" w:eastAsia="Arial" w:hAnsi="Arial"/>
                <w:b/>
                <w:bCs/>
                <w:color w:val="1F3864"/>
                <w:sz w:val="20"/>
                <w:szCs w:val="20"/>
              </w:rPr>
              <w:t xml:space="preserve">Tiebreaker:</w:t>
            </w:r>
          </w:p>
          <w:p>
            <w:pPr>
              <w:spacing w:before="0" w:after="80"/>
            </w:pPr>
            <w:r>
              <w:rPr>
                <w:rFonts w:ascii="Arial" w:cs="Arial" w:eastAsia="Arial" w:hAnsi="Arial"/>
                <w:b w:val="false"/>
                <w:bCs w:val="false"/>
                <w:color w:val="444444"/>
                <w:sz w:val="18"/>
                <w:szCs w:val="18"/>
              </w:rPr>
              <w:t xml:space="preserve">User Value score</w:t>
            </w:r>
          </w:p>
          <w:p>
            <w:pPr>
              <w:spacing w:before="60" w:after="0"/>
            </w:pPr>
            <w:r>
              <w:t xml:space="preserve"/>
            </w:r>
          </w:p>
          <w:p>
            <w:pPr>
              <w:spacing w:before="0" w:after="80"/>
            </w:pPr>
            <w:r>
              <w:rPr>
                <w:rFonts w:ascii="Arial" w:cs="Arial" w:eastAsia="Arial" w:hAnsi="Arial"/>
                <w:b w:val="false"/>
                <w:bCs w:val="false"/>
                <w:color w:val="444444"/>
                <w:sz w:val="17"/>
                <w:szCs w:val="17"/>
              </w:rPr>
              <w:t xml:space="preserve">For full rubric: see RUBRIC.md</w:t>
            </w:r>
          </w:p>
        </w:tc>
      </w:tr>
    </w:tbl>
    <w:p>
      <w:pPr>
        <w:spacing w:before="100" w:after="0"/>
      </w:pPr>
      <w:r>
        <w:t xml:space="preserve"/>
      </w:r>
    </w:p>
    <w:p>
      <w:pPr>
        <w:pStyle w:val="Heading1"/>
        <w:pageBreakBefore/>
        <w:spacing w:before="280" w:after="160"/>
      </w:pPr>
      <w:r>
        <w:rPr>
          <w:rFonts w:ascii="Arial" w:cs="Arial" w:eastAsia="Arial" w:hAnsi="Arial"/>
          <w:b/>
          <w:bCs/>
          <w:color w:val="1F3864"/>
          <w:sz w:val="28"/>
          <w:szCs w:val="28"/>
        </w:rPr>
        <w:t xml:space="preserve">The Two Challenges</w:t>
      </w:r>
    </w:p>
    <w:p>
      <w:pPr>
        <w:spacing w:before="80" w:after="0"/>
      </w:pPr>
      <w:r>
        <w:t xml:space="preserve"/>
      </w:r>
    </w:p>
    <w:tbl>
      <w:tblPr>
        <w:tblW w:type="dxa" w:w="9360"/>
        <w:tblBorders>
          <w:top w:val="single" w:color="2E75B6" w:sz="6"/>
          <w:left w:val="single" w:color="2E75B6" w:sz="6"/>
          <w:bottom w:val="single" w:color="2E75B6" w:sz="6"/>
          <w:right w:val="single" w:color="2E75B6" w:sz="6"/>
          <w:insideH w:val="single" w:color="auto" w:sz="4"/>
          <w:insideV w:val="single" w:color="auto" w:sz="4"/>
        </w:tblBorders>
      </w:tblPr>
      <w:tblGrid>
        <w:gridCol w:w="7560"/>
        <w:gridCol w:w="1800"/>
      </w:tblGrid>
      <w:tr>
        <w:tc>
          <w:tcPr>
            <w:tcW w:type="dxa" w:w="7560"/>
            <w:shd w:fill="E3F2FD" w:val="clear"/>
            <w:tcMar>
              <w:top w:type="dxa" w:w="80"/>
              <w:left w:type="dxa" w:w="120"/>
              <w:bottom w:type="dxa" w:w="80"/>
              <w:right w:type="dxa" w:w="120"/>
            </w:tcMar>
          </w:tcPr>
          <w:p>
            <w:r>
              <w:rPr>
                <w:rFonts w:ascii="Arial" w:cs="Arial" w:eastAsia="Arial" w:hAnsi="Arial"/>
                <w:b/>
                <w:bCs/>
                <w:color w:val="1F3864"/>
                <w:sz w:val="22"/>
                <w:szCs w:val="22"/>
              </w:rPr>
              <w:t xml:space="preserve">Problem 1: Help Residents Safely Discover and Connect to Trusted Support Services</w:t>
            </w:r>
          </w:p>
        </w:tc>
        <w:tc>
          <w:tcPr>
            <w:tcW w:type="dxa" w:w="1800"/>
            <w:shd w:fill="E3F2FD"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24/32  </w:t>
            </w:r>
            <w:r>
              <w:rPr>
                <w:rFonts w:ascii="Arial" w:cs="Arial" w:eastAsia="Arial" w:hAnsi="Arial"/>
                <w:b/>
                <w:bCs/>
                <w:color w:val="1B5E20"/>
                <w:sz w:val="18"/>
                <w:szCs w:val="18"/>
              </w:rPr>
              <w:t xml:space="preserve">Strong</w:t>
            </w:r>
          </w:p>
        </w:tc>
      </w:tr>
    </w:tbl>
    <w:p>
      <w:pPr>
        <w:spacing w:before="60" w:after="0"/>
      </w:pPr>
      <w:r>
        <w:t xml:space="preserve"/>
      </w:r>
    </w:p>
    <w:p>
      <w:pPr>
        <w:spacing w:before="0" w:after="80"/>
      </w:pPr>
      <w:r>
        <w:rPr>
          <w:rFonts w:ascii="Arial" w:cs="Arial" w:eastAsia="Arial" w:hAnsi="Arial"/>
          <w:b/>
          <w:bCs/>
          <w:color w:val="1F3864"/>
          <w:sz w:val="20"/>
          <w:szCs w:val="20"/>
        </w:rPr>
        <w:t xml:space="preserve">Statement</w:t>
      </w:r>
    </w:p>
    <w:p>
      <w:pPr>
        <w:spacing w:before="0" w:after="80"/>
      </w:pPr>
      <w:r>
        <w:rPr>
          <w:rFonts w:ascii="Arial" w:cs="Arial" w:eastAsia="Arial" w:hAnsi="Arial"/>
          <w:b w:val="false"/>
          <w:bCs w:val="false"/>
          <w:color w:val="444444"/>
          <w:sz w:val="19"/>
          <w:szCs w:val="19"/>
        </w:rPr>
        <w:t xml:space="preserve">While Richmond has a growing network of City programs, nonprofits, and community-based organizations that provide support to immigrant and refugee residents, many residents struggle to safely discover and connect to these services. Concerns about privacy, language barriers, and uncertainty about which organizations can be trusted often prevent residents from seeking help.</w:t>
      </w:r>
    </w:p>
    <w:p>
      <w:pPr>
        <w:spacing w:before="60" w:after="0"/>
      </w:pPr>
      <w:r>
        <w:t xml:space="preserve"/>
      </w:r>
    </w:p>
    <w:p>
      <w:pPr>
        <w:spacing w:before="0" w:after="80"/>
      </w:pPr>
      <w:r>
        <w:rPr>
          <w:rFonts w:ascii="Arial" w:cs="Arial" w:eastAsia="Arial" w:hAnsi="Arial"/>
          <w:b/>
          <w:bCs/>
          <w:color w:val="1F3864"/>
          <w:sz w:val="20"/>
          <w:szCs w:val="20"/>
        </w:rPr>
        <w:t xml:space="preserve">Why this problem matters</w:t>
      </w:r>
    </w:p>
    <w:p>
      <w:pPr>
        <w:spacing w:before="0" w:after="80"/>
      </w:pPr>
      <w:r>
        <w:rPr>
          <w:rFonts w:ascii="Arial" w:cs="Arial" w:eastAsia="Arial" w:hAnsi="Arial"/>
          <w:b w:val="false"/>
          <w:bCs w:val="false"/>
          <w:color w:val="444444"/>
          <w:sz w:val="19"/>
          <w:szCs w:val="19"/>
        </w:rPr>
        <w:t xml:space="preserve">Support services exist but are invisible or inaccessible to many of the residents who need them most. Help1RVA connects residents to services but requires navigation friction. Service information across Help1RVA, FindHelp/Aunt Bertha, and individual organization websites is not synchronized. The result: residents in crisis don't find help before they give up.</w:t>
      </w:r>
    </w:p>
    <w:p>
      <w:pPr>
        <w:spacing w:before="60" w:after="0"/>
      </w:pPr>
      <w:r>
        <w:t xml:space="preserve"/>
      </w:r>
    </w:p>
    <w:p>
      <w:pPr>
        <w:spacing w:before="0" w:after="80"/>
      </w:pPr>
      <w:r>
        <w:rPr>
          <w:rFonts w:ascii="Arial" w:cs="Arial" w:eastAsia="Arial" w:hAnsi="Arial"/>
          <w:b/>
          <w:bCs/>
          <w:color w:val="1F3864"/>
          <w:sz w:val="20"/>
          <w:szCs w:val="20"/>
        </w:rPr>
        <w:t xml:space="preserve">Build toward</w:t>
      </w:r>
    </w:p>
    <w:p>
      <w:pPr>
        <w:pStyle w:val="ListParagraph"/>
        <w:numPr>
          <w:ilvl w:val="0"/>
          <w:numId w:val="2"/>
        </w:numPr>
        <w:spacing w:before="40" w:after="40"/>
      </w:pPr>
      <w:r>
        <w:rPr>
          <w:rFonts w:ascii="Arial" w:cs="Arial" w:eastAsia="Arial" w:hAnsi="Arial"/>
          <w:color w:val="444444"/>
          <w:sz w:val="19"/>
          <w:szCs w:val="19"/>
        </w:rPr>
        <w:t xml:space="preserve">Privacy-first service finder — no login, no PII collected, anonymous browsing by service type</w:t>
      </w:r>
    </w:p>
    <w:p>
      <w:pPr>
        <w:pStyle w:val="ListParagraph"/>
        <w:numPr>
          <w:ilvl w:val="0"/>
          <w:numId w:val="2"/>
        </w:numPr>
        <w:spacing w:before="40" w:after="40"/>
      </w:pPr>
      <w:r>
        <w:rPr>
          <w:rFonts w:ascii="Arial" w:cs="Arial" w:eastAsia="Arial" w:hAnsi="Arial"/>
          <w:color w:val="444444"/>
          <w:sz w:val="19"/>
          <w:szCs w:val="19"/>
        </w:rPr>
        <w:t xml:space="preserve">Multilingual resource tool — Spanish, Arabic, Nepali, Burmese priority languages</w:t>
      </w:r>
    </w:p>
    <w:p>
      <w:pPr>
        <w:pStyle w:val="ListParagraph"/>
        <w:numPr>
          <w:ilvl w:val="0"/>
          <w:numId w:val="2"/>
        </w:numPr>
        <w:spacing w:before="40" w:after="40"/>
      </w:pPr>
      <w:r>
        <w:rPr>
          <w:rFonts w:ascii="Arial" w:cs="Arial" w:eastAsia="Arial" w:hAnsi="Arial"/>
          <w:color w:val="444444"/>
          <w:sz w:val="19"/>
          <w:szCs w:val="19"/>
        </w:rPr>
        <w:t xml:space="preserve">Trusted community messenger system — WhatsApp/SMS distribution through community ambassador organizations</w:t>
      </w:r>
    </w:p>
    <w:p>
      <w:pPr>
        <w:pStyle w:val="ListParagraph"/>
        <w:numPr>
          <w:ilvl w:val="0"/>
          <w:numId w:val="2"/>
        </w:numPr>
        <w:spacing w:before="40" w:after="40"/>
      </w:pPr>
      <w:r>
        <w:rPr>
          <w:rFonts w:ascii="Arial" w:cs="Arial" w:eastAsia="Arial" w:hAnsi="Arial"/>
          <w:color w:val="444444"/>
          <w:sz w:val="19"/>
          <w:szCs w:val="19"/>
        </w:rPr>
        <w:t xml:space="preserve">Help1RVA interface improvement — multilingual, voice-friendly, simpler navigation layer</w:t>
      </w:r>
    </w:p>
    <w:p>
      <w:pPr>
        <w:pStyle w:val="ListParagraph"/>
        <w:numPr>
          <w:ilvl w:val="0"/>
          <w:numId w:val="2"/>
        </w:numPr>
        <w:spacing w:before="40" w:after="40"/>
      </w:pPr>
      <w:r>
        <w:rPr>
          <w:rFonts w:ascii="Arial" w:cs="Arial" w:eastAsia="Arial" w:hAnsi="Arial"/>
          <w:color w:val="444444"/>
          <w:sz w:val="19"/>
          <w:szCs w:val="19"/>
        </w:rPr>
        <w:t xml:space="preserve">QR-code printable resource guide for distribution through faith organizations, schools, and clinics</w:t>
      </w:r>
    </w:p>
    <w:p>
      <w:pPr>
        <w:spacing w:before="60" w:after="0"/>
      </w:pPr>
      <w:r>
        <w:t xml:space="preserve"/>
      </w:r>
    </w:p>
    <w:p>
      <w:pPr>
        <w:spacing w:before="0" w:after="80"/>
      </w:pPr>
      <w:r>
        <w:rPr>
          <w:rFonts w:ascii="Arial" w:cs="Arial" w:eastAsia="Arial" w:hAnsi="Arial"/>
          <w:b/>
          <w:bCs/>
          <w:color w:val="1F3864"/>
          <w:sz w:val="20"/>
          <w:szCs w:val="20"/>
        </w:rPr>
        <w:t xml:space="preserve">Key constraints</w:t>
      </w:r>
    </w:p>
    <w:p>
      <w:pPr>
        <w:pStyle w:val="ListParagraph"/>
        <w:numPr>
          <w:ilvl w:val="0"/>
          <w:numId w:val="2"/>
        </w:numPr>
        <w:spacing w:before="40" w:after="40"/>
      </w:pPr>
      <w:r>
        <w:rPr>
          <w:rFonts w:ascii="Arial" w:cs="Arial" w:eastAsia="Arial" w:hAnsi="Arial"/>
          <w:color w:val="444444"/>
          <w:sz w:val="19"/>
          <w:szCs w:val="19"/>
        </w:rPr>
        <w:t xml:space="preserve">Privacy is not optional — must not require account creation or personal information from residents</w:t>
      </w:r>
    </w:p>
    <w:p>
      <w:pPr>
        <w:pStyle w:val="ListParagraph"/>
        <w:numPr>
          <w:ilvl w:val="0"/>
          <w:numId w:val="2"/>
        </w:numPr>
        <w:spacing w:before="40" w:after="40"/>
      </w:pPr>
      <w:r>
        <w:rPr>
          <w:rFonts w:ascii="Arial" w:cs="Arial" w:eastAsia="Arial" w:hAnsi="Arial"/>
          <w:color w:val="444444"/>
          <w:sz w:val="19"/>
          <w:szCs w:val="19"/>
        </w:rPr>
        <w:t xml:space="preserve">Must work with existing nonprofit and community-based support networks — do not replace them</w:t>
      </w:r>
    </w:p>
    <w:p>
      <w:pPr>
        <w:pStyle w:val="ListParagraph"/>
        <w:numPr>
          <w:ilvl w:val="0"/>
          <w:numId w:val="2"/>
        </w:numPr>
        <w:spacing w:before="40" w:after="40"/>
      </w:pPr>
      <w:r>
        <w:rPr>
          <w:rFonts w:ascii="Arial" w:cs="Arial" w:eastAsia="Arial" w:hAnsi="Arial"/>
          <w:color w:val="444444"/>
          <w:sz w:val="19"/>
          <w:szCs w:val="19"/>
        </w:rPr>
        <w:t xml:space="preserve">Service information must be updatable by community organizations without technical expertise</w:t>
      </w:r>
    </w:p>
    <w:p>
      <w:pPr>
        <w:pStyle w:val="ListParagraph"/>
        <w:numPr>
          <w:ilvl w:val="0"/>
          <w:numId w:val="2"/>
        </w:numPr>
        <w:spacing w:before="40" w:after="40"/>
      </w:pPr>
      <w:r>
        <w:rPr>
          <w:rFonts w:ascii="Arial" w:cs="Arial" w:eastAsia="Arial" w:hAnsi="Arial"/>
          <w:color w:val="444444"/>
          <w:sz w:val="19"/>
          <w:szCs w:val="19"/>
        </w:rPr>
        <w:t xml:space="preserve">Must function through channels residents actually use — not just a web app</w:t>
      </w:r>
    </w:p>
    <w:p>
      <w:pPr>
        <w:pStyle w:val="ListParagraph"/>
        <w:numPr>
          <w:ilvl w:val="0"/>
          <w:numId w:val="2"/>
        </w:numPr>
        <w:spacing w:before="40" w:after="40"/>
      </w:pPr>
      <w:r>
        <w:rPr>
          <w:rFonts w:ascii="Arial" w:cs="Arial" w:eastAsia="Arial" w:hAnsi="Arial"/>
          <w:color w:val="444444"/>
          <w:sz w:val="19"/>
          <w:szCs w:val="19"/>
        </w:rPr>
        <w:t xml:space="preserve">Must not expose any information that could put residents at enforcement risk</w:t>
      </w:r>
    </w:p>
    <w:p>
      <w:pPr>
        <w:spacing w:before="60" w:after="0"/>
      </w:pPr>
      <w:r>
        <w:t xml:space="preserve"/>
      </w:r>
    </w:p>
    <w:p>
      <w:pPr>
        <w:spacing w:before="0" w:after="80"/>
      </w:pPr>
      <w:r>
        <w:rPr>
          <w:rFonts w:ascii="Arial" w:cs="Arial" w:eastAsia="Arial" w:hAnsi="Arial"/>
          <w:b/>
          <w:bCs/>
          <w:color w:val="7B4F00"/>
          <w:sz w:val="20"/>
          <w:szCs w:val="20"/>
        </w:rPr>
        <w:t xml:space="preserve">Data gaps to address before building</w:t>
      </w:r>
    </w:p>
    <w:p>
      <w:pPr>
        <w:pStyle w:val="ListParagraph"/>
        <w:numPr>
          <w:ilvl w:val="0"/>
          <w:numId w:val="2"/>
        </w:numPr>
        <w:spacing w:before="40" w:after="40"/>
      </w:pPr>
      <w:r>
        <w:rPr>
          <w:rFonts w:ascii="Arial" w:cs="Arial" w:eastAsia="Arial" w:hAnsi="Arial"/>
          <w:color w:val="444444"/>
          <w:sz w:val="19"/>
          <w:szCs w:val="19"/>
        </w:rPr>
        <w:t xml:space="preserve">Help1RVA export not currently public — confirm what is available before building on it</w:t>
      </w:r>
    </w:p>
    <w:p>
      <w:pPr>
        <w:pStyle w:val="ListParagraph"/>
        <w:numPr>
          <w:ilvl w:val="0"/>
          <w:numId w:val="2"/>
        </w:numPr>
        <w:spacing w:before="40" w:after="40"/>
      </w:pPr>
      <w:r>
        <w:rPr>
          <w:rFonts w:ascii="Arial" w:cs="Arial" w:eastAsia="Arial" w:hAnsi="Arial"/>
          <w:color w:val="444444"/>
          <w:sz w:val="19"/>
          <w:szCs w:val="19"/>
        </w:rPr>
        <w:t xml:space="preserve">Priority languages confirmed as likely (Spanish, Arabic, Nepali, Burmese) but not formally verified — confirm with a community partner</w:t>
      </w:r>
    </w:p>
    <w:p>
      <w:pPr>
        <w:pStyle w:val="ListParagraph"/>
        <w:numPr>
          <w:ilvl w:val="0"/>
          <w:numId w:val="2"/>
        </w:numPr>
        <w:spacing w:before="40" w:after="40"/>
      </w:pPr>
      <w:r>
        <w:rPr>
          <w:rFonts w:ascii="Arial" w:cs="Arial" w:eastAsia="Arial" w:hAnsi="Arial"/>
          <w:color w:val="444444"/>
          <w:sz w:val="19"/>
          <w:szCs w:val="19"/>
        </w:rPr>
        <w:t xml:space="preserve">Which organizations are willing to serve as trusted intermediaries is not yet documented</w:t>
      </w:r>
    </w:p>
    <w:p>
      <w:pPr>
        <w:pStyle w:val="ListParagraph"/>
        <w:numPr>
          <w:ilvl w:val="0"/>
          <w:numId w:val="2"/>
        </w:numPr>
        <w:spacing w:before="40" w:after="40"/>
      </w:pPr>
      <w:r>
        <w:rPr>
          <w:rFonts w:ascii="Arial" w:cs="Arial" w:eastAsia="Arial" w:hAnsi="Arial"/>
          <w:color w:val="444444"/>
          <w:sz w:val="19"/>
          <w:szCs w:val="19"/>
        </w:rPr>
        <w:t xml:space="preserve">WhatsApp/SMS/Facebook vs. web usage patterns for target populations are undocumented</w:t>
      </w:r>
    </w:p>
    <w:p>
      <w:pPr>
        <w:spacing w:before="80" w:after="0"/>
      </w:pPr>
      <w:r>
        <w:t xml:space="preserve"/>
      </w:r>
    </w:p>
    <w:p>
      <w:pPr>
        <w:spacing w:before="80" w:after="0"/>
      </w:pPr>
      <w:r>
        <w:t xml:space="preserve"/>
      </w:r>
    </w:p>
    <w:tbl>
      <w:tblPr>
        <w:tblW w:type="dxa" w:w="9360"/>
        <w:tblBorders>
          <w:top w:val="single" w:color="2E75B6" w:sz="6"/>
          <w:left w:val="single" w:color="2E75B6" w:sz="6"/>
          <w:bottom w:val="single" w:color="2E75B6" w:sz="6"/>
          <w:right w:val="single" w:color="2E75B6" w:sz="6"/>
          <w:insideH w:val="single" w:color="auto" w:sz="4"/>
          <w:insideV w:val="single" w:color="auto" w:sz="4"/>
        </w:tblBorders>
      </w:tblPr>
      <w:tblGrid>
        <w:gridCol w:w="7560"/>
        <w:gridCol w:w="1800"/>
      </w:tblGrid>
      <w:tr>
        <w:tc>
          <w:tcPr>
            <w:tcW w:type="dxa" w:w="7560"/>
            <w:shd w:fill="E3F2FD" w:val="clear"/>
            <w:tcMar>
              <w:top w:type="dxa" w:w="80"/>
              <w:left w:type="dxa" w:w="120"/>
              <w:bottom w:type="dxa" w:w="80"/>
              <w:right w:type="dxa" w:w="120"/>
            </w:tcMar>
          </w:tcPr>
          <w:p>
            <w:r>
              <w:rPr>
                <w:rFonts w:ascii="Arial" w:cs="Arial" w:eastAsia="Arial" w:hAnsi="Arial"/>
                <w:b/>
                <w:bCs/>
                <w:color w:val="1F3864"/>
                <w:sz w:val="22"/>
                <w:szCs w:val="22"/>
              </w:rPr>
              <w:t xml:space="preserve">Problem 2: Helping Residents Navigate the Right Support Services Without Repeating Their Story</w:t>
            </w:r>
          </w:p>
        </w:tc>
        <w:tc>
          <w:tcPr>
            <w:tcW w:type="dxa" w:w="1800"/>
            <w:shd w:fill="E3F2FD" w:val="clear"/>
            <w:tcMar>
              <w:top w:type="dxa" w:w="80"/>
              <w:left w:type="dxa" w:w="120"/>
              <w:bottom w:type="dxa" w:w="80"/>
              <w:right w:type="dxa" w:w="120"/>
            </w:tcMar>
            <w:vAlign w:val="center"/>
          </w:tcPr>
          <w:p>
            <w:pPr>
              <w:jc w:val="center"/>
            </w:pPr>
            <w:r>
              <w:rPr>
                <w:rFonts w:ascii="Arial" w:cs="Arial" w:eastAsia="Arial" w:hAnsi="Arial"/>
                <w:b/>
                <w:bCs/>
                <w:color w:val="7B4F00"/>
                <w:sz w:val="20"/>
                <w:szCs w:val="20"/>
              </w:rPr>
              <w:t xml:space="preserve">22/32  </w:t>
            </w:r>
            <w:r>
              <w:rPr>
                <w:rFonts w:ascii="Arial" w:cs="Arial" w:eastAsia="Arial" w:hAnsi="Arial"/>
                <w:b/>
                <w:bCs/>
                <w:color w:val="7B4F00"/>
                <w:sz w:val="18"/>
                <w:szCs w:val="18"/>
              </w:rPr>
              <w:t xml:space="preserve">Needs work</w:t>
            </w:r>
          </w:p>
        </w:tc>
      </w:tr>
    </w:tbl>
    <w:p>
      <w:pPr>
        <w:spacing w:before="60" w:after="0"/>
      </w:pPr>
      <w:r>
        <w:t xml:space="preserve"/>
      </w:r>
    </w:p>
    <w:p>
      <w:pPr>
        <w:spacing w:before="0" w:after="80"/>
      </w:pPr>
      <w:r>
        <w:rPr>
          <w:rFonts w:ascii="Arial" w:cs="Arial" w:eastAsia="Arial" w:hAnsi="Arial"/>
          <w:b/>
          <w:bCs/>
          <w:color w:val="1F3864"/>
          <w:sz w:val="20"/>
          <w:szCs w:val="20"/>
        </w:rPr>
        <w:t xml:space="preserve">Statement</w:t>
      </w:r>
    </w:p>
    <w:p>
      <w:pPr>
        <w:spacing w:before="0" w:after="80"/>
      </w:pPr>
      <w:r>
        <w:rPr>
          <w:rFonts w:ascii="Arial" w:cs="Arial" w:eastAsia="Arial" w:hAnsi="Arial"/>
          <w:b w:val="false"/>
          <w:bCs w:val="false"/>
          <w:color w:val="444444"/>
          <w:sz w:val="19"/>
          <w:szCs w:val="19"/>
        </w:rPr>
        <w:t xml:space="preserve">Residents seeking housing stability, workforce support, or reentry services often need assistance from multiple City departments and partner organizations. However, information about programs is spread across different agencies, eligibility requirements are complex, and residents frequently have to repeat their story to multiple providers.</w:t>
      </w:r>
    </w:p>
    <w:p>
      <w:pPr>
        <w:spacing w:before="60" w:after="0"/>
      </w:pPr>
      <w:r>
        <w:t xml:space="preserve"/>
      </w:r>
    </w:p>
    <w:p>
      <w:pPr>
        <w:spacing w:before="0" w:after="80"/>
      </w:pPr>
      <w:r>
        <w:rPr>
          <w:rFonts w:ascii="Arial" w:cs="Arial" w:eastAsia="Arial" w:hAnsi="Arial"/>
          <w:b/>
          <w:bCs/>
          <w:color w:val="1F3864"/>
          <w:sz w:val="20"/>
          <w:szCs w:val="20"/>
        </w:rPr>
        <w:t xml:space="preserve">Why this problem matters</w:t>
      </w:r>
    </w:p>
    <w:p>
      <w:pPr>
        <w:spacing w:before="0" w:after="80"/>
      </w:pPr>
      <w:r>
        <w:rPr>
          <w:rFonts w:ascii="Arial" w:cs="Arial" w:eastAsia="Arial" w:hAnsi="Arial"/>
          <w:b w:val="false"/>
          <w:bCs w:val="false"/>
          <w:color w:val="444444"/>
          <w:sz w:val="19"/>
          <w:szCs w:val="19"/>
        </w:rPr>
        <w:t xml:space="preserve">Residents navigating housing, workforce development, or reentry services interact with Social Services, Housing, workforce programs, and nonprofits — all operating on different systems. Each touchpoint may require re-explaining the same circumstances, which is exhausting and can be retraumatizing. The gap is not whether services exist — it's whether residents can navigate to them without breaking down in the process.</w:t>
      </w:r>
    </w:p>
    <w:p>
      <w:pPr>
        <w:spacing w:before="60" w:after="0"/>
      </w:pPr>
      <w:r>
        <w:t xml:space="preserve"/>
      </w:r>
    </w:p>
    <w:p>
      <w:pPr>
        <w:spacing w:before="0" w:after="80"/>
      </w:pPr>
      <w:r>
        <w:rPr>
          <w:rFonts w:ascii="Arial" w:cs="Arial" w:eastAsia="Arial" w:hAnsi="Arial"/>
          <w:b/>
          <w:bCs/>
          <w:color w:val="1F3864"/>
          <w:sz w:val="20"/>
          <w:szCs w:val="20"/>
        </w:rPr>
        <w:t xml:space="preserve">Build toward</w:t>
      </w:r>
    </w:p>
    <w:p>
      <w:pPr>
        <w:pStyle w:val="ListParagraph"/>
        <w:numPr>
          <w:ilvl w:val="0"/>
          <w:numId w:val="2"/>
        </w:numPr>
        <w:spacing w:before="40" w:after="40"/>
      </w:pPr>
      <w:r>
        <w:rPr>
          <w:rFonts w:ascii="Arial" w:cs="Arial" w:eastAsia="Arial" w:hAnsi="Arial"/>
          <w:color w:val="444444"/>
          <w:sz w:val="19"/>
          <w:szCs w:val="19"/>
        </w:rPr>
        <w:t xml:space="preserve">Service pathway visualization — a staff-facing map of how a resident moves between services (conceptual, built from public service descriptions)</w:t>
      </w:r>
    </w:p>
    <w:p>
      <w:pPr>
        <w:pStyle w:val="ListParagraph"/>
        <w:numPr>
          <w:ilvl w:val="0"/>
          <w:numId w:val="2"/>
        </w:numPr>
        <w:spacing w:before="40" w:after="40"/>
      </w:pPr>
      <w:r>
        <w:rPr>
          <w:rFonts w:ascii="Arial" w:cs="Arial" w:eastAsia="Arial" w:hAnsi="Arial"/>
          <w:color w:val="444444"/>
          <w:sz w:val="19"/>
          <w:szCs w:val="19"/>
        </w:rPr>
        <w:t xml:space="preserve">Staff coordination helper — helps case managers understand what a resident may need from another organization, without sharing personal resident data</w:t>
      </w:r>
    </w:p>
    <w:p>
      <w:pPr>
        <w:pStyle w:val="ListParagraph"/>
        <w:numPr>
          <w:ilvl w:val="0"/>
          <w:numId w:val="2"/>
        </w:numPr>
        <w:spacing w:before="40" w:after="40"/>
      </w:pPr>
      <w:r>
        <w:rPr>
          <w:rFonts w:ascii="Arial" w:cs="Arial" w:eastAsia="Arial" w:hAnsi="Arial"/>
          <w:color w:val="444444"/>
          <w:sz w:val="19"/>
          <w:szCs w:val="19"/>
        </w:rPr>
        <w:t xml:space="preserve">Eligibility navigator — given a resident's general situation (no PII), surfaces relevant programs and the order to approach them</w:t>
      </w:r>
    </w:p>
    <w:p>
      <w:pPr>
        <w:pStyle w:val="ListParagraph"/>
        <w:numPr>
          <w:ilvl w:val="0"/>
          <w:numId w:val="2"/>
        </w:numPr>
        <w:spacing w:before="40" w:after="40"/>
      </w:pPr>
      <w:r>
        <w:rPr>
          <w:rFonts w:ascii="Arial" w:cs="Arial" w:eastAsia="Arial" w:hAnsi="Arial"/>
          <w:color w:val="444444"/>
          <w:sz w:val="19"/>
          <w:szCs w:val="19"/>
        </w:rPr>
        <w:t xml:space="preserve">Pathway explainer tool — plain-language breakdown of the housing/workforce/reentry service ecosystem for both residents and intake staff</w:t>
      </w:r>
    </w:p>
    <w:p>
      <w:pPr>
        <w:spacing w:before="60" w:after="0"/>
      </w:pPr>
      <w:r>
        <w:t xml:space="preserve"/>
      </w:r>
    </w:p>
    <w:p>
      <w:pPr>
        <w:spacing w:before="0" w:after="80"/>
      </w:pPr>
      <w:r>
        <w:rPr>
          <w:rFonts w:ascii="Arial" w:cs="Arial" w:eastAsia="Arial" w:hAnsi="Arial"/>
          <w:b/>
          <w:bCs/>
          <w:color w:val="1F3864"/>
          <w:sz w:val="20"/>
          <w:szCs w:val="20"/>
        </w:rPr>
        <w:t xml:space="preserve">Key constraints</w:t>
      </w:r>
    </w:p>
    <w:p>
      <w:pPr>
        <w:pStyle w:val="ListParagraph"/>
        <w:numPr>
          <w:ilvl w:val="0"/>
          <w:numId w:val="2"/>
        </w:numPr>
        <w:spacing w:before="40" w:after="40"/>
      </w:pPr>
      <w:r>
        <w:rPr>
          <w:rFonts w:ascii="Arial" w:cs="Arial" w:eastAsia="Arial" w:hAnsi="Arial"/>
          <w:color w:val="444444"/>
          <w:sz w:val="19"/>
          <w:szCs w:val="19"/>
        </w:rPr>
        <w:t xml:space="preserve">HIPAA and PII rules are real blocking constraints — do not collect, store, or display individual resident data</w:t>
      </w:r>
    </w:p>
    <w:p>
      <w:pPr>
        <w:pStyle w:val="ListParagraph"/>
        <w:numPr>
          <w:ilvl w:val="0"/>
          <w:numId w:val="2"/>
        </w:numPr>
        <w:spacing w:before="40" w:after="40"/>
      </w:pPr>
      <w:r>
        <w:rPr>
          <w:rFonts w:ascii="Arial" w:cs="Arial" w:eastAsia="Arial" w:hAnsi="Arial"/>
          <w:color w:val="444444"/>
          <w:sz w:val="19"/>
          <w:szCs w:val="19"/>
        </w:rPr>
        <w:t xml:space="preserve">Cross-agency data sharing is severely limited by policy — do not build on assumptions of data access that doesn't exist</w:t>
      </w:r>
    </w:p>
    <w:p>
      <w:pPr>
        <w:pStyle w:val="ListParagraph"/>
        <w:numPr>
          <w:ilvl w:val="0"/>
          <w:numId w:val="2"/>
        </w:numPr>
        <w:spacing w:before="40" w:after="40"/>
      </w:pPr>
      <w:r>
        <w:rPr>
          <w:rFonts w:ascii="Arial" w:cs="Arial" w:eastAsia="Arial" w:hAnsi="Arial"/>
          <w:color w:val="444444"/>
          <w:sz w:val="19"/>
          <w:szCs w:val="19"/>
        </w:rPr>
        <w:t xml:space="preserve">Must support, not replace, human case managers and community trust relationships</w:t>
      </w:r>
    </w:p>
    <w:p>
      <w:pPr>
        <w:pStyle w:val="ListParagraph"/>
        <w:numPr>
          <w:ilvl w:val="0"/>
          <w:numId w:val="2"/>
        </w:numPr>
        <w:spacing w:before="40" w:after="40"/>
      </w:pPr>
      <w:r>
        <w:rPr>
          <w:rFonts w:ascii="Arial" w:cs="Arial" w:eastAsia="Arial" w:hAnsi="Arial"/>
          <w:color w:val="444444"/>
          <w:sz w:val="19"/>
          <w:szCs w:val="19"/>
        </w:rPr>
        <w:t xml:space="preserve">Demo must be honest about what is conceptual vs. what is data-driven</w:t>
      </w:r>
    </w:p>
    <w:p>
      <w:pPr>
        <w:spacing w:before="80" w:after="0"/>
      </w:pPr>
      <w:r>
        <w:t xml:space="preserve"/>
      </w:r>
    </w:p>
    <w:tbl>
      <w:tblPr>
        <w:tblW w:type="dxa" w:w="9360"/>
        <w:tblBorders>
          <w:top w:val="single" w:color="2E75B6" w:sz="6"/>
          <w:left w:val="single" w:color="2E75B6" w:sz="6"/>
          <w:bottom w:val="single" w:color="2E75B6" w:sz="6"/>
          <w:right w:val="single" w:color="2E75B6" w:sz="6"/>
          <w:insideH w:val="single" w:color="auto" w:sz="4"/>
          <w:insideV w:val="single" w:color="auto" w:sz="4"/>
        </w:tblBorders>
      </w:tblPr>
      <w:tblGrid>
        <w:gridCol w:w="9360"/>
      </w:tblGrid>
      <w:tr>
        <w:tc>
          <w:tcPr>
            <w:tcW w:type="dxa" w:w="9360"/>
            <w:shd w:fill="FFF3CD" w:val="clear"/>
            <w:tcMar>
              <w:top w:type="dxa" w:w="80"/>
              <w:left w:type="dxa" w:w="120"/>
              <w:bottom w:type="dxa" w:w="80"/>
              <w:right w:type="dxa" w:w="120"/>
            </w:tcMar>
          </w:tcPr>
          <w:p>
            <w:pPr>
              <w:spacing w:before="0" w:after="60"/>
            </w:pPr>
            <w:r>
              <w:rPr>
                <w:rFonts w:ascii="Arial" w:cs="Arial" w:eastAsia="Arial" w:hAnsi="Arial"/>
                <w:b/>
                <w:bCs/>
                <w:color w:val="7B4F00"/>
                <w:sz w:val="19"/>
                <w:szCs w:val="19"/>
              </w:rPr>
              <w:t xml:space="preserve">⚠ Data Gap Warning</w:t>
            </w:r>
          </w:p>
          <w:p>
            <w:pPr>
              <w:spacing w:before="0" w:after="0"/>
            </w:pPr>
            <w:r>
              <w:rPr>
                <w:rFonts w:ascii="Arial" w:cs="Arial" w:eastAsia="Arial" w:hAnsi="Arial"/>
                <w:color w:val="444444"/>
                <w:sz w:val="19"/>
                <w:szCs w:val="19"/>
              </w:rPr>
              <w:t xml:space="preserve">This problem has D3=1 — the lowest data readiness. No cross-agency dataset exists. Teams must work with public information only and accept that the demo will be conceptual for cross-agency elements. Do not build anything that requires a shared case record, intake database, or cross-department integration.</w:t>
            </w:r>
          </w:p>
        </w:tc>
      </w:tr>
    </w:tbl>
    <w:p>
      <w:pPr>
        <w:spacing w:before="80" w:after="0"/>
      </w:pPr>
      <w:r>
        <w:t xml:space="preserve"/>
      </w:r>
    </w:p>
    <w:p>
      <w:pPr>
        <w:pStyle w:val="Heading1"/>
        <w:pageBreakBefore/>
        <w:spacing w:before="280" w:after="160"/>
      </w:pPr>
      <w:r>
        <w:rPr>
          <w:rFonts w:ascii="Arial" w:cs="Arial" w:eastAsia="Arial" w:hAnsi="Arial"/>
          <w:b/>
          <w:bCs/>
          <w:color w:val="1F3864"/>
          <w:sz w:val="28"/>
          <w:szCs w:val="28"/>
        </w:rPr>
        <w:t xml:space="preserve">Blue Sky Vision</w:t>
      </w:r>
    </w:p>
    <w:p>
      <w:pPr>
        <w:spacing w:before="80" w:after="0"/>
      </w:pPr>
      <w:r>
        <w:t xml:space="preserve"/>
      </w:r>
    </w:p>
    <w:tbl>
      <w:tblPr>
        <w:tblW w:type="dxa" w:w="9360"/>
        <w:tblBorders>
          <w:top w:val="single" w:color="FFB300" w:sz="6"/>
          <w:left w:val="single" w:color="FFB300" w:sz="6"/>
          <w:bottom w:val="single" w:color="FFB300" w:sz="6"/>
          <w:right w:val="single" w:color="FFB300" w:sz="6"/>
          <w:insideH w:val="single" w:color="auto" w:sz="4"/>
          <w:insideV w:val="single" w:color="auto" w:sz="4"/>
        </w:tblBorders>
      </w:tblPr>
      <w:tblGrid>
        <w:gridCol w:w="9360"/>
      </w:tblGrid>
      <w:tr>
        <w:tc>
          <w:tcPr>
            <w:shd w:fill="FFFDE7" w:val="clear"/>
            <w:tcMar>
              <w:top w:type="dxa" w:w="80"/>
              <w:left w:type="dxa" w:w="120"/>
              <w:bottom w:type="dxa" w:w="80"/>
              <w:right w:type="dxa" w:w="120"/>
            </w:tcMar>
          </w:tcPr>
          <w:p>
            <w:r>
              <w:rPr>
                <w:rFonts w:ascii="Arial" w:cs="Arial" w:eastAsia="Arial" w:hAnsi="Arial"/>
                <w:b/>
                <w:bCs/>
                <w:color w:val="7B4F00"/>
                <w:sz w:val="22"/>
                <w:szCs w:val="22"/>
              </w:rPr>
              <w:t xml:space="preserve">★ Blue Sky Vision  </w:t>
            </w:r>
            <w:r>
              <w:rPr>
                <w:rFonts w:ascii="Arial" w:cs="Arial" w:eastAsia="Arial" w:hAnsi="Arial"/>
                <w:b/>
                <w:bCs/>
                <w:color w:val="1B5E20"/>
                <w:sz w:val="20"/>
                <w:szCs w:val="20"/>
              </w:rPr>
              <w:t xml:space="preserve">21/27</w:t>
            </w:r>
          </w:p>
        </w:tc>
      </w:tr>
    </w:tbl>
    <w:p>
      <w:pPr>
        <w:spacing w:before="60" w:after="0"/>
      </w:pPr>
      <w:r>
        <w:t xml:space="preserve"/>
      </w:r>
    </w:p>
    <w:p>
      <w:pPr>
        <w:spacing w:before="0" w:after="80"/>
      </w:pPr>
      <w:r>
        <w:rPr>
          <w:rFonts w:ascii="Arial" w:cs="Arial" w:eastAsia="Arial" w:hAnsi="Arial"/>
          <w:b w:val="false"/>
          <w:bCs w:val="false"/>
          <w:color w:val="444444"/>
          <w:sz w:val="19"/>
          <w:szCs w:val="19"/>
        </w:rPr>
        <w:t xml:space="preserve">Every City service has a multilingual, plain-language front door that works on a phone, requires no digital literacy, and meets residents where they are — in their language and through their trusted community organizations.</w:t>
      </w:r>
    </w:p>
    <w:p>
      <w:pPr>
        <w:spacing w:before="60" w:after="0"/>
      </w:pPr>
      <w:r>
        <w:t xml:space="preserve"/>
      </w:r>
    </w:p>
    <w:p>
      <w:pPr>
        <w:spacing w:before="0" w:after="80"/>
      </w:pPr>
      <w:r>
        <w:rPr>
          <w:rFonts w:ascii="Arial" w:cs="Arial" w:eastAsia="Arial" w:hAnsi="Arial"/>
          <w:b/>
          <w:bCs/>
          <w:color w:val="7B4F00"/>
          <w:sz w:val="20"/>
          <w:szCs w:val="20"/>
        </w:rPr>
        <w:t xml:space="preserve">Why this scored well</w:t>
      </w:r>
    </w:p>
    <w:p>
      <w:pPr>
        <w:spacing w:before="0" w:after="80"/>
      </w:pPr>
      <w:r>
        <w:rPr>
          <w:rFonts w:ascii="Arial" w:cs="Arial" w:eastAsia="Arial" w:hAnsi="Arial"/>
          <w:b w:val="false"/>
          <w:bCs w:val="false"/>
          <w:color w:val="444444"/>
          <w:sz w:val="19"/>
          <w:szCs w:val="19"/>
        </w:rPr>
        <w:t xml:space="preserve">The gap between 'services exist' and 'residents can access them' is primarily a language, literacy, and trust problem — not a supply problem. This blue sky has high hackathon relevance because a multilingual service finder is a direct prototype of this vision. The technical barrier is low; the content and community trust work are the actual challenge.</w:t>
      </w:r>
    </w:p>
    <w:p>
      <w:pPr>
        <w:spacing w:before="60" w:after="0"/>
      </w:pPr>
      <w:r>
        <w:t xml:space="preserve"/>
      </w:r>
    </w:p>
    <w:p>
      <w:pPr>
        <w:spacing w:before="0" w:after="80"/>
      </w:pPr>
      <w:r>
        <w:rPr>
          <w:rFonts w:ascii="Arial" w:cs="Arial" w:eastAsia="Arial" w:hAnsi="Arial"/>
          <w:b/>
          <w:bCs/>
          <w:color w:val="7B4F00"/>
          <w:sz w:val="20"/>
          <w:szCs w:val="20"/>
        </w:rPr>
        <w:t xml:space="preserve">Hackathon path if you're aiming at this vision</w:t>
      </w:r>
    </w:p>
    <w:p>
      <w:pPr>
        <w:spacing w:before="0" w:after="80"/>
      </w:pPr>
      <w:r>
        <w:rPr>
          <w:rFonts w:ascii="Arial" w:cs="Arial" w:eastAsia="Arial" w:hAnsi="Arial"/>
          <w:b w:val="false"/>
          <w:bCs w:val="false"/>
          <w:color w:val="444444"/>
          <w:sz w:val="19"/>
          <w:szCs w:val="19"/>
        </w:rPr>
        <w:t xml:space="preserve">Build the multilingual access component: a service finder in 2–4 languages (Spanish at minimum), designed for low digital literacy (large tap targets, plain language, minimal navigation), distributable through community channels (QR code, SMS link, WhatsApp share button). The blue sky is the ceiling; Problem 1 (Safe Service Discovery) is the practical floor. A team that builds Problem 1 with multilingual, privacy-first, channel-flexible design will have a compelling pitch for both awards.</w:t>
      </w:r>
    </w:p>
    <w:p>
      <w:pPr>
        <w:spacing w:before="80" w:after="0"/>
      </w:pPr>
      <w:r>
        <w:t xml:space="preserve"/>
      </w:r>
    </w:p>
    <w:p>
      <w:pPr>
        <w:pStyle w:val="Heading1"/>
        <w:pageBreakBefore/>
        <w:spacing w:before="280" w:after="160"/>
      </w:pPr>
      <w:r>
        <w:rPr>
          <w:rFonts w:ascii="Arial" w:cs="Arial" w:eastAsia="Arial" w:hAnsi="Arial"/>
          <w:b/>
          <w:bCs/>
          <w:color w:val="1F3864"/>
          <w:sz w:val="28"/>
          <w:szCs w:val="28"/>
        </w:rPr>
        <w:t xml:space="preserve">Scoring Reference — Pillar Award</w:t>
      </w:r>
    </w:p>
    <w:p>
      <w:pPr>
        <w:spacing w:before="0" w:after="80"/>
      </w:pPr>
      <w:r>
        <w:rPr>
          <w:rFonts w:ascii="Arial" w:cs="Arial" w:eastAsia="Arial" w:hAnsi="Arial"/>
          <w:b w:val="false"/>
          <w:bCs w:val="false"/>
          <w:color w:val="444444"/>
          <w:sz w:val="19"/>
          <w:szCs w:val="19"/>
        </w:rPr>
        <w:t xml:space="preserve">Use the weights and anchors below when scoring projects competing for this pillar award.</w:t>
      </w:r>
    </w:p>
    <w:p>
      <w:pPr>
        <w:spacing w:before="80" w:after="0"/>
      </w:pPr>
      <w:r>
        <w:t xml:space="preserve"/>
      </w:r>
    </w:p>
    <w:tbl>
      <w:tblPr>
        <w:tblW w:type="dxa" w:w="9360"/>
        <w:tblBorders>
          <w:top w:val="single" w:color="CCCCCC" w:sz="6"/>
          <w:left w:val="single" w:color="CCCCCC" w:sz="6"/>
          <w:bottom w:val="single" w:color="CCCCCC" w:sz="6"/>
          <w:right w:val="single" w:color="CCCCCC" w:sz="6"/>
          <w:insideH w:val="single" w:color="auto" w:sz="4"/>
          <w:insideV w:val="single" w:color="auto" w:sz="4"/>
        </w:tblBorders>
      </w:tblPr>
      <w:tblGrid>
        <w:gridCol w:w="2800"/>
        <w:gridCol w:w="800"/>
        <w:gridCol w:w="5760"/>
      </w:tblGrid>
      <w:tr>
        <w:trPr>
          <w:tblHeader/>
        </w:trPr>
        <w:tc>
          <w:tcPr>
            <w:tcW w:type="dxa" w:w="2800"/>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800"/>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Weight</w:t>
            </w:r>
          </w:p>
        </w:tc>
        <w:tc>
          <w:tcPr>
            <w:tcW w:type="dxa" w:w="5760"/>
            <w:shd w:fill="1F3864" w:val="clear"/>
            <w:tcMar>
              <w:top w:type="dxa" w:w="80"/>
              <w:left w:type="dxa" w:w="120"/>
              <w:bottom w:type="dxa" w:w="80"/>
              <w:right w:type="dxa" w:w="120"/>
            </w:tcMar>
          </w:tcPr>
          <w:p>
            <w:r>
              <w:rPr>
                <w:rFonts w:ascii="Arial" w:cs="Arial" w:eastAsia="Arial" w:hAnsi="Arial"/>
                <w:b/>
                <w:bCs/>
                <w:color w:val="FFFFFF"/>
                <w:sz w:val="18"/>
                <w:szCs w:val="18"/>
              </w:rPr>
              <w:t xml:space="preserve">Pillar-specific scoring anchor</w:t>
            </w:r>
          </w:p>
        </w:tc>
      </w:tr>
      <w:tr>
        <w:tc>
          <w:tcPr>
            <w:tcW w:type="dxa" w:w="2800"/>
            <w:shd w:fill="FFFFFF" w:val="clear"/>
            <w:tcMar>
              <w:top w:type="dxa" w:w="80"/>
              <w:left w:type="dxa" w:w="120"/>
              <w:bottom w:type="dxa" w:w="80"/>
              <w:right w:type="dxa" w:w="120"/>
            </w:tcMar>
          </w:tcPr>
          <w:p>
            <w:r>
              <w:rPr>
                <w:rFonts w:ascii="Arial" w:cs="Arial" w:eastAsia="Arial" w:hAnsi="Arial"/>
                <w:b/>
                <w:bCs/>
                <w:color w:val="1F3864"/>
                <w:sz w:val="18"/>
                <w:szCs w:val="18"/>
              </w:rPr>
              <w:t xml:space="preserve">Impact (targeted pillar)</w:t>
            </w:r>
          </w:p>
        </w:tc>
        <w:tc>
          <w:tcPr>
            <w:tcW w:type="dxa" w:w="800"/>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5</w:t>
            </w:r>
          </w:p>
        </w:tc>
        <w:tc>
          <w:tcPr>
            <w:tcW w:type="dxa" w:w="5760"/>
            <w:shd w:fill="FFFFFF" w:val="clear"/>
            <w:tcMar>
              <w:top w:type="dxa" w:w="80"/>
              <w:left w:type="dxa" w:w="120"/>
              <w:bottom w:type="dxa" w:w="80"/>
              <w:right w:type="dxa" w:w="120"/>
            </w:tcMar>
          </w:tcPr>
          <w:p>
            <w:r>
              <w:rPr>
                <w:rFonts w:ascii="Arial" w:cs="Arial" w:eastAsia="Arial" w:hAnsi="Arial"/>
                <w:color w:val="444444"/>
                <w:sz w:val="18"/>
                <w:szCs w:val="18"/>
              </w:rPr>
              <w:t xml:space="preserve">Does the tool make trusted support services actually findable for immigrant and refugee residents? Or does it help case managers connect residents to services without re-traumatizing them? Impact must connect to a real safety or access outcome.</w:t>
            </w:r>
          </w:p>
        </w:tc>
      </w:tr>
      <w:tr>
        <w:tc>
          <w:tcPr>
            <w:tcW w:type="dxa" w:w="2800"/>
            <w:shd w:fill="F2F2F2" w:val="clear"/>
            <w:tcMar>
              <w:top w:type="dxa" w:w="80"/>
              <w:left w:type="dxa" w:w="120"/>
              <w:bottom w:type="dxa" w:w="80"/>
              <w:right w:type="dxa" w:w="120"/>
            </w:tcMar>
          </w:tcPr>
          <w:p>
            <w:r>
              <w:rPr>
                <w:rFonts w:ascii="Arial" w:cs="Arial" w:eastAsia="Arial" w:hAnsi="Arial"/>
                <w:b w:val="false"/>
                <w:bCs w:val="false"/>
                <w:color w:val="444444"/>
                <w:sz w:val="18"/>
                <w:szCs w:val="18"/>
              </w:rPr>
              <w:t xml:space="preserve">User Value</w:t>
            </w:r>
          </w:p>
        </w:tc>
        <w:tc>
          <w:tcPr>
            <w:tcW w:type="dxa" w:w="800"/>
            <w:shd w:fill="F2F2F2"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w:t>
            </w:r>
          </w:p>
        </w:tc>
        <w:tc>
          <w:tcPr>
            <w:tcW w:type="dxa" w:w="5760"/>
            <w:shd w:fill="F2F2F2" w:val="clear"/>
            <w:tcMar>
              <w:top w:type="dxa" w:w="80"/>
              <w:left w:type="dxa" w:w="120"/>
              <w:bottom w:type="dxa" w:w="80"/>
              <w:right w:type="dxa" w:w="120"/>
            </w:tcMar>
          </w:tcPr>
          <w:p>
            <w:r>
              <w:rPr>
                <w:rFonts w:ascii="Arial" w:cs="Arial" w:eastAsia="Arial" w:hAnsi="Arial"/>
                <w:color w:val="444444"/>
                <w:sz w:val="18"/>
                <w:szCs w:val="18"/>
              </w:rPr>
              <w:t xml:space="preserve">Is the user an immigrant resident who currently can't find services, or a case manager who can't coordinate across organizations without sharing protected data? The solution must improve their real experience.</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Feasibility</w:t>
            </w:r>
          </w:p>
        </w:tc>
        <w:tc>
          <w:tcPr>
            <w:tcW w:type="dxa" w:w="800"/>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3</w:t>
            </w:r>
          </w:p>
        </w:tc>
        <w:tc>
          <w:tcPr>
            <w:tcW w:type="dxa" w:w="5760"/>
            <w:shd w:fill="FFFFFF" w:val="clear"/>
            <w:tcMar>
              <w:top w:type="dxa" w:w="80"/>
              <w:left w:type="dxa" w:w="120"/>
              <w:bottom w:type="dxa" w:w="80"/>
              <w:right w:type="dxa" w:w="120"/>
            </w:tcMar>
          </w:tcPr>
          <w:p>
            <w:r>
              <w:rPr>
                <w:rFonts w:ascii="Arial" w:cs="Arial" w:eastAsia="Arial" w:hAnsi="Arial"/>
                <w:color w:val="444444"/>
                <w:sz w:val="18"/>
                <w:szCs w:val="18"/>
              </w:rPr>
              <w:t xml:space="preserve">Could Help1RVA or a community partner deploy this tool? Could it be maintained without ongoing City technical staff? Penalize solutions requiring cross-agency data sharing that policy prohibits.</w:t>
            </w:r>
          </w:p>
        </w:tc>
      </w:tr>
      <w:tr>
        <w:tc>
          <w:tcPr>
            <w:tcW w:type="dxa" w:w="2800"/>
            <w:shd w:fill="F2F2F2" w:val="clear"/>
            <w:tcMar>
              <w:top w:type="dxa" w:w="80"/>
              <w:left w:type="dxa" w:w="120"/>
              <w:bottom w:type="dxa" w:w="80"/>
              <w:right w:type="dxa" w:w="120"/>
            </w:tcMar>
          </w:tcPr>
          <w:p>
            <w:r>
              <w:rPr>
                <w:rFonts w:ascii="Arial" w:cs="Arial" w:eastAsia="Arial" w:hAnsi="Arial"/>
                <w:b w:val="false"/>
                <w:bCs w:val="false"/>
                <w:color w:val="444444"/>
                <w:sz w:val="18"/>
                <w:szCs w:val="18"/>
              </w:rPr>
              <w:t xml:space="preserve">Innovation</w:t>
            </w:r>
          </w:p>
        </w:tc>
        <w:tc>
          <w:tcPr>
            <w:tcW w:type="dxa" w:w="800"/>
            <w:shd w:fill="F2F2F2"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3</w:t>
            </w:r>
          </w:p>
        </w:tc>
        <w:tc>
          <w:tcPr>
            <w:tcW w:type="dxa" w:w="5760"/>
            <w:shd w:fill="F2F2F2" w:val="clear"/>
            <w:tcMar>
              <w:top w:type="dxa" w:w="80"/>
              <w:left w:type="dxa" w:w="120"/>
              <w:bottom w:type="dxa" w:w="80"/>
              <w:right w:type="dxa" w:w="120"/>
            </w:tcMar>
          </w:tcPr>
          <w:p>
            <w:r>
              <w:rPr>
                <w:rFonts w:ascii="Arial" w:cs="Arial" w:eastAsia="Arial" w:hAnsi="Arial"/>
                <w:color w:val="444444"/>
                <w:sz w:val="18"/>
                <w:szCs w:val="18"/>
              </w:rPr>
              <w:t xml:space="preserve">Does the tool offer a genuinely new approach to trust-building in service discovery? Does the staff coordination tool offer a useful framework for navigating without PII? A plain directory scores low.</w:t>
            </w:r>
          </w:p>
        </w:tc>
      </w:tr>
      <w:tr>
        <w:tc>
          <w:tcPr>
            <w:tcW w:type="dxa" w:w="2800"/>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Execution</w:t>
            </w:r>
          </w:p>
        </w:tc>
        <w:tc>
          <w:tcPr>
            <w:tcW w:type="dxa" w:w="800"/>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3</w:t>
            </w:r>
          </w:p>
        </w:tc>
        <w:tc>
          <w:tcPr>
            <w:tcW w:type="dxa" w:w="5760"/>
            <w:shd w:fill="FFFFFF" w:val="clear"/>
            <w:tcMar>
              <w:top w:type="dxa" w:w="80"/>
              <w:left w:type="dxa" w:w="120"/>
              <w:bottom w:type="dxa" w:w="80"/>
              <w:right w:type="dxa" w:w="120"/>
            </w:tcMar>
          </w:tcPr>
          <w:p>
            <w:r>
              <w:rPr>
                <w:rFonts w:ascii="Arial" w:cs="Arial" w:eastAsia="Arial" w:hAnsi="Arial"/>
                <w:color w:val="444444"/>
                <w:sz w:val="18"/>
                <w:szCs w:val="18"/>
              </w:rPr>
              <w:t xml:space="preserve">Can a Spanish-speaking resident with low digital literacy use the tool anonymously to find relevant services? Can a case manager use the pathway tool to route a resident without knowing their personal details?</w:t>
            </w:r>
          </w:p>
        </w:tc>
      </w:tr>
      <w:tr>
        <w:tc>
          <w:tcPr>
            <w:tcW w:type="dxa" w:w="2800"/>
            <w:shd w:fill="F2F2F2" w:val="clear"/>
            <w:tcMar>
              <w:top w:type="dxa" w:w="80"/>
              <w:left w:type="dxa" w:w="120"/>
              <w:bottom w:type="dxa" w:w="80"/>
              <w:right w:type="dxa" w:w="120"/>
            </w:tcMar>
          </w:tcPr>
          <w:p>
            <w:r>
              <w:rPr>
                <w:rFonts w:ascii="Arial" w:cs="Arial" w:eastAsia="Arial" w:hAnsi="Arial"/>
                <w:b w:val="false"/>
                <w:bCs w:val="false"/>
                <w:color w:val="444444"/>
                <w:sz w:val="18"/>
                <w:szCs w:val="18"/>
              </w:rPr>
              <w:t xml:space="preserve">Equity &amp; Inclusion</w:t>
            </w:r>
          </w:p>
        </w:tc>
        <w:tc>
          <w:tcPr>
            <w:tcW w:type="dxa" w:w="800"/>
            <w:shd w:fill="F2F2F2"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3</w:t>
            </w:r>
          </w:p>
        </w:tc>
        <w:tc>
          <w:tcPr>
            <w:tcW w:type="dxa" w:w="5760"/>
            <w:shd w:fill="F2F2F2" w:val="clear"/>
            <w:tcMar>
              <w:top w:type="dxa" w:w="80"/>
              <w:left w:type="dxa" w:w="120"/>
              <w:bottom w:type="dxa" w:w="80"/>
              <w:right w:type="dxa" w:w="120"/>
            </w:tcMar>
          </w:tcPr>
          <w:p>
            <w:r>
              <w:rPr>
                <w:rFonts w:ascii="Arial" w:cs="Arial" w:eastAsia="Arial" w:hAnsi="Arial"/>
                <w:color w:val="444444"/>
                <w:sz w:val="18"/>
                <w:szCs w:val="18"/>
              </w:rPr>
              <w:t xml:space="preserve">Does the solution prioritize the safety and dignity of vulnerable community members? Does it work in multiple languages? Does it reach residents through channels they actually use, not just a website?</w:t>
            </w:r>
          </w:p>
        </w:tc>
      </w:tr>
      <w:tr>
        <w:tc>
          <w:tcPr>
            <w:gridSpan w:val="3"/>
            <w:shd w:fill="E8ECF5" w:val="clear"/>
            <w:tcMar>
              <w:top w:type="dxa" w:w="80"/>
              <w:left w:type="dxa" w:w="120"/>
              <w:bottom w:type="dxa" w:w="80"/>
              <w:right w:type="dxa" w:w="120"/>
            </w:tcMar>
          </w:tcPr>
          <w:p>
            <w:r>
              <w:rPr>
                <w:rFonts w:ascii="Arial" w:cs="Arial" w:eastAsia="Arial" w:hAnsi="Arial"/>
                <w:b/>
                <w:bCs/>
                <w:color w:val="1F3864"/>
                <w:sz w:val="17"/>
                <w:szCs w:val="17"/>
              </w:rPr>
              <w:t xml:space="preserve">Max Score: 105  |  Formula: Σ (category score 1–5 × weight)  |  Tiebreaker: User Value</w:t>
            </w:r>
          </w:p>
        </w:tc>
      </w:tr>
    </w:tbl>
    <w:p>
      <w:pPr>
        <w:spacing w:before="120" w:after="0"/>
      </w:pPr>
      <w:r>
        <w:t xml:space="preserve"/>
      </w:r>
    </w:p>
    <w:tbl>
      <w:tblPr>
        <w:tblW w:type="dxa" w:w="9360"/>
        <w:tblBorders>
          <w:top w:val="single" w:color="CCCCCC" w:sz="6"/>
          <w:left w:val="single" w:color="CCCCCC" w:sz="6"/>
          <w:bottom w:val="single" w:color="CCCCCC" w:sz="6"/>
          <w:right w:val="single" w:color="CCCCCC" w:sz="6"/>
          <w:insideH w:val="single" w:color="auto" w:sz="4"/>
          <w:insideV w:val="single" w:color="auto" w:sz="4"/>
        </w:tblBorders>
      </w:tblPr>
      <w:tblGrid>
        <w:gridCol w:w="4560"/>
        <w:gridCol w:w="4800"/>
      </w:tblGrid>
      <w:tr>
        <w:tc>
          <w:tcPr>
            <w:tcW w:type="dxa" w:w="4560"/>
            <w:shd w:fill="E8F5E9" w:val="clear"/>
            <w:tcMar>
              <w:top w:type="dxa" w:w="80"/>
              <w:left w:type="dxa" w:w="120"/>
              <w:bottom w:type="dxa" w:w="80"/>
              <w:right w:type="dxa" w:w="120"/>
            </w:tcMar>
          </w:tcPr>
          <w:p>
            <w:pPr>
              <w:spacing w:before="0" w:after="60"/>
            </w:pPr>
            <w:r>
              <w:rPr>
                <w:rFonts w:ascii="Arial" w:cs="Arial" w:eastAsia="Arial" w:hAnsi="Arial"/>
                <w:b/>
                <w:bCs/>
                <w:color w:val="1B5E20"/>
                <w:sz w:val="19"/>
                <w:szCs w:val="19"/>
              </w:rPr>
              <w:t xml:space="preserve">✓ What wins here</w:t>
            </w:r>
          </w:p>
          <w:p>
            <w:pPr>
              <w:spacing w:before="20" w:after="20"/>
            </w:pPr>
            <w:r>
              <w:rPr>
                <w:rFonts w:ascii="Arial" w:cs="Arial" w:eastAsia="Arial" w:hAnsi="Arial"/>
                <w:color w:val="444444"/>
                <w:sz w:val="18"/>
                <w:szCs w:val="18"/>
              </w:rPr>
              <w:t xml:space="preserve">• Privacy-first, multilingual service finder with no account creation or PII required</w:t>
            </w:r>
          </w:p>
          <w:p>
            <w:pPr>
              <w:spacing w:before="20" w:after="20"/>
            </w:pPr>
            <w:r>
              <w:rPr>
                <w:rFonts w:ascii="Arial" w:cs="Arial" w:eastAsia="Arial" w:hAnsi="Arial"/>
                <w:color w:val="444444"/>
                <w:sz w:val="18"/>
                <w:szCs w:val="18"/>
              </w:rPr>
              <w:t xml:space="preserve">• Staff coordination tool that helps case managers navigate the service ecosystem without sharing protected data</w:t>
            </w:r>
          </w:p>
          <w:p>
            <w:pPr>
              <w:spacing w:before="20" w:after="20"/>
            </w:pPr>
            <w:r>
              <w:rPr>
                <w:rFonts w:ascii="Arial" w:cs="Arial" w:eastAsia="Arial" w:hAnsi="Arial"/>
                <w:color w:val="444444"/>
                <w:sz w:val="18"/>
                <w:szCs w:val="18"/>
              </w:rPr>
              <w:t xml:space="preserve">• Trusted channel distribution system (WhatsApp, SMS, QR code) that reaches residents through existing trust networks</w:t>
            </w:r>
          </w:p>
          <w:p>
            <w:pPr>
              <w:spacing w:before="20" w:after="20"/>
            </w:pPr>
            <w:r>
              <w:rPr>
                <w:rFonts w:ascii="Arial" w:cs="Arial" w:eastAsia="Arial" w:hAnsi="Arial"/>
                <w:color w:val="444444"/>
                <w:sz w:val="18"/>
                <w:szCs w:val="18"/>
              </w:rPr>
              <w:t xml:space="preserve">• Service directory updatable by community organizations without technical expertise</w:t>
            </w:r>
          </w:p>
        </w:tc>
        <w:tc>
          <w:tcPr>
            <w:tcW w:type="dxa" w:w="4800"/>
            <w:shd w:fill="FDECEA" w:val="clear"/>
            <w:tcMar>
              <w:top w:type="dxa" w:w="80"/>
              <w:left w:type="dxa" w:w="120"/>
              <w:bottom w:type="dxa" w:w="80"/>
              <w:right w:type="dxa" w:w="120"/>
            </w:tcMar>
          </w:tcPr>
          <w:p>
            <w:pPr>
              <w:spacing w:before="0" w:after="60"/>
            </w:pPr>
            <w:r>
              <w:rPr>
                <w:rFonts w:ascii="Arial" w:cs="Arial" w:eastAsia="Arial" w:hAnsi="Arial"/>
                <w:b/>
                <w:bCs/>
                <w:color w:val="C0392B"/>
                <w:sz w:val="19"/>
                <w:szCs w:val="19"/>
              </w:rPr>
              <w:t xml:space="preserve">✗ What loses here</w:t>
            </w:r>
          </w:p>
          <w:p>
            <w:pPr>
              <w:spacing w:before="20" w:after="20"/>
            </w:pPr>
            <w:r>
              <w:rPr>
                <w:rFonts w:ascii="Arial" w:cs="Arial" w:eastAsia="Arial" w:hAnsi="Arial"/>
                <w:color w:val="444444"/>
                <w:sz w:val="18"/>
                <w:szCs w:val="18"/>
              </w:rPr>
              <w:t xml:space="preserve">• Tools requiring resident account creation, immigration status, or health data</w:t>
            </w:r>
          </w:p>
          <w:p>
            <w:pPr>
              <w:spacing w:before="20" w:after="20"/>
            </w:pPr>
            <w:r>
              <w:rPr>
                <w:rFonts w:ascii="Arial" w:cs="Arial" w:eastAsia="Arial" w:hAnsi="Arial"/>
                <w:color w:val="444444"/>
                <w:sz w:val="18"/>
                <w:szCs w:val="18"/>
              </w:rPr>
              <w:t xml:space="preserve">• Solutions collecting or storing PII about vulnerable community members</w:t>
            </w:r>
          </w:p>
          <w:p>
            <w:pPr>
              <w:spacing w:before="20" w:after="20"/>
            </w:pPr>
            <w:r>
              <w:rPr>
                <w:rFonts w:ascii="Arial" w:cs="Arial" w:eastAsia="Arial" w:hAnsi="Arial"/>
                <w:color w:val="444444"/>
                <w:sz w:val="18"/>
                <w:szCs w:val="18"/>
              </w:rPr>
              <w:t xml:space="preserve">• Projects that expose residents to enforcement risk if data were accessed</w:t>
            </w:r>
          </w:p>
          <w:p>
            <w:pPr>
              <w:spacing w:before="20" w:after="20"/>
            </w:pPr>
            <w:r>
              <w:rPr>
                <w:rFonts w:ascii="Arial" w:cs="Arial" w:eastAsia="Arial" w:hAnsi="Arial"/>
                <w:color w:val="444444"/>
                <w:sz w:val="18"/>
                <w:szCs w:val="18"/>
              </w:rPr>
              <w:t xml:space="preserve">• Demos that require cross-agency data sharing that policy prohibits</w:t>
            </w:r>
          </w:p>
        </w:tc>
      </w:tr>
    </w:tbl>
    <w:p>
      <w:pPr>
        <w:spacing w:before="120" w:after="0"/>
      </w:pPr>
      <w:r>
        <w:t xml:space="preserve"/>
      </w:r>
    </w:p>
    <w:p>
      <w:pPr>
        <w:spacing w:before="0" w:after="80"/>
      </w:pPr>
      <w:r>
        <w:rPr>
          <w:rFonts w:ascii="Arial" w:cs="Arial" w:eastAsia="Arial" w:hAnsi="Arial"/>
          <w:b/>
          <w:bCs/>
          <w:color w:val="1F3864"/>
          <w:sz w:val="20"/>
          <w:szCs w:val="20"/>
        </w:rPr>
        <w:t xml:space="preserve">Judge prompt for this pillar</w:t>
      </w:r>
    </w:p>
    <w:p>
      <w:pPr>
        <w:spacing w:before="60" w:after="100"/>
      </w:pPr>
      <w:r>
        <w:rPr>
          <w:rFonts w:ascii="Arial" w:cs="Arial" w:eastAsia="Arial" w:hAnsi="Arial"/>
          <w:color w:val="444444"/>
          <w:sz w:val="20"/>
          <w:szCs w:val="20"/>
        </w:rPr>
        <w:t xml:space="preserve">"Could an undocumented Richmond resident use this tool anonymously, in Spanish, on a phone, to find legal aid without creating an account or giving their name? Or could a case manager at a housing nonprofit use the pathway tool to help a resident navigate without knowing their immigration status?"</w:t>
      </w:r>
    </w:p>
    <w:p>
      <w:pPr>
        <w:spacing w:before="40" w:after="0"/>
      </w:pPr>
      <w:r>
        <w:t xml:space="preserve"/>
      </w:r>
    </w:p>
    <w:p>
      <w:pPr>
        <w:pBdr>
          <w:bottom w:val="single" w:color="2E75B6" w:sz="6" w:space="1"/>
        </w:pBdr>
        <w:spacing w:before="120" w:after="120"/>
      </w:pPr>
      <w:r>
        <w:t xml:space="preserve"/>
      </w:r>
    </w:p>
    <w:p>
      <w:pPr>
        <w:spacing w:before="60" w:after="0"/>
      </w:pPr>
      <w:r>
        <w:t xml:space="preserve"/>
      </w:r>
    </w:p>
    <w:p>
      <w:pPr>
        <w:spacing w:before="0" w:after="80"/>
      </w:pPr>
      <w:r>
        <w:rPr>
          <w:rFonts w:ascii="Arial" w:cs="Arial" w:eastAsia="Arial" w:hAnsi="Arial"/>
          <w:b/>
          <w:bCs/>
          <w:color w:val="1F3864"/>
          <w:sz w:val="20"/>
          <w:szCs w:val="20"/>
        </w:rPr>
        <w:t xml:space="preserve">Quick scoring guardrails (apply to all awards)</w:t>
      </w:r>
    </w:p>
    <w:p>
      <w:pPr>
        <w:pStyle w:val="ListParagraph"/>
        <w:numPr>
          <w:ilvl w:val="0"/>
          <w:numId w:val="2"/>
        </w:numPr>
        <w:spacing w:before="40" w:after="40"/>
      </w:pPr>
      <w:r>
        <w:rPr>
          <w:rFonts w:ascii="Arial" w:cs="Arial" w:eastAsia="Arial" w:hAnsi="Arial"/>
          <w:color w:val="444444"/>
          <w:sz w:val="19"/>
          <w:szCs w:val="19"/>
        </w:rPr>
        <w:t xml:space="preserve">Do NOT reward technical complexity over civic usefulness</w:t>
      </w:r>
    </w:p>
    <w:p>
      <w:pPr>
        <w:pStyle w:val="ListParagraph"/>
        <w:numPr>
          <w:ilvl w:val="0"/>
          <w:numId w:val="2"/>
        </w:numPr>
        <w:spacing w:before="40" w:after="40"/>
      </w:pPr>
      <w:r>
        <w:rPr>
          <w:rFonts w:ascii="Arial" w:cs="Arial" w:eastAsia="Arial" w:hAnsi="Arial"/>
          <w:color w:val="444444"/>
          <w:sz w:val="19"/>
          <w:szCs w:val="19"/>
        </w:rPr>
        <w:t xml:space="preserve">Do NOT confuse interface polish with real impact</w:t>
      </w:r>
    </w:p>
    <w:p>
      <w:pPr>
        <w:pStyle w:val="ListParagraph"/>
        <w:numPr>
          <w:ilvl w:val="0"/>
          <w:numId w:val="2"/>
        </w:numPr>
        <w:spacing w:before="40" w:after="40"/>
      </w:pPr>
      <w:r>
        <w:rPr>
          <w:rFonts w:ascii="Arial" w:cs="Arial" w:eastAsia="Arial" w:hAnsi="Arial"/>
          <w:color w:val="444444"/>
          <w:sz w:val="19"/>
          <w:szCs w:val="19"/>
        </w:rPr>
        <w:t xml:space="preserve">Penalize fragile assumptions: nonexistent data, required integrations, or policy changes with no plan</w:t>
      </w:r>
    </w:p>
    <w:p>
      <w:pPr>
        <w:pStyle w:val="ListParagraph"/>
        <w:numPr>
          <w:ilvl w:val="0"/>
          <w:numId w:val="2"/>
        </w:numPr>
        <w:spacing w:before="40" w:after="40"/>
      </w:pPr>
      <w:r>
        <w:rPr>
          <w:rFonts w:ascii="Arial" w:cs="Arial" w:eastAsia="Arial" w:hAnsi="Arial"/>
          <w:color w:val="444444"/>
          <w:sz w:val="19"/>
          <w:szCs w:val="19"/>
        </w:rPr>
        <w:t xml:space="preserve">If the demo is mostly slides, Execution should be 1–2</w:t>
      </w:r>
    </w:p>
    <w:p>
      <w:pPr>
        <w:pStyle w:val="ListParagraph"/>
        <w:numPr>
          <w:ilvl w:val="0"/>
          <w:numId w:val="2"/>
        </w:numPr>
        <w:spacing w:before="40" w:after="40"/>
      </w:pPr>
      <w:r>
        <w:rPr>
          <w:rFonts w:ascii="Arial" w:cs="Arial" w:eastAsia="Arial" w:hAnsi="Arial"/>
          <w:color w:val="444444"/>
          <w:sz w:val="19"/>
          <w:szCs w:val="19"/>
        </w:rPr>
        <w:t xml:space="preserve">If the project requires internal City system access it doesn't have, Feasibility should drop at least one point</w:t>
      </w:r>
    </w:p>
    <w:p>
      <w:pPr>
        <w:spacing w:before="8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color w:val="444444"/>
        <w:sz w:val="16"/>
        <w:szCs w:val="16"/>
      </w:rPr>
      <w:t xml:space="preserve">March 27–29, 2026  |  VCU Snead Hall  |  Hack for RVA</w:t>
    </w:r>
    <w:r>
      <w:rPr>
        <w:rFonts w:ascii="Arial" w:cs="Arial" w:eastAsia="Arial" w:hAnsi="Arial"/>
        <w:color w:val="444444"/>
        <w:sz w:val="16"/>
        <w:szCs w:val="16"/>
      </w:rPr>
      <w:t xml:space="preserve">	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1"/>
      </w:pBdr>
      <w:tabs>
        <w:tab w:val="right" w:pos="9026"/>
      </w:tabs>
      <w:spacing w:after="160"/>
    </w:pPr>
    <w:r>
      <w:rPr>
        <w:rFonts w:ascii="Arial" w:cs="Arial" w:eastAsia="Arial" w:hAnsi="Arial"/>
        <w:color w:val="1F3864"/>
        <w:sz w:val="18"/>
        <w:szCs w:val="18"/>
      </w:rPr>
      <w:t xml:space="preserve">Richmond Civic Hackathon  |  Pillar 5: Thriving and Inclusive Communities</w:t>
    </w:r>
    <w:r>
      <w:rPr>
        <w:rFonts w:ascii="Arial" w:cs="Arial" w:eastAsia="Arial" w:hAnsi="Arial"/>
        <w:color w:val="444444"/>
        <w:sz w:val="17"/>
        <w:szCs w:val="17"/>
      </w:rPr>
      <w:t xml:space="preserve">	Judge Reference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2c1d06f9b477df064b5a99f47a16f29b98a934a.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2026-03-25T06:50:16.965Z</dcterms:created>
  <dcterms:modified xsi:type="dcterms:W3CDTF">2026-03-25T06:50:16.965Z</dcterms:modified>
</cp:coreProperties>
</file>

<file path=docProps/custom.xml><?xml version="1.0" encoding="utf-8"?>
<Properties xmlns="http://schemas.openxmlformats.org/officeDocument/2006/custom-properties" xmlns:vt="http://schemas.openxmlformats.org/officeDocument/2006/docPropsVTypes"/>
</file>