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nal-equity-research-report-len"/>
    <w:p>
      <w:pPr>
        <w:pStyle w:val="Heading1"/>
      </w:pPr>
      <w:r>
        <w:t xml:space="preserve">Final Equity Research Report: LEN</w:t>
      </w:r>
    </w:p>
    <w:p>
      <w:pPr>
        <w:pStyle w:val="FirstParagraph"/>
      </w:pPr>
      <w:r>
        <w:rPr>
          <w:b/>
          <w:bCs/>
        </w:rPr>
        <w:t xml:space="preserve">Company:</w:t>
      </w:r>
      <w:r>
        <w:t xml:space="preserve"> </w:t>
      </w:r>
      <w:r>
        <w:t xml:space="preserve">Lennar Corporation</w:t>
      </w:r>
      <w:r>
        <w:t xml:space="preserve"> </w:t>
      </w:r>
      <w:r>
        <w:rPr>
          <w:b/>
          <w:bCs/>
        </w:rPr>
        <w:t xml:space="preserve">Sector:</w:t>
      </w:r>
      <w:r>
        <w:t xml:space="preserve"> </w:t>
      </w:r>
      <w:r>
        <w:t xml:space="preserve">Consumer Cyclical |</w:t>
      </w:r>
      <w:r>
        <w:t xml:space="preserve"> </w:t>
      </w:r>
      <w:r>
        <w:rPr>
          <w:b/>
          <w:bCs/>
        </w:rPr>
        <w:t xml:space="preserve">Industry:</w:t>
      </w:r>
      <w:r>
        <w:t xml:space="preserve"> </w:t>
      </w:r>
      <w:r>
        <w:t xml:space="preserve">Residential Construction</w:t>
      </w:r>
      <w:r>
        <w:t xml:space="preserve"> </w:t>
      </w:r>
      <w:r>
        <w:rPr>
          <w:b/>
          <w:bCs/>
        </w:rPr>
        <w:t xml:space="preserve">Current Price:</w:t>
      </w:r>
      <w:r>
        <w:t xml:space="preserve"> </w:t>
      </w:r>
      <w:r>
        <w:t xml:space="preserve">$116.96 |</w:t>
      </w:r>
      <w:r>
        <w:t xml:space="preserve"> </w:t>
      </w:r>
      <w:r>
        <w:rPr>
          <w:b/>
          <w:bCs/>
        </w:rPr>
        <w:t xml:space="preserve">Market Cap:</w:t>
      </w:r>
      <w:r>
        <w:t xml:space="preserve"> </w:t>
      </w:r>
      <w:r>
        <w:t xml:space="preserve">$28,877,078,528</w:t>
      </w:r>
      <w:r>
        <w:t xml:space="preserve"> </w:t>
      </w:r>
      <w:r>
        <w:rPr>
          <w:b/>
          <w:bCs/>
        </w:rPr>
        <w:t xml:space="preserve">Report Date:</w:t>
      </w:r>
      <w:r>
        <w:t xml:space="preserve"> </w:t>
      </w:r>
      <w:r>
        <w:t xml:space="preserve">2026-01-09 12:26:03</w:t>
      </w:r>
    </w:p>
    <w:p>
      <w:r>
        <w:pict>
          <v:rect style="width:0;height:1.5pt" o:hralign="center" o:hrstd="t" o:hr="t"/>
        </w:pict>
      </w:r>
    </w:p>
    <w:bookmarkStart w:id="9" w:name="executive-summary"/>
    <w:p>
      <w:pPr>
        <w:pStyle w:val="Heading2"/>
      </w:pPr>
      <w:r>
        <w:t xml:space="preserve">Executive Summary</w:t>
      </w:r>
    </w:p>
    <w:p>
      <w:pPr>
        <w:pStyle w:val="FirstParagraph"/>
      </w:pPr>
      <w:r>
        <w:t xml:space="preserve">Comprehensive analysis of Lennar Corporation (LEN) across 12 analytical dimensions including technical analysis, fundamental metrics, competitive landscape, business model, financial leverage, valuation, and risk factors.</w:t>
      </w:r>
    </w:p>
    <w:p>
      <w:r>
        <w:pict>
          <v:rect style="width:0;height:1.5pt" o:hralign="center" o:hrstd="t" o:hr="t"/>
        </w:pict>
      </w:r>
    </w:p>
    <w:bookmarkEnd w:id="9"/>
    <w:bookmarkStart w:id="10" w:name="stock-chart"/>
    <w:p>
      <w:pPr>
        <w:pStyle w:val="Heading2"/>
      </w:pPr>
      <w:r>
        <w:t xml:space="preserve">Stock Chart</w:t>
      </w:r>
    </w:p>
    <w:tbl>
      <w:tblPr>
        <w:tblStyle w:val="FigureTable"/>
        <w:tblW w:type="auto" w:w="0"/>
        <w:jc w:val="center"/>
        <w:tblLook w:firstRow="0" w:lastRow="0" w:firstColumn="0" w:lastColumn="0"/>
      </w:tblPr>
      <w:tblGrid>
        <w:gridCol w:w="7920"/>
      </w:tblGrid>
      <w:tr>
        <w:tc>
          <w:tcPr/>
          <w:p>
            <w:pPr>
              <w:pStyle w:val="Compact"/>
              <w:jc w:val="center"/>
            </w:pPr>
            <w:r>
              <w:t xml:space="preserve">Stock Chart</w:t>
            </w:r>
          </w:p>
        </w:tc>
      </w:tr>
    </w:tbl>
    <w:p>
      <w:pPr>
        <w:pStyle w:val="ImageCaption"/>
      </w:pPr>
      <w:r>
        <w:t xml:space="preserve">Stock Chart</w:t>
      </w:r>
    </w:p>
    <w:p>
      <w:pPr>
        <w:pStyle w:val="BodyText"/>
      </w:pPr>
      <w:r>
        <w:rPr>
          <w:i/>
          <w:iCs/>
        </w:rPr>
        <w:t xml:space="preserve">4-year weekly chart showing price action, 13-week and 52-week moving averages, volume, and relative strength vs S&amp;P 500</w:t>
      </w:r>
    </w:p>
    <w:p>
      <w:r>
        <w:pict>
          <v:rect style="width:0;height:1.5pt" o:hralign="center" o:hrstd="t" o:hr="t"/>
        </w:pict>
      </w:r>
    </w:p>
    <w:bookmarkEnd w:id="10"/>
    <w:bookmarkStart w:id="11" w:name="technical-analysis-summary"/>
    <w:p>
      <w:pPr>
        <w:pStyle w:val="Heading2"/>
      </w:pPr>
      <w:r>
        <w:t xml:space="preserve">Technical Analysis Summary</w:t>
      </w:r>
    </w:p>
    <w:p>
      <w:pPr>
        <w:pStyle w:val="FirstParagraph"/>
      </w:pPr>
      <w:r>
        <w:rPr>
          <w:b/>
          <w:bCs/>
        </w:rPr>
        <w:t xml:space="preserve">Current Price:</w:t>
      </w:r>
      <w:r>
        <w:t xml:space="preserve"> </w:t>
      </w:r>
      <w:r>
        <w:t xml:space="preserve">$116.95500183105469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Value</w:t>
            </w:r>
          </w:p>
        </w:tc>
        <w:tc>
          <w:tcPr/>
          <w:p>
            <w:pPr>
              <w:pStyle w:val="Compact"/>
            </w:pPr>
            <w:r>
              <w:t xml:space="preserve">Signal</w:t>
            </w:r>
          </w:p>
        </w:tc>
      </w:tr>
      <w:tr>
        <w:tc>
          <w:tcPr/>
          <w:p>
            <w:pPr>
              <w:pStyle w:val="Compact"/>
            </w:pPr>
            <w:r>
              <w:rPr>
                <w:b/>
                <w:bCs/>
              </w:rPr>
              <w:t xml:space="preserve">20-Day SMA</w:t>
            </w:r>
          </w:p>
        </w:tc>
        <w:tc>
          <w:tcPr/>
          <w:p>
            <w:pPr>
              <w:pStyle w:val="Compact"/>
            </w:pPr>
            <w:r>
              <w:t xml:space="preserve">$109.16</w:t>
            </w:r>
          </w:p>
        </w:tc>
        <w:tc>
          <w:tcPr/>
          <w:p>
            <w:pPr>
              <w:pStyle w:val="Compact"/>
            </w:pPr>
            <w:r>
              <w:t xml:space="preserve">✅ Bullish</w:t>
            </w:r>
          </w:p>
        </w:tc>
      </w:tr>
      <w:tr>
        <w:tc>
          <w:tcPr/>
          <w:p>
            <w:pPr>
              <w:pStyle w:val="Compact"/>
            </w:pPr>
            <w:r>
              <w:rPr>
                <w:b/>
                <w:bCs/>
              </w:rPr>
              <w:t xml:space="preserve">50-Day SMA</w:t>
            </w:r>
          </w:p>
        </w:tc>
        <w:tc>
          <w:tcPr/>
          <w:p>
            <w:pPr>
              <w:pStyle w:val="Compact"/>
            </w:pPr>
            <w:r>
              <w:t xml:space="preserve">$117.57</w:t>
            </w:r>
          </w:p>
        </w:tc>
        <w:tc>
          <w:tcPr/>
          <w:p>
            <w:pPr>
              <w:pStyle w:val="Compact"/>
            </w:pPr>
            <w:r>
              <w:t xml:space="preserve">❌ Bearish</w:t>
            </w:r>
          </w:p>
        </w:tc>
      </w:tr>
      <w:tr>
        <w:tc>
          <w:tcPr/>
          <w:p>
            <w:pPr>
              <w:pStyle w:val="Compact"/>
            </w:pPr>
            <w:r>
              <w:rPr>
                <w:b/>
                <w:bCs/>
              </w:rPr>
              <w:t xml:space="preserve">200-Day SMA</w:t>
            </w:r>
          </w:p>
        </w:tc>
        <w:tc>
          <w:tcPr/>
          <w:p>
            <w:pPr>
              <w:pStyle w:val="Compact"/>
            </w:pPr>
            <w:r>
              <w:t xml:space="preserve">$116.96</w:t>
            </w:r>
          </w:p>
        </w:tc>
        <w:tc>
          <w:tcPr/>
          <w:p>
            <w:pPr>
              <w:pStyle w:val="Compact"/>
            </w:pPr>
            <w:r>
              <w:t xml:space="preserve">❌ Bearish</w:t>
            </w:r>
          </w:p>
        </w:tc>
      </w:tr>
      <w:tr>
        <w:tc>
          <w:tcPr/>
          <w:p>
            <w:pPr>
              <w:pStyle w:val="Compact"/>
            </w:pPr>
            <w:r>
              <w:rPr>
                <w:b/>
                <w:bCs/>
              </w:rPr>
              <w:t xml:space="preserve">RSI (14)</w:t>
            </w:r>
          </w:p>
        </w:tc>
        <w:tc>
          <w:tcPr/>
          <w:p>
            <w:pPr>
              <w:pStyle w:val="Compact"/>
            </w:pPr>
            <w:r>
              <w:t xml:space="preserve">58.57</w:t>
            </w:r>
          </w:p>
        </w:tc>
        <w:tc>
          <w:tcPr/>
          <w:p>
            <w:pPr>
              <w:pStyle w:val="Compact"/>
            </w:pPr>
            <w:r>
              <w:t xml:space="preserve">Neutral</w:t>
            </w:r>
          </w:p>
        </w:tc>
      </w:tr>
      <w:tr>
        <w:tc>
          <w:tcPr/>
          <w:p>
            <w:pPr>
              <w:pStyle w:val="Compact"/>
            </w:pPr>
            <w:r>
              <w:rPr>
                <w:b/>
                <w:bCs/>
              </w:rPr>
              <w:t xml:space="preserve">MACD</w:t>
            </w:r>
          </w:p>
        </w:tc>
        <w:tc>
          <w:tcPr/>
          <w:p>
            <w:pPr>
              <w:pStyle w:val="Compact"/>
            </w:pPr>
            <w:r>
              <w:t xml:space="preserve">-2.98</w:t>
            </w:r>
          </w:p>
        </w:tc>
        <w:tc>
          <w:tcPr/>
          <w:p>
            <w:pPr>
              <w:pStyle w:val="Compact"/>
            </w:pPr>
            <w:r>
              <w:t xml:space="preserve">✅ Bullish</w:t>
            </w:r>
          </w:p>
        </w:tc>
      </w:tr>
    </w:tbl>
    <w:p>
      <w:pPr>
        <w:pStyle w:val="BodyText"/>
      </w:pPr>
      <w:r>
        <w:rPr>
          <w:b/>
          <w:bCs/>
        </w:rPr>
        <w:t xml:space="preserve">Volatility:</w:t>
      </w:r>
      <w:r>
        <w:t xml:space="preserve"> </w:t>
      </w:r>
      <w:r>
        <w:t xml:space="preserve">ATR = $3.77</w:t>
      </w:r>
      <w:r>
        <w:t xml:space="preserve"> </w:t>
      </w:r>
      <w:r>
        <w:rPr>
          <w:b/>
          <w:bCs/>
        </w:rPr>
        <w:t xml:space="preserve">Volume:</w:t>
      </w:r>
      <w:r>
        <w:t xml:space="preserve"> </w:t>
      </w:r>
      <w:r>
        <w:t xml:space="preserve">3,865,591 (20-day avg)</w:t>
      </w:r>
    </w:p>
    <w:p>
      <w:pPr>
        <w:pStyle w:val="BodyText"/>
      </w:pPr>
      <w:r>
        <w:rPr>
          <w:b/>
          <w:bCs/>
        </w:rPr>
        <w:t xml:space="preserve">Trend Status:</w:t>
      </w:r>
    </w:p>
    <w:p>
      <w:pPr>
        <w:numPr>
          <w:ilvl w:val="0"/>
          <w:numId w:val="1001"/>
        </w:numPr>
      </w:pPr>
      <w:r>
        <w:t xml:space="preserve">Long-term trend: ❌</w:t>
      </w:r>
      <w:r>
        <w:t xml:space="preserve"> </w:t>
      </w:r>
      <w:r>
        <w:rPr>
          <w:b/>
          <w:bCs/>
        </w:rPr>
        <w:t xml:space="preserve">Bearish</w:t>
      </w:r>
      <w:r>
        <w:t xml:space="preserve"> </w:t>
      </w:r>
      <w:r>
        <w:t xml:space="preserve">(below 200-day SMA)</w:t>
      </w:r>
    </w:p>
    <w:p>
      <w:pPr>
        <w:numPr>
          <w:ilvl w:val="0"/>
          <w:numId w:val="1001"/>
        </w:numPr>
      </w:pPr>
      <w:r>
        <w:t xml:space="preserve">Golden Cross: ✅</w:t>
      </w:r>
      <w:r>
        <w:t xml:space="preserve"> </w:t>
      </w:r>
      <w:r>
        <w:rPr>
          <w:b/>
          <w:bCs/>
        </w:rPr>
        <w:t xml:space="preserve">Active</w:t>
      </w:r>
      <w:r>
        <w:t xml:space="preserve"> </w:t>
      </w:r>
      <w:r>
        <w:t xml:space="preserve">(50-day SMA above 200-day SMA)</w:t>
      </w:r>
    </w:p>
    <w:p>
      <w:r>
        <w:pict>
          <v:rect style="width:0;height:1.5pt" o:hralign="center" o:hrstd="t" o:hr="t"/>
        </w:pict>
      </w:r>
    </w:p>
    <w:bookmarkEnd w:id="11"/>
    <w:bookmarkStart w:id="12" w:name="peer-comparison"/>
    <w:p>
      <w:pPr>
        <w:pStyle w:val="Heading2"/>
      </w:pPr>
      <w:r>
        <w:t xml:space="preserve">Peer Comparison</w:t>
      </w:r>
    </w:p>
    <w:tbl>
      <w:tblPr>
        <w:tblStyle w:val="Table"/>
        <w:tblW w:type="pct" w:w="5000"/>
        <w:tblLayout w:type="fixed"/>
        <w:tblLook w:firstRow="1" w:lastRow="0" w:firstColumn="0" w:lastColumn="0" w:noHBand="0" w:noVBand="0" w:val="0020"/>
      </w:tblPr>
      <w:tblGrid>
        <w:gridCol w:w="1056"/>
        <w:gridCol w:w="792"/>
        <w:gridCol w:w="924"/>
        <w:gridCol w:w="1584"/>
        <w:gridCol w:w="660"/>
        <w:gridCol w:w="1188"/>
        <w:gridCol w:w="1056"/>
        <w:gridCol w:w="660"/>
      </w:tblGrid>
      <w:tr>
        <w:trPr>
          <w:tblHeader w:val="on"/>
        </w:trPr>
        <w:tc>
          <w:tcPr/>
          <w:p>
            <w:pPr>
              <w:pStyle w:val="Compact"/>
            </w:pPr>
            <w:r>
              <w:t xml:space="preserve">Symbol</w:t>
            </w:r>
          </w:p>
        </w:tc>
        <w:tc>
          <w:tcPr/>
          <w:p>
            <w:pPr>
              <w:pStyle w:val="Compact"/>
            </w:pPr>
            <w:r>
              <w:t xml:space="preserve">Name</w:t>
            </w:r>
          </w:p>
        </w:tc>
        <w:tc>
          <w:tcPr/>
          <w:p>
            <w:pPr>
              <w:pStyle w:val="Compact"/>
            </w:pPr>
            <w:r>
              <w:t xml:space="preserve">Price</w:t>
            </w:r>
          </w:p>
        </w:tc>
        <w:tc>
          <w:tcPr/>
          <w:p>
            <w:pPr>
              <w:pStyle w:val="Compact"/>
            </w:pPr>
            <w:r>
              <w:t xml:space="preserve">Market Cap</w:t>
            </w:r>
          </w:p>
        </w:tc>
        <w:tc>
          <w:tcPr/>
          <w:p>
            <w:pPr>
              <w:pStyle w:val="Compact"/>
            </w:pPr>
            <w:r>
              <w:t xml:space="preserve">P/E</w:t>
            </w:r>
          </w:p>
        </w:tc>
        <w:tc>
          <w:tcPr/>
          <w:p>
            <w:pPr>
              <w:pStyle w:val="Compact"/>
            </w:pPr>
            <w:r>
              <w:t xml:space="preserve">Revenue</w:t>
            </w:r>
          </w:p>
        </w:tc>
        <w:tc>
          <w:tcPr/>
          <w:p>
            <w:pPr>
              <w:pStyle w:val="Compact"/>
            </w:pPr>
            <w:r>
              <w:t xml:space="preserve">Margin</w:t>
            </w:r>
          </w:p>
        </w:tc>
        <w:tc>
          <w:tcPr/>
          <w:p>
            <w:pPr>
              <w:pStyle w:val="Compact"/>
            </w:pPr>
            <w:r>
              <w:t xml:space="preserve">ROE</w:t>
            </w:r>
          </w:p>
        </w:tc>
      </w:tr>
      <w:tr>
        <w:tc>
          <w:tcPr/>
          <w:p>
            <w:pPr>
              <w:pStyle w:val="Compact"/>
            </w:pPr>
            <w:r>
              <w:rPr>
                <w:b/>
                <w:bCs/>
              </w:rPr>
              <w:t xml:space="preserve">LEN</w:t>
            </w:r>
          </w:p>
        </w:tc>
        <w:tc>
          <w:tcPr/>
          <w:p>
            <w:pPr>
              <w:pStyle w:val="Compact"/>
            </w:pPr>
            <w:r>
              <w:rPr>
                <w:b/>
                <w:bCs/>
              </w:rPr>
              <w:t xml:space="preserve">Lennar Corporation</w:t>
            </w:r>
          </w:p>
        </w:tc>
        <w:tc>
          <w:tcPr/>
          <w:p>
            <w:pPr>
              <w:pStyle w:val="Compact"/>
            </w:pPr>
            <w:r>
              <w:rPr>
                <w:b/>
                <w:bCs/>
              </w:rPr>
              <w:t xml:space="preserve">$116.96</w:t>
            </w:r>
          </w:p>
        </w:tc>
        <w:tc>
          <w:tcPr/>
          <w:p>
            <w:pPr>
              <w:pStyle w:val="Compact"/>
            </w:pPr>
            <w:r>
              <w:rPr>
                <w:b/>
                <w:bCs/>
              </w:rPr>
              <w:t xml:space="preserve">$28,877,078,528</w:t>
            </w:r>
          </w:p>
        </w:tc>
        <w:tc>
          <w:tcPr/>
          <w:p>
            <w:pPr>
              <w:pStyle w:val="Compact"/>
            </w:pPr>
            <w:r>
              <w:rPr>
                <w:b/>
                <w:bCs/>
              </w:rPr>
              <w:t xml:space="preserve">14.65</w:t>
            </w:r>
          </w:p>
        </w:tc>
        <w:tc>
          <w:tcPr/>
          <w:p>
            <w:pPr>
              <w:pStyle w:val="Compact"/>
            </w:pPr>
            <w:r>
              <w:rPr>
                <w:b/>
                <w:bCs/>
              </w:rPr>
              <w:t xml:space="preserve">$34.2B</w:t>
            </w:r>
          </w:p>
        </w:tc>
        <w:tc>
          <w:tcPr/>
          <w:p>
            <w:pPr>
              <w:pStyle w:val="Compact"/>
            </w:pPr>
            <w:r>
              <w:rPr>
                <w:b/>
                <w:bCs/>
              </w:rPr>
              <w:t xml:space="preserve">6.08%</w:t>
            </w:r>
          </w:p>
        </w:tc>
        <w:tc>
          <w:tcPr/>
          <w:p>
            <w:pPr>
              <w:pStyle w:val="Compact"/>
            </w:pPr>
            <w:r>
              <w:rPr>
                <w:b/>
                <w:bCs/>
              </w:rPr>
              <w:t xml:space="preserve">8.41%</w:t>
            </w:r>
          </w:p>
        </w:tc>
      </w:tr>
      <w:tr>
        <w:tc>
          <w:tcPr/>
          <w:p>
            <w:pPr>
              <w:pStyle w:val="Compact"/>
            </w:pPr>
            <w:r>
              <w:t xml:space="preserve">DHI</w:t>
            </w:r>
          </w:p>
        </w:tc>
        <w:tc>
          <w:tcPr/>
          <w:p>
            <w:pPr>
              <w:pStyle w:val="Compact"/>
            </w:pPr>
            <w:r>
              <w:t xml:space="preserve">D.R. Horton, Inc.</w:t>
            </w:r>
          </w:p>
        </w:tc>
        <w:tc>
          <w:tcPr/>
          <w:p>
            <w:pPr>
              <w:pStyle w:val="Compact"/>
            </w:pPr>
            <w:r>
              <w:t xml:space="preserve">$154.82</w:t>
            </w:r>
          </w:p>
        </w:tc>
        <w:tc>
          <w:tcPr/>
          <w:p>
            <w:pPr>
              <w:pStyle w:val="Compact"/>
            </w:pPr>
            <w:r>
              <w:t xml:space="preserve">$45,216,811,255</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CCL</w:t>
            </w:r>
          </w:p>
        </w:tc>
        <w:tc>
          <w:tcPr/>
          <w:p>
            <w:pPr>
              <w:pStyle w:val="Compact"/>
            </w:pPr>
            <w:r>
              <w:t xml:space="preserve">Carnival Corporation &amp; plc</w:t>
            </w:r>
          </w:p>
        </w:tc>
        <w:tc>
          <w:tcPr/>
          <w:p>
            <w:pPr>
              <w:pStyle w:val="Compact"/>
            </w:pPr>
            <w:r>
              <w:t xml:space="preserve">$32.02</w:t>
            </w:r>
          </w:p>
        </w:tc>
        <w:tc>
          <w:tcPr/>
          <w:p>
            <w:pPr>
              <w:pStyle w:val="Compact"/>
            </w:pPr>
            <w:r>
              <w:t xml:space="preserve">$42,000,889,769</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CUK</w:t>
            </w:r>
          </w:p>
        </w:tc>
        <w:tc>
          <w:tcPr/>
          <w:p>
            <w:pPr>
              <w:pStyle w:val="Compact"/>
            </w:pPr>
            <w:r>
              <w:t xml:space="preserve">Carnival Corporation &amp; plc</w:t>
            </w:r>
          </w:p>
        </w:tc>
        <w:tc>
          <w:tcPr/>
          <w:p>
            <w:pPr>
              <w:pStyle w:val="Compact"/>
            </w:pPr>
            <w:r>
              <w:t xml:space="preserve">$31.80</w:t>
            </w:r>
          </w:p>
        </w:tc>
        <w:tc>
          <w:tcPr/>
          <w:p>
            <w:pPr>
              <w:pStyle w:val="Compact"/>
            </w:pPr>
            <w:r>
              <w:t xml:space="preserve">$41,721,924,551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STLA</w:t>
            </w:r>
          </w:p>
        </w:tc>
        <w:tc>
          <w:tcPr/>
          <w:p>
            <w:pPr>
              <w:pStyle w:val="Compact"/>
            </w:pPr>
            <w:r>
              <w:t xml:space="preserve">Stellantis N.V.</w:t>
            </w:r>
          </w:p>
        </w:tc>
        <w:tc>
          <w:tcPr/>
          <w:p>
            <w:pPr>
              <w:pStyle w:val="Compact"/>
            </w:pPr>
            <w:r>
              <w:t xml:space="preserve">$10.96</w:t>
            </w:r>
          </w:p>
        </w:tc>
        <w:tc>
          <w:tcPr/>
          <w:p>
            <w:pPr>
              <w:pStyle w:val="Compact"/>
            </w:pPr>
            <w:r>
              <w:t xml:space="preserve">$31,645,971,551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ROL</w:t>
            </w:r>
          </w:p>
        </w:tc>
        <w:tc>
          <w:tcPr/>
          <w:p>
            <w:pPr>
              <w:pStyle w:val="Compact"/>
            </w:pPr>
            <w:r>
              <w:t xml:space="preserve">Rollins, Inc.</w:t>
            </w:r>
          </w:p>
        </w:tc>
        <w:tc>
          <w:tcPr/>
          <w:p>
            <w:pPr>
              <w:pStyle w:val="Compact"/>
            </w:pPr>
            <w:r>
              <w:t xml:space="preserve">$61.13</w:t>
            </w:r>
          </w:p>
        </w:tc>
        <w:tc>
          <w:tcPr/>
          <w:p>
            <w:pPr>
              <w:pStyle w:val="Compact"/>
            </w:pPr>
            <w:r>
              <w:t xml:space="preserve">$29,617,838,393</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TSCO</w:t>
            </w:r>
          </w:p>
        </w:tc>
        <w:tc>
          <w:tcPr/>
          <w:p>
            <w:pPr>
              <w:pStyle w:val="Compact"/>
            </w:pPr>
            <w:r>
              <w:t xml:space="preserve">Tractor Supply Company</w:t>
            </w:r>
          </w:p>
        </w:tc>
        <w:tc>
          <w:tcPr/>
          <w:p>
            <w:pPr>
              <w:pStyle w:val="Compact"/>
            </w:pPr>
            <w:r>
              <w:t xml:space="preserve">$51.87</w:t>
            </w:r>
          </w:p>
        </w:tc>
        <w:tc>
          <w:tcPr/>
          <w:p>
            <w:pPr>
              <w:pStyle w:val="Compact"/>
            </w:pPr>
            <w:r>
              <w:t xml:space="preserve">$27,441,906,388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PHM</w:t>
            </w:r>
          </w:p>
        </w:tc>
        <w:tc>
          <w:tcPr/>
          <w:p>
            <w:pPr>
              <w:pStyle w:val="Compact"/>
            </w:pPr>
            <w:r>
              <w:t xml:space="preserve">PulteGroup, Inc.</w:t>
            </w:r>
          </w:p>
        </w:tc>
        <w:tc>
          <w:tcPr/>
          <w:p>
            <w:pPr>
              <w:pStyle w:val="Compact"/>
            </w:pPr>
            <w:r>
              <w:t xml:space="preserve">$130.65</w:t>
            </w:r>
          </w:p>
        </w:tc>
        <w:tc>
          <w:tcPr/>
          <w:p>
            <w:pPr>
              <w:pStyle w:val="Compact"/>
            </w:pPr>
            <w:r>
              <w:t xml:space="preserve">$25,465,335,811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NVR</w:t>
            </w:r>
          </w:p>
        </w:tc>
        <w:tc>
          <w:tcPr/>
          <w:p>
            <w:pPr>
              <w:pStyle w:val="Compact"/>
            </w:pPr>
            <w:r>
              <w:t xml:space="preserve">NVR, Inc.</w:t>
            </w:r>
          </w:p>
        </w:tc>
        <w:tc>
          <w:tcPr/>
          <w:p>
            <w:pPr>
              <w:pStyle w:val="Compact"/>
            </w:pPr>
            <w:r>
              <w:t xml:space="preserve">$7562.73</w:t>
            </w:r>
          </w:p>
        </w:tc>
        <w:tc>
          <w:tcPr/>
          <w:p>
            <w:pPr>
              <w:pStyle w:val="Compact"/>
            </w:pPr>
            <w:r>
              <w:t xml:space="preserve">$21,473,842,444</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i/>
          <w:iCs/>
        </w:rPr>
        <w:t xml:space="preserve">Metrics: P/E (Trailing), Revenue (TTM in billions), Net Profit Margin, Return on Equity</w:t>
      </w:r>
    </w:p>
    <w:p>
      <w:r>
        <w:pict>
          <v:rect style="width:0;height:1.5pt" o:hralign="center" o:hrstd="t" o:hr="t"/>
        </w:pict>
      </w:r>
    </w:p>
    <w:bookmarkEnd w:id="12"/>
    <w:bookmarkStart w:id="13" w:name="comprehensive-deep-research-analysis"/>
    <w:p>
      <w:pPr>
        <w:pStyle w:val="Heading2"/>
      </w:pPr>
      <w:r>
        <w:t xml:space="preserve">Comprehensive Deep Research Analysis</w:t>
      </w:r>
    </w:p>
    <w:p>
      <w:pPr>
        <w:pStyle w:val="FirstParagraph"/>
      </w:pPr>
      <w:r>
        <w:t xml:space="preserve">I’ll conduct comprehensive research on Lennar Corporation (LEN) using the available MCP tools to fill gaps and verify information, then write a complete Wall Street-style equity research report.</w:t>
      </w:r>
    </w:p>
    <w:p>
      <w:pPr>
        <w:pStyle w:val="BodyText"/>
      </w:pPr>
      <w:r>
        <w:t xml:space="preserve">Let me try using web search to gather recent analyst reports and investigative journalism:</w:t>
      </w:r>
    </w:p>
    <w:p>
      <w:pPr>
        <w:pStyle w:val="BodyText"/>
      </w:pPr>
      <w:r>
        <w:t xml:space="preserve">I’ll work with the comprehensive information already provided in the research report to write a complete Wall Street-style equity research analysis. Let me create the report:</w:t>
      </w:r>
    </w:p>
    <w:p>
      <w:r>
        <w:pict>
          <v:rect style="width:0;height:1.5pt" o:hralign="center" o:hrstd="t" o:hr="t"/>
        </w:pict>
      </w:r>
    </w:p>
    <w:bookmarkEnd w:id="13"/>
    <w:bookmarkEnd w:id="14"/>
    <w:bookmarkStart w:id="15" w:name="equity-research-report"/>
    <w:p>
      <w:pPr>
        <w:pStyle w:val="Heading1"/>
      </w:pPr>
      <w:r>
        <w:rPr>
          <w:b/>
          <w:bCs/>
        </w:rPr>
        <w:t xml:space="preserve">EQUITY RESEARCH REPORT</w:t>
      </w:r>
    </w:p>
    <w:bookmarkEnd w:id="15"/>
    <w:bookmarkStart w:id="88" w:name="lennar-corporation-nyse-len"/>
    <w:p>
      <w:pPr>
        <w:pStyle w:val="Heading1"/>
      </w:pPr>
      <w:r>
        <w:rPr>
          <w:b/>
          <w:bCs/>
        </w:rPr>
        <w:t xml:space="preserve">LENNAR CORPORATION (NYSE: LEN)</w:t>
      </w:r>
    </w:p>
    <w:p>
      <w:pPr>
        <w:pStyle w:val="FirstParagraph"/>
      </w:pPr>
      <w:r>
        <w:rPr>
          <w:b/>
          <w:bCs/>
        </w:rPr>
        <w:t xml:space="preserve">Sector:</w:t>
      </w:r>
      <w:r>
        <w:t xml:space="preserve"> </w:t>
      </w:r>
      <w:r>
        <w:t xml:space="preserve">Consumer Cyclical |</w:t>
      </w:r>
      <w:r>
        <w:t xml:space="preserve"> </w:t>
      </w:r>
      <w:r>
        <w:rPr>
          <w:b/>
          <w:bCs/>
        </w:rPr>
        <w:t xml:space="preserve">Industry:</w:t>
      </w:r>
      <w:r>
        <w:t xml:space="preserve"> </w:t>
      </w:r>
      <w:r>
        <w:t xml:space="preserve">Residential Construction</w:t>
      </w:r>
      <w:r>
        <w:br/>
      </w:r>
      <w:r>
        <w:rPr>
          <w:b/>
          <w:bCs/>
        </w:rPr>
        <w:t xml:space="preserve">Price:</w:t>
      </w:r>
      <w:r>
        <w:t xml:space="preserve"> </w:t>
      </w:r>
      <w:r>
        <w:t xml:space="preserve">$116.96 |</w:t>
      </w:r>
      <w:r>
        <w:t xml:space="preserve"> </w:t>
      </w:r>
      <w:r>
        <w:rPr>
          <w:b/>
          <w:bCs/>
        </w:rPr>
        <w:t xml:space="preserve">Market Cap:</w:t>
      </w:r>
      <w:r>
        <w:t xml:space="preserve"> </w:t>
      </w:r>
      <w:r>
        <w:t xml:space="preserve">$28.9 billion</w:t>
      </w:r>
      <w:r>
        <w:br/>
      </w:r>
      <w:r>
        <w:rPr>
          <w:b/>
          <w:bCs/>
        </w:rPr>
        <w:t xml:space="preserve">Report Date:</w:t>
      </w:r>
      <w:r>
        <w:t xml:space="preserve"> </w:t>
      </w:r>
      <w:r>
        <w:t xml:space="preserve">January 9, 2026</w:t>
      </w:r>
    </w:p>
    <w:p>
      <w:r>
        <w:pict>
          <v:rect style="width:0;height:1.5pt" o:hralign="center" o:hrstd="t" o:hr="t"/>
        </w:pict>
      </w:r>
    </w:p>
    <w:bookmarkStart w:id="16" w:name="short-summary-overall-assessment"/>
    <w:p>
      <w:pPr>
        <w:pStyle w:val="Heading2"/>
      </w:pPr>
      <w:r>
        <w:rPr>
          <w:b/>
          <w:bCs/>
        </w:rPr>
        <w:t xml:space="preserve">1. SHORT SUMMARY OVERALL ASSESSMENT</w:t>
      </w:r>
    </w:p>
    <w:p>
      <w:pPr>
        <w:pStyle w:val="FirstParagraph"/>
      </w:pPr>
      <w:r>
        <w:t xml:space="preserve">Lennar Corporation represents a</w:t>
      </w:r>
      <w:r>
        <w:t xml:space="preserve"> </w:t>
      </w:r>
      <w:r>
        <w:rPr>
          <w:b/>
          <w:bCs/>
        </w:rPr>
        <w:t xml:space="preserve">HOLD</w:t>
      </w:r>
      <w:r>
        <w:t xml:space="preserve"> </w:t>
      </w:r>
      <w:r>
        <w:t xml:space="preserve">with elevated near-term risk: while the company maintains its position as America’s second-largest homebuilder with scale advantages and a land-light strategy, FY 2025 results revealed severe margin compression (net earnings down 45% to $2.1B despite 3% volume growth), ROIC falling below WACC, and continued affordability headwinds requiring 14% incentives, offsetting long-term demographic tailwinds and the structural housing shortage.</w:t>
      </w:r>
    </w:p>
    <w:p>
      <w:r>
        <w:pict>
          <v:rect style="width:0;height:1.5pt" o:hralign="center" o:hrstd="t" o:hr="t"/>
        </w:pict>
      </w:r>
    </w:p>
    <w:bookmarkEnd w:id="16"/>
    <w:bookmarkStart w:id="20" w:name="extended-profile"/>
    <w:p>
      <w:pPr>
        <w:pStyle w:val="Heading2"/>
      </w:pPr>
      <w:r>
        <w:rPr>
          <w:b/>
          <w:bCs/>
        </w:rPr>
        <w:t xml:space="preserve">2. EXTENDED PROFILE</w:t>
      </w:r>
    </w:p>
    <w:bookmarkStart w:id="17" w:name="history-and-origin-story"/>
    <w:p>
      <w:pPr>
        <w:pStyle w:val="Heading3"/>
      </w:pPr>
      <w:r>
        <w:rPr>
          <w:b/>
          <w:bCs/>
        </w:rPr>
        <w:t xml:space="preserve">History and Origin Story</w:t>
      </w:r>
    </w:p>
    <w:p>
      <w:pPr>
        <w:pStyle w:val="FirstParagraph"/>
      </w:pPr>
      <w:r>
        <w:t xml:space="preserve">Lennar Corporation traces its lineage to</w:t>
      </w:r>
      <w:r>
        <w:t xml:space="preserve"> </w:t>
      </w:r>
      <w:r>
        <w:rPr>
          <w:b/>
          <w:bCs/>
        </w:rPr>
        <w:t xml:space="preserve">1954</w:t>
      </w:r>
      <w:r>
        <w:t xml:space="preserve">, when Gene Fisher and Arnold Rosen founded F&amp;R Builders in Miami, Florida. In 1956, Leonard Miller joined with a $10,000 investment, positioning the firm for expansion beyond local operations. By 1969, the company’s equity reached $1 million, and in</w:t>
      </w:r>
      <w:r>
        <w:t xml:space="preserve"> </w:t>
      </w:r>
      <w:r>
        <w:rPr>
          <w:b/>
          <w:bCs/>
        </w:rPr>
        <w:t xml:space="preserve">1971</w:t>
      </w:r>
      <w:r>
        <w:t xml:space="preserve">, Miller and Rosen rechristened it</w:t>
      </w:r>
      <w:r>
        <w:t xml:space="preserve"> </w:t>
      </w:r>
      <w:r>
        <w:rPr>
          <w:b/>
          <w:bCs/>
        </w:rPr>
        <w:t xml:space="preserve">Lennar Corporation</w:t>
      </w:r>
      <w:r>
        <w:t xml:space="preserve"> </w:t>
      </w:r>
      <w:r>
        <w:t xml:space="preserve">(combining</w:t>
      </w:r>
      <w:r>
        <w:t xml:space="preserve"> </w:t>
      </w:r>
      <w:r>
        <w:t xml:space="preserve">“Leonard”</w:t>
      </w:r>
      <w:r>
        <w:t xml:space="preserve"> </w:t>
      </w:r>
      <w:r>
        <w:t xml:space="preserve">and</w:t>
      </w:r>
      <w:r>
        <w:t xml:space="preserve"> </w:t>
      </w:r>
      <w:r>
        <w:t xml:space="preserve">“Arnold”</w:t>
      </w:r>
      <w:r>
        <w:t xml:space="preserve">) and executed an IPO raising $8.7 million. The company began NYSE trading in 1972 under ticker LEN.</w:t>
      </w:r>
    </w:p>
    <w:p>
      <w:pPr>
        <w:pStyle w:val="BodyText"/>
      </w:pPr>
      <w:r>
        <w:rPr>
          <w:b/>
          <w:bCs/>
        </w:rPr>
        <w:t xml:space="preserve">Key Historical Milestones:</w:t>
      </w:r>
    </w:p>
    <w:p>
      <w:pPr>
        <w:pStyle w:val="Compact"/>
        <w:numPr>
          <w:ilvl w:val="0"/>
          <w:numId w:val="1002"/>
        </w:numPr>
      </w:pPr>
      <w:r>
        <w:rPr>
          <w:b/>
          <w:bCs/>
        </w:rPr>
        <w:t xml:space="preserve">1973:</w:t>
      </w:r>
      <w:r>
        <w:t xml:space="preserve"> </w:t>
      </w:r>
      <w:r>
        <w:t xml:space="preserve">Diversified into mortgage financing via Universal American Mortgage Company (precursor to Lennar Financial Services)</w:t>
      </w:r>
    </w:p>
    <w:p>
      <w:pPr>
        <w:pStyle w:val="Compact"/>
        <w:numPr>
          <w:ilvl w:val="0"/>
          <w:numId w:val="1002"/>
        </w:numPr>
      </w:pPr>
      <w:r>
        <w:rPr>
          <w:b/>
          <w:bCs/>
        </w:rPr>
        <w:t xml:space="preserve">1972-1990s:</w:t>
      </w:r>
      <w:r>
        <w:t xml:space="preserve"> </w:t>
      </w:r>
      <w:r>
        <w:t xml:space="preserve">Geographic expansion to Arizona (1972 via Womack Development/MasterKraft), Texas (early 1990s), and nationwide through strategic acquisitions</w:t>
      </w:r>
    </w:p>
    <w:p>
      <w:pPr>
        <w:pStyle w:val="Compact"/>
        <w:numPr>
          <w:ilvl w:val="0"/>
          <w:numId w:val="1002"/>
        </w:numPr>
      </w:pPr>
      <w:r>
        <w:rPr>
          <w:b/>
          <w:bCs/>
        </w:rPr>
        <w:t xml:space="preserve">1989:</w:t>
      </w:r>
      <w:r>
        <w:t xml:space="preserve"> </w:t>
      </w:r>
      <w:r>
        <w:t xml:space="preserve">Launched</w:t>
      </w:r>
      <w:r>
        <w:t xml:space="preserve"> </w:t>
      </w:r>
      <w:r>
        <w:rPr>
          <w:b/>
          <w:bCs/>
        </w:rPr>
        <w:t xml:space="preserve">Everything’s Included®</w:t>
      </w:r>
      <w:r>
        <w:t xml:space="preserve"> </w:t>
      </w:r>
      <w:r>
        <w:t xml:space="preserve">bundled-upgrade program</w:t>
      </w:r>
    </w:p>
    <w:p>
      <w:pPr>
        <w:pStyle w:val="Compact"/>
        <w:numPr>
          <w:ilvl w:val="0"/>
          <w:numId w:val="1002"/>
        </w:numPr>
      </w:pPr>
      <w:r>
        <w:rPr>
          <w:b/>
          <w:bCs/>
        </w:rPr>
        <w:t xml:space="preserve">1997:</w:t>
      </w:r>
      <w:r>
        <w:t xml:space="preserve"> </w:t>
      </w:r>
      <w:r>
        <w:t xml:space="preserve">Spun off commercial/investment arm as LNR Property Corporation</w:t>
      </w:r>
    </w:p>
    <w:p>
      <w:pPr>
        <w:pStyle w:val="Compact"/>
        <w:numPr>
          <w:ilvl w:val="0"/>
          <w:numId w:val="1002"/>
        </w:numPr>
      </w:pPr>
      <w:r>
        <w:rPr>
          <w:b/>
          <w:bCs/>
        </w:rPr>
        <w:t xml:space="preserve">2000:</w:t>
      </w:r>
      <w:r>
        <w:t xml:space="preserve"> </w:t>
      </w:r>
      <w:r>
        <w:t xml:space="preserve">Transformative acquisition of U.S. Home, doubling size and establishing Lennar among the top-tier national builders</w:t>
      </w:r>
    </w:p>
    <w:p>
      <w:pPr>
        <w:pStyle w:val="Compact"/>
        <w:numPr>
          <w:ilvl w:val="0"/>
          <w:numId w:val="1002"/>
        </w:numPr>
      </w:pPr>
      <w:r>
        <w:rPr>
          <w:b/>
          <w:bCs/>
        </w:rPr>
        <w:t xml:space="preserve">2011:</w:t>
      </w:r>
      <w:r>
        <w:t xml:space="preserve"> </w:t>
      </w:r>
      <w:r>
        <w:t xml:space="preserve">Introduced</w:t>
      </w:r>
      <w:r>
        <w:t xml:space="preserve"> </w:t>
      </w:r>
      <w:r>
        <w:rPr>
          <w:b/>
          <w:bCs/>
        </w:rPr>
        <w:t xml:space="preserve">Next Gen® – The Home Within a Home</w:t>
      </w:r>
      <w:r>
        <w:t xml:space="preserve"> </w:t>
      </w:r>
      <w:r>
        <w:t xml:space="preserve">for multigenerational living</w:t>
      </w:r>
    </w:p>
    <w:p>
      <w:pPr>
        <w:pStyle w:val="Compact"/>
        <w:numPr>
          <w:ilvl w:val="0"/>
          <w:numId w:val="1002"/>
        </w:numPr>
      </w:pPr>
      <w:r>
        <w:rPr>
          <w:b/>
          <w:bCs/>
        </w:rPr>
        <w:t xml:space="preserve">2014:</w:t>
      </w:r>
      <w:r>
        <w:t xml:space="preserve"> </w:t>
      </w:r>
      <w:r>
        <w:t xml:space="preserve">Launched Lennar International and Quarterra multifamily platform</w:t>
      </w:r>
    </w:p>
    <w:p>
      <w:pPr>
        <w:pStyle w:val="Compact"/>
        <w:numPr>
          <w:ilvl w:val="0"/>
          <w:numId w:val="1002"/>
        </w:numPr>
      </w:pPr>
      <w:r>
        <w:rPr>
          <w:b/>
          <w:bCs/>
        </w:rPr>
        <w:t xml:space="preserve">2018:</w:t>
      </w:r>
      <w:r>
        <w:t xml:space="preserve"> </w:t>
      </w:r>
      <w:r>
        <w:t xml:space="preserve">Merger with CalAtlantic Homes created the largest U.S. homebuilder by revenue, significantly expanding land bank and geographic footprint</w:t>
      </w:r>
    </w:p>
    <w:p>
      <w:pPr>
        <w:pStyle w:val="Compact"/>
        <w:numPr>
          <w:ilvl w:val="0"/>
          <w:numId w:val="1002"/>
        </w:numPr>
      </w:pPr>
      <w:r>
        <w:rPr>
          <w:b/>
          <w:bCs/>
        </w:rPr>
        <w:t xml:space="preserve">2018:</w:t>
      </w:r>
      <w:r>
        <w:t xml:space="preserve"> </w:t>
      </w:r>
      <w:r>
        <w:t xml:space="preserve">Launched</w:t>
      </w:r>
      <w:r>
        <w:t xml:space="preserve"> </w:t>
      </w:r>
      <w:r>
        <w:rPr>
          <w:b/>
          <w:bCs/>
        </w:rPr>
        <w:t xml:space="preserve">Lenˣ</w:t>
      </w:r>
      <w:r>
        <w:t xml:space="preserve"> </w:t>
      </w:r>
      <w:r>
        <w:t xml:space="preserve">technology initiative</w:t>
      </w:r>
    </w:p>
    <w:p>
      <w:pPr>
        <w:pStyle w:val="Compact"/>
        <w:numPr>
          <w:ilvl w:val="0"/>
          <w:numId w:val="1002"/>
        </w:numPr>
      </w:pPr>
      <w:r>
        <w:rPr>
          <w:b/>
          <w:bCs/>
        </w:rPr>
        <w:t xml:space="preserve">2020:</w:t>
      </w:r>
      <w:r>
        <w:t xml:space="preserve"> </w:t>
      </w:r>
      <w:r>
        <w:t xml:space="preserve">Rebranded Eagle Home Mortgage and CalAtlantic Title under unified Lennar brand</w:t>
      </w:r>
    </w:p>
    <w:p>
      <w:pPr>
        <w:pStyle w:val="Compact"/>
        <w:numPr>
          <w:ilvl w:val="0"/>
          <w:numId w:val="1002"/>
        </w:numPr>
      </w:pPr>
      <w:r>
        <w:rPr>
          <w:b/>
          <w:bCs/>
        </w:rPr>
        <w:t xml:space="preserve">2023:</w:t>
      </w:r>
      <w:r>
        <w:t xml:space="preserve"> </w:t>
      </w:r>
      <w:r>
        <w:t xml:space="preserve">Ranked No. 119 on Fortune 500</w:t>
      </w:r>
    </w:p>
    <w:p>
      <w:pPr>
        <w:pStyle w:val="Compact"/>
        <w:numPr>
          <w:ilvl w:val="0"/>
          <w:numId w:val="1002"/>
        </w:numPr>
      </w:pPr>
      <w:r>
        <w:rPr>
          <w:b/>
          <w:bCs/>
        </w:rPr>
        <w:t xml:space="preserve">2025:</w:t>
      </w:r>
      <w:r>
        <w:t xml:space="preserve"> </w:t>
      </w:r>
      <w:r>
        <w:t xml:space="preserve">Completed Millrose land spin-off and acquired Rausch Coleman Homes; TPG acquired majority stake in Quarterra</w:t>
      </w:r>
    </w:p>
    <w:bookmarkEnd w:id="17"/>
    <w:bookmarkStart w:id="18" w:name="core-business-and-competitors"/>
    <w:p>
      <w:pPr>
        <w:pStyle w:val="Heading3"/>
      </w:pPr>
      <w:r>
        <w:rPr>
          <w:b/>
          <w:bCs/>
        </w:rPr>
        <w:t xml:space="preserve">Core Business and Competitors</w:t>
      </w:r>
    </w:p>
    <w:p>
      <w:pPr>
        <w:pStyle w:val="FirstParagraph"/>
      </w:pPr>
      <w:r>
        <w:t xml:space="preserve">Lennar operates as a vertically integrated homebuilder with four primary business segments:</w:t>
      </w:r>
    </w:p>
    <w:p>
      <w:pPr>
        <w:pStyle w:val="Compact"/>
        <w:numPr>
          <w:ilvl w:val="0"/>
          <w:numId w:val="1003"/>
        </w:numPr>
      </w:pPr>
      <w:r>
        <w:rPr>
          <w:b/>
          <w:bCs/>
        </w:rPr>
        <w:t xml:space="preserve">Homebuilding</w:t>
      </w:r>
      <w:r>
        <w:t xml:space="preserve"> </w:t>
      </w:r>
      <w:r>
        <w:t xml:space="preserve">(East, Central, Texas, West divisions): Construction and sale of single-family detached/attached homes, townhomes, and condominiums</w:t>
      </w:r>
    </w:p>
    <w:p>
      <w:pPr>
        <w:pStyle w:val="Compact"/>
        <w:numPr>
          <w:ilvl w:val="0"/>
          <w:numId w:val="1003"/>
        </w:numPr>
      </w:pPr>
      <w:r>
        <w:rPr>
          <w:b/>
          <w:bCs/>
        </w:rPr>
        <w:t xml:space="preserve">Financial Services:</w:t>
      </w:r>
      <w:r>
        <w:t xml:space="preserve"> </w:t>
      </w:r>
      <w:r>
        <w:t xml:space="preserve">Lennar Mortgage, Lennar Title, closing services</w:t>
      </w:r>
    </w:p>
    <w:p>
      <w:pPr>
        <w:pStyle w:val="Compact"/>
        <w:numPr>
          <w:ilvl w:val="0"/>
          <w:numId w:val="1003"/>
        </w:numPr>
      </w:pPr>
      <w:r>
        <w:rPr>
          <w:b/>
          <w:bCs/>
        </w:rPr>
        <w:t xml:space="preserve">Multifamily:</w:t>
      </w:r>
      <w:r>
        <w:t xml:space="preserve"> </w:t>
      </w:r>
      <w:r>
        <w:t xml:space="preserve">Quarterra development platform (now majority-owned by TPG)</w:t>
      </w:r>
    </w:p>
    <w:p>
      <w:pPr>
        <w:pStyle w:val="Compact"/>
        <w:numPr>
          <w:ilvl w:val="0"/>
          <w:numId w:val="1003"/>
        </w:numPr>
      </w:pPr>
      <w:r>
        <w:rPr>
          <w:b/>
          <w:bCs/>
        </w:rPr>
        <w:t xml:space="preserve">Other:</w:t>
      </w:r>
      <w:r>
        <w:t xml:space="preserve"> </w:t>
      </w:r>
      <w:r>
        <w:t xml:space="preserve">Technology investments, land ventures</w:t>
      </w:r>
    </w:p>
    <w:p>
      <w:pPr>
        <w:pStyle w:val="FirstParagraph"/>
      </w:pPr>
      <w:r>
        <w:t xml:space="preserve">The company targets first-time, move-up, active-adult, and luxury buyers with heavy concentration in high-growth</w:t>
      </w:r>
      <w:r>
        <w:t xml:space="preserve"> </w:t>
      </w:r>
      <w:r>
        <w:rPr>
          <w:b/>
          <w:bCs/>
        </w:rPr>
        <w:t xml:space="preserve">Sunbelt markets</w:t>
      </w:r>
      <w:r>
        <w:t xml:space="preserve"> </w:t>
      </w:r>
      <w:r>
        <w:t xml:space="preserve">(Florida, Texas, Arizona, Carolinas, California).</w:t>
      </w:r>
    </w:p>
    <w:p>
      <w:pPr>
        <w:pStyle w:val="BodyText"/>
      </w:pPr>
      <w:r>
        <w:rPr>
          <w:b/>
          <w:bCs/>
        </w:rPr>
        <w:t xml:space="preserve">Primary Competitors:</w:t>
      </w:r>
      <w:r>
        <w:t xml:space="preserve"> </w:t>
      </w:r>
      <w:r>
        <w:t xml:space="preserve">-</w:t>
      </w:r>
      <w:r>
        <w:t xml:space="preserve"> </w:t>
      </w:r>
      <w:r>
        <w:rPr>
          <w:b/>
          <w:bCs/>
        </w:rPr>
        <w:t xml:space="preserve">D.R. Horton (DHI):</w:t>
      </w:r>
      <w:r>
        <w:t xml:space="preserve"> </w:t>
      </w:r>
      <w:r>
        <w:t xml:space="preserve">$45.2B market cap – largest U.S. homebuilder by volume</w:t>
      </w:r>
      <w:r>
        <w:t xml:space="preserve"> </w:t>
      </w:r>
      <w:r>
        <w:t xml:space="preserve">-</w:t>
      </w:r>
      <w:r>
        <w:t xml:space="preserve"> </w:t>
      </w:r>
      <w:r>
        <w:rPr>
          <w:b/>
          <w:bCs/>
        </w:rPr>
        <w:t xml:space="preserve">PulteGroup (PHM):</w:t>
      </w:r>
      <w:r>
        <w:t xml:space="preserve"> </w:t>
      </w:r>
      <w:r>
        <w:t xml:space="preserve">$25.5B market cap – strong in entry-level and active-adult</w:t>
      </w:r>
      <w:r>
        <w:t xml:space="preserve"> </w:t>
      </w:r>
      <w:r>
        <w:t xml:space="preserve">-</w:t>
      </w:r>
      <w:r>
        <w:t xml:space="preserve"> </w:t>
      </w:r>
      <w:r>
        <w:rPr>
          <w:b/>
          <w:bCs/>
        </w:rPr>
        <w:t xml:space="preserve">NVR (NVR):</w:t>
      </w:r>
      <w:r>
        <w:t xml:space="preserve"> </w:t>
      </w:r>
      <w:r>
        <w:t xml:space="preserve">$21.5B market cap – premium builder with asset-light model</w:t>
      </w:r>
      <w:r>
        <w:t xml:space="preserve"> </w:t>
      </w:r>
      <w:r>
        <w:t xml:space="preserve">-</w:t>
      </w:r>
      <w:r>
        <w:t xml:space="preserve"> </w:t>
      </w:r>
      <w:r>
        <w:rPr>
          <w:b/>
          <w:bCs/>
        </w:rPr>
        <w:t xml:space="preserve">Toll Brothers (TOL):</w:t>
      </w:r>
      <w:r>
        <w:t xml:space="preserve"> </w:t>
      </w:r>
      <w:r>
        <w:t xml:space="preserve">$14.0B market cap – luxury-focused</w:t>
      </w:r>
      <w:r>
        <w:t xml:space="preserve"> </w:t>
      </w:r>
      <w:r>
        <w:t xml:space="preserve">- Regional builders: KB Home, Meritage Homes, Taylor Morrison, Tri Pointe</w:t>
      </w:r>
    </w:p>
    <w:p>
      <w:pPr>
        <w:pStyle w:val="BodyText"/>
      </w:pPr>
      <w:r>
        <w:t xml:space="preserve">Lennar ranks #2 by revenue among U.S. homebuilders post-CalAtlantic merger, though the industry remains highly fragmented with top players holding single-digit national market share.</w:t>
      </w:r>
    </w:p>
    <w:bookmarkEnd w:id="18"/>
    <w:bookmarkStart w:id="19" w:name="recent-major-news"/>
    <w:p>
      <w:pPr>
        <w:pStyle w:val="Heading3"/>
      </w:pPr>
      <w:r>
        <w:rPr>
          <w:b/>
          <w:bCs/>
        </w:rPr>
        <w:t xml:space="preserve">Recent Major News</w:t>
      </w:r>
    </w:p>
    <w:p>
      <w:pPr>
        <w:pStyle w:val="FirstParagraph"/>
      </w:pPr>
      <w:r>
        <w:rPr>
          <w:b/>
          <w:bCs/>
        </w:rPr>
        <w:t xml:space="preserve">December 2025 – FY 2025 Earnings:</w:t>
      </w:r>
      <w:r>
        <w:t xml:space="preserve"> </w:t>
      </w:r>
      <w:r>
        <w:t xml:space="preserve">Q4 net earnings plunged to $490M ($1.93/share) from $1.1B ($4.06/share) in Q4 2024. Full-year FY 2025 net earnings collapsed to</w:t>
      </w:r>
      <w:r>
        <w:t xml:space="preserve"> </w:t>
      </w:r>
      <w:r>
        <w:rPr>
          <w:b/>
          <w:bCs/>
        </w:rPr>
        <w:t xml:space="preserve">$2.1B ($8.06/share)</w:t>
      </w:r>
      <w:r>
        <w:t xml:space="preserve"> </w:t>
      </w:r>
      <w:r>
        <w:t xml:space="preserve">from $3.8B ($13.86/share) in FY 2024, despite deliveries rising 3% to 82,583 homes and orders up 9% to 83,978. The 45% earnings decline reflects severe margin compression from aggressive 14% incentives/price reductions required to maintain volume in a high-rate environment. Management guided to Q1 2026 deliveries of 17,000-18,000 homes with continued affordability challenges.</w:t>
      </w:r>
    </w:p>
    <w:p>
      <w:pPr>
        <w:pStyle w:val="BodyText"/>
      </w:pPr>
      <w:r>
        <w:rPr>
          <w:b/>
          <w:bCs/>
        </w:rPr>
        <w:t xml:space="preserve">2025 Strategic Actions:</w:t>
      </w:r>
      <w:r>
        <w:t xml:space="preserve"> </w:t>
      </w:r>
      <w:r>
        <w:t xml:space="preserve">Completed</w:t>
      </w:r>
      <w:r>
        <w:t xml:space="preserve"> </w:t>
      </w:r>
      <w:r>
        <w:rPr>
          <w:b/>
          <w:bCs/>
        </w:rPr>
        <w:t xml:space="preserve">Millrose spin-off</w:t>
      </w:r>
      <w:r>
        <w:t xml:space="preserve"> </w:t>
      </w:r>
      <w:r>
        <w:t xml:space="preserve">(land holdings divestiture supporting land-light strategy) and</w:t>
      </w:r>
      <w:r>
        <w:t xml:space="preserve"> </w:t>
      </w:r>
      <w:r>
        <w:rPr>
          <w:b/>
          <w:bCs/>
        </w:rPr>
        <w:t xml:space="preserve">acquired Rausch Coleman Homes</w:t>
      </w:r>
      <w:r>
        <w:t xml:space="preserve"> </w:t>
      </w:r>
      <w:r>
        <w:t xml:space="preserve">(February 2025) to expand entry-level/affordable footprint. Repurchased 22.1M shares including 8.0M via Millrose exchange.</w:t>
      </w:r>
      <w:r>
        <w:t xml:space="preserve"> </w:t>
      </w:r>
      <w:r>
        <w:rPr>
          <w:b/>
          <w:bCs/>
        </w:rPr>
        <w:t xml:space="preserve">TPG Real Estate acquired majority stake in Quarterra</w:t>
      </w:r>
      <w:r>
        <w:t xml:space="preserve"> </w:t>
      </w:r>
      <w:r>
        <w:t xml:space="preserve">with $1B capital commitment, moving the loss-making multifamily platform (–$75M in FY 2025) off Lennar’s balance sheet while retaining minority interest.</w:t>
      </w:r>
    </w:p>
    <w:p>
      <w:pPr>
        <w:pStyle w:val="BodyText"/>
      </w:pPr>
      <w:r>
        <w:rPr>
          <w:b/>
          <w:bCs/>
        </w:rPr>
        <w:t xml:space="preserve">2024 Trajectory:</w:t>
      </w:r>
      <w:r>
        <w:t xml:space="preserve"> </w:t>
      </w:r>
      <w:r>
        <w:t xml:space="preserve">Throughout FY 2024-2025, Lennar pursued explicit</w:t>
      </w:r>
      <w:r>
        <w:t xml:space="preserve"> </w:t>
      </w:r>
      <w:r>
        <w:rPr>
          <w:b/>
          <w:bCs/>
        </w:rPr>
        <w:t xml:space="preserve">volume-over-margin strategy</w:t>
      </w:r>
      <w:r>
        <w:t xml:space="preserve">, prioritizing market share and absorption pace via incentives and rate buydowns despite ROIC falling below WACC. Gross margins compressed 20%+ YoY by mid-2024, with EBIT down ~46% and net margin down ~45%, trends that accelerated into FY 2025 results.</w:t>
      </w:r>
    </w:p>
    <w:p>
      <w:r>
        <w:pict>
          <v:rect style="width:0;height:1.5pt" o:hralign="center" o:hrstd="t" o:hr="t"/>
        </w:pict>
      </w:r>
    </w:p>
    <w:bookmarkEnd w:id="19"/>
    <w:bookmarkEnd w:id="20"/>
    <w:bookmarkStart w:id="25" w:name="business-model"/>
    <w:p>
      <w:pPr>
        <w:pStyle w:val="Heading2"/>
      </w:pPr>
      <w:r>
        <w:rPr>
          <w:b/>
          <w:bCs/>
        </w:rPr>
        <w:t xml:space="preserve">3. BUSINESS MODEL</w:t>
      </w:r>
    </w:p>
    <w:bookmarkStart w:id="21" w:name="core-business-products-and-services"/>
    <w:p>
      <w:pPr>
        <w:pStyle w:val="Heading3"/>
      </w:pPr>
      <w:r>
        <w:rPr>
          <w:b/>
          <w:bCs/>
        </w:rPr>
        <w:t xml:space="preserve">Core Business, Products, and Services</w:t>
      </w:r>
    </w:p>
    <w:p>
      <w:pPr>
        <w:pStyle w:val="FirstParagraph"/>
      </w:pPr>
      <w:r>
        <w:t xml:space="preserve">Lennar’s integrated platform generates revenue across the homeownership value chain:</w:t>
      </w:r>
    </w:p>
    <w:p>
      <w:pPr>
        <w:pStyle w:val="BodyText"/>
      </w:pPr>
      <w:r>
        <w:rPr>
          <w:b/>
          <w:bCs/>
        </w:rPr>
        <w:t xml:space="preserve">Homebuilding (&gt;85% of revenue):</w:t>
      </w:r>
      <w:r>
        <w:t xml:space="preserve"> </w:t>
      </w:r>
      <w:r>
        <w:t xml:space="preserve">Design, construction, and sale of entry-level to luxury single-family homes, townhomes, and condominiums in master-planned communities. Product differentiation includes:</w:t>
      </w:r>
      <w:r>
        <w:t xml:space="preserve"> </w:t>
      </w:r>
      <w:r>
        <w:t xml:space="preserve">-</w:t>
      </w:r>
      <w:r>
        <w:t xml:space="preserve"> </w:t>
      </w:r>
      <w:r>
        <w:rPr>
          <w:b/>
          <w:bCs/>
        </w:rPr>
        <w:t xml:space="preserve">Everything’s Included®:</w:t>
      </w:r>
      <w:r>
        <w:t xml:space="preserve"> </w:t>
      </w:r>
      <w:r>
        <w:t xml:space="preserve">Standardized feature packages (appliances, smart-home tech, energy-efficient components) eliminate buyer option complexity and reduce construction variability</w:t>
      </w:r>
      <w:r>
        <w:t xml:space="preserve"> </w:t>
      </w:r>
      <w:r>
        <w:t xml:space="preserve">-</w:t>
      </w:r>
      <w:r>
        <w:t xml:space="preserve"> </w:t>
      </w:r>
      <w:r>
        <w:rPr>
          <w:b/>
          <w:bCs/>
        </w:rPr>
        <w:t xml:space="preserve">Next Gen®:</w:t>
      </w:r>
      <w:r>
        <w:t xml:space="preserve"> </w:t>
      </w:r>
      <w:r>
        <w:t xml:space="preserve">Multigenerational floor plans with separate living suites under one roof</w:t>
      </w:r>
      <w:r>
        <w:t xml:space="preserve"> </w:t>
      </w:r>
      <w:r>
        <w:t xml:space="preserve">-</w:t>
      </w:r>
      <w:r>
        <w:t xml:space="preserve"> </w:t>
      </w:r>
      <w:r>
        <w:rPr>
          <w:b/>
          <w:bCs/>
        </w:rPr>
        <w:t xml:space="preserve">Lenˣ technology:</w:t>
      </w:r>
      <w:r>
        <w:t xml:space="preserve"> </w:t>
      </w:r>
      <w:r>
        <w:t xml:space="preserve">Smart-home integration, Wi-Fi certified homes, solar-ready infrastructure</w:t>
      </w:r>
    </w:p>
    <w:p>
      <w:pPr>
        <w:pStyle w:val="BodyText"/>
      </w:pPr>
      <w:r>
        <w:rPr>
          <w:b/>
          <w:bCs/>
        </w:rPr>
        <w:t xml:space="preserve">Financial Services (8-10% of revenue):</w:t>
      </w:r>
      <w:r>
        <w:t xml:space="preserve"> </w:t>
      </w:r>
      <w:r>
        <w:t xml:space="preserve">Lennar Mortgage originates loans for ~80% of Lennar buyers and select third-party customers; Lennar Title provides title insurance and closing services. This captures origination fees, servicing income, and title premiums while providing customer experience control.</w:t>
      </w:r>
    </w:p>
    <w:p>
      <w:pPr>
        <w:pStyle w:val="BodyText"/>
      </w:pPr>
      <w:r>
        <w:rPr>
          <w:b/>
          <w:bCs/>
        </w:rPr>
        <w:t xml:space="preserve">Multifamily (now minority stake):</w:t>
      </w:r>
      <w:r>
        <w:t xml:space="preserve"> </w:t>
      </w:r>
      <w:r>
        <w:t xml:space="preserve">Quarterra develops Class-A rental communities; TPG majority ownership shift (2025) reduces Lennar’s capital commitment after $75M FY 2025 losses.</w:t>
      </w:r>
    </w:p>
    <w:p>
      <w:pPr>
        <w:pStyle w:val="BodyText"/>
      </w:pPr>
      <w:r>
        <w:rPr>
          <w:b/>
          <w:bCs/>
        </w:rPr>
        <w:t xml:space="preserve">Other:</w:t>
      </w:r>
      <w:r>
        <w:t xml:space="preserve"> </w:t>
      </w:r>
      <w:r>
        <w:t xml:space="preserve">Technology venture investments contributed $130M mark-to-market gains in FY 2025 (offset by $156M Millrose exchange loss).</w:t>
      </w:r>
    </w:p>
    <w:bookmarkEnd w:id="21"/>
    <w:bookmarkStart w:id="22" w:name="revenue-streams-and-customer-segments"/>
    <w:p>
      <w:pPr>
        <w:pStyle w:val="Heading3"/>
      </w:pPr>
      <w:r>
        <w:rPr>
          <w:b/>
          <w:bCs/>
        </w:rPr>
        <w:t xml:space="preserve">Revenue Streams and Customer Segments</w:t>
      </w:r>
    </w:p>
    <w:p>
      <w:pPr>
        <w:pStyle w:val="FirstParagraph"/>
      </w:pPr>
      <w:r>
        <w:rPr>
          <w:b/>
          <w:bCs/>
        </w:rPr>
        <w:t xml:space="preserve">Revenue Drivers:</w:t>
      </w:r>
      <w:r>
        <w:t xml:space="preserve"> </w:t>
      </w:r>
      <w:r>
        <w:t xml:space="preserve">1. Home closings (deliveries) × average selling price</w:t>
      </w:r>
      <w:r>
        <w:t xml:space="preserve"> </w:t>
      </w:r>
      <w:r>
        <w:t xml:space="preserve">2. Mortgage origination volume and attach rate (~80%)</w:t>
      </w:r>
      <w:r>
        <w:t xml:space="preserve"> </w:t>
      </w:r>
      <w:r>
        <w:t xml:space="preserve">3. Title services per closing</w:t>
      </w:r>
      <w:r>
        <w:t xml:space="preserve"> </w:t>
      </w:r>
      <w:r>
        <w:t xml:space="preserve">4. Land sales and multifamily asset monetization</w:t>
      </w:r>
    </w:p>
    <w:p>
      <w:pPr>
        <w:pStyle w:val="BodyText"/>
      </w:pPr>
      <w:r>
        <w:rPr>
          <w:b/>
          <w:bCs/>
        </w:rPr>
        <w:t xml:space="preserve">Customer Segmentation:</w:t>
      </w:r>
      <w:r>
        <w:t xml:space="preserve"> </w:t>
      </w:r>
      <w:r>
        <w:t xml:space="preserve">-</w:t>
      </w:r>
      <w:r>
        <w:t xml:space="preserve"> </w:t>
      </w:r>
      <w:r>
        <w:rPr>
          <w:b/>
          <w:bCs/>
        </w:rPr>
        <w:t xml:space="preserve">First-time buyers (40-45% of mix):</w:t>
      </w:r>
      <w:r>
        <w:t xml:space="preserve"> </w:t>
      </w:r>
      <w:r>
        <w:t xml:space="preserve">Most rate-sensitive; require maximum incentives; average price ~$300-350K</w:t>
      </w:r>
      <w:r>
        <w:t xml:space="preserve"> </w:t>
      </w:r>
      <w:r>
        <w:t xml:space="preserve">-</w:t>
      </w:r>
      <w:r>
        <w:t xml:space="preserve"> </w:t>
      </w:r>
      <w:r>
        <w:rPr>
          <w:b/>
          <w:bCs/>
        </w:rPr>
        <w:t xml:space="preserve">Move-up buyers (35-40%):</w:t>
      </w:r>
      <w:r>
        <w:t xml:space="preserve"> </w:t>
      </w:r>
      <w:r>
        <w:t xml:space="preserve">Trading up for space/location; price range $400-600K</w:t>
      </w:r>
      <w:r>
        <w:t xml:space="preserve"> </w:t>
      </w:r>
      <w:r>
        <w:t xml:space="preserve">-</w:t>
      </w:r>
      <w:r>
        <w:t xml:space="preserve"> </w:t>
      </w:r>
      <w:r>
        <w:rPr>
          <w:b/>
          <w:bCs/>
        </w:rPr>
        <w:t xml:space="preserve">Active adult (10-15%):</w:t>
      </w:r>
      <w:r>
        <w:t xml:space="preserve"> </w:t>
      </w:r>
      <w:r>
        <w:t xml:space="preserve">Age 55+ empty-nesters; age-restricted communities</w:t>
      </w:r>
      <w:r>
        <w:t xml:space="preserve"> </w:t>
      </w:r>
      <w:r>
        <w:t xml:space="preserve">-</w:t>
      </w:r>
      <w:r>
        <w:t xml:space="preserve"> </w:t>
      </w:r>
      <w:r>
        <w:rPr>
          <w:b/>
          <w:bCs/>
        </w:rPr>
        <w:t xml:space="preserve">Luxury (5-10%):</w:t>
      </w:r>
      <w:r>
        <w:t xml:space="preserve"> </w:t>
      </w:r>
      <w:r>
        <w:t xml:space="preserve">$800K+ custom and semi-custom homes</w:t>
      </w:r>
    </w:p>
    <w:bookmarkEnd w:id="22"/>
    <w:bookmarkStart w:id="23" w:name="market-characteristics-and-economics"/>
    <w:p>
      <w:pPr>
        <w:pStyle w:val="Heading3"/>
      </w:pPr>
      <w:r>
        <w:rPr>
          <w:b/>
          <w:bCs/>
        </w:rPr>
        <w:t xml:space="preserve">Market Characteristics and Economics</w:t>
      </w:r>
    </w:p>
    <w:p>
      <w:pPr>
        <w:pStyle w:val="FirstParagraph"/>
      </w:pPr>
      <w:r>
        <w:rPr>
          <w:b/>
          <w:bCs/>
        </w:rPr>
        <w:t xml:space="preserve">Customer Acquisition:</w:t>
      </w:r>
      <w:r>
        <w:t xml:space="preserve"> </w:t>
      </w:r>
      <w:r>
        <w:t xml:space="preserve">Average sales cycle 3-6 months from initial visit to contract. Community traffic driven by digital marketing (50% of leads), realtor referrals (30%), and walk-ins (20%). Customer acquisition cost per closing estimated $3,000-5,000 (marketing, sales commissions, model homes).</w:t>
      </w:r>
    </w:p>
    <w:p>
      <w:pPr>
        <w:pStyle w:val="BodyText"/>
      </w:pPr>
      <w:r>
        <w:rPr>
          <w:b/>
          <w:bCs/>
        </w:rPr>
        <w:t xml:space="preserve">Retention/Repeat:</w:t>
      </w:r>
      <w:r>
        <w:t xml:space="preserve"> </w:t>
      </w:r>
      <w:r>
        <w:t xml:space="preserve">Homebuilding has low direct repeat rates (&lt;5% buy second home from same builder), but brand loyalty influences referrals and mortgage/title attach rates.</w:t>
      </w:r>
    </w:p>
    <w:p>
      <w:pPr>
        <w:pStyle w:val="BodyText"/>
      </w:pPr>
      <w:r>
        <w:rPr>
          <w:b/>
          <w:bCs/>
        </w:rPr>
        <w:t xml:space="preserve">Seasonality:</w:t>
      </w:r>
      <w:r>
        <w:t xml:space="preserve"> </w:t>
      </w:r>
      <w:r>
        <w:t xml:space="preserve">Spring/summer peak selling seasons (March-June) drive backlog for fall/winter closings. Q4 and Q1 historically show strongest delivery volumes. Weather impacts construction schedules in northern markets.</w:t>
      </w:r>
    </w:p>
    <w:p>
      <w:pPr>
        <w:pStyle w:val="BodyText"/>
      </w:pPr>
      <w:r>
        <w:rPr>
          <w:b/>
          <w:bCs/>
        </w:rPr>
        <w:t xml:space="preserve">Cyclicality:</w:t>
      </w:r>
      <w:r>
        <w:t xml:space="preserve"> </w:t>
      </w:r>
      <w:r>
        <w:t xml:space="preserve">Highly cyclical, driven by:</w:t>
      </w:r>
      <w:r>
        <w:t xml:space="preserve"> </w:t>
      </w:r>
      <w:r>
        <w:t xml:space="preserve">- Mortgage rates (30-year rates rose from 3% in 2021 to 7%+ in 2023-2024, crushing affordability)</w:t>
      </w:r>
      <w:r>
        <w:t xml:space="preserve"> </w:t>
      </w:r>
      <w:r>
        <w:t xml:space="preserve">- Employment and wage growth</w:t>
      </w:r>
      <w:r>
        <w:t xml:space="preserve"> </w:t>
      </w:r>
      <w:r>
        <w:t xml:space="preserve">- Consumer confidence</w:t>
      </w:r>
      <w:r>
        <w:t xml:space="preserve"> </w:t>
      </w:r>
      <w:r>
        <w:t xml:space="preserve">- Housing supply/demand dynamics</w:t>
      </w:r>
      <w:r>
        <w:t xml:space="preserve"> </w:t>
      </w:r>
      <w:r>
        <w:t xml:space="preserve">- Credit availability</w:t>
      </w:r>
    </w:p>
    <w:p>
      <w:pPr>
        <w:pStyle w:val="BodyText"/>
      </w:pPr>
      <w:r>
        <w:rPr>
          <w:b/>
          <w:bCs/>
        </w:rPr>
        <w:t xml:space="preserve">Margins:</w:t>
      </w:r>
      <w:r>
        <w:t xml:space="preserve"> </w:t>
      </w:r>
      <w:r>
        <w:t xml:space="preserve">- Gross margin (home sales): Historically 22-25%, compressed to ~18-20% in FY 2024-2025 due to incentives</w:t>
      </w:r>
      <w:r>
        <w:t xml:space="preserve"> </w:t>
      </w:r>
      <w:r>
        <w:t xml:space="preserve">- Operating margin: 7.88% (FY 2025), down from 12-15% in prior cycle peaks</w:t>
      </w:r>
      <w:r>
        <w:t xml:space="preserve"> </w:t>
      </w:r>
      <w:r>
        <w:t xml:space="preserve">- Net margin: 6.08% (FY 2025), down from 11%+ in FY 2022-2023</w:t>
      </w:r>
    </w:p>
    <w:p>
      <w:pPr>
        <w:pStyle w:val="BodyText"/>
      </w:pPr>
      <w:r>
        <w:rPr>
          <w:b/>
          <w:bCs/>
        </w:rPr>
        <w:t xml:space="preserve">Market Size and Growth:</w:t>
      </w:r>
      <w:r>
        <w:t xml:space="preserve"> </w:t>
      </w:r>
      <w:r>
        <w:t xml:space="preserve">U.S. new home sales run ~700,000-800,000 annually (2024-2025), representing ~15% of total home sales (~4.5-5M existing homes sold). Structural housing shortage estimated at 3-5 million units supports long-term demand, but near-term growth constrained by affordability and rates.</w:t>
      </w:r>
    </w:p>
    <w:p>
      <w:pPr>
        <w:pStyle w:val="BodyText"/>
      </w:pPr>
      <w:r>
        <w:rPr>
          <w:b/>
          <w:bCs/>
        </w:rPr>
        <w:t xml:space="preserve">Growth Factors:</w:t>
      </w:r>
      <w:r>
        <w:t xml:space="preserve"> </w:t>
      </w:r>
      <w:r>
        <w:t xml:space="preserve">- Positive: Millennial/Gen Z household formation, housing shortage, limited existing inventory, Sunbelt migration</w:t>
      </w:r>
      <w:r>
        <w:t xml:space="preserve"> </w:t>
      </w:r>
      <w:r>
        <w:t xml:space="preserve">- Negative: Mortgage rate levels, home price appreciation outpacing wage growth, construction labor shortages, regulatory constraints (zoning, impact fees)</w:t>
      </w:r>
    </w:p>
    <w:bookmarkEnd w:id="23"/>
    <w:bookmarkStart w:id="24" w:name="competitive-advantages-and-moats"/>
    <w:p>
      <w:pPr>
        <w:pStyle w:val="Heading3"/>
      </w:pPr>
      <w:r>
        <w:rPr>
          <w:b/>
          <w:bCs/>
        </w:rPr>
        <w:t xml:space="preserve">Competitive Advantages and Moats</w:t>
      </w:r>
    </w:p>
    <w:p>
      <w:pPr>
        <w:pStyle w:val="FirstParagraph"/>
      </w:pPr>
      <w:r>
        <w:rPr>
          <w:b/>
          <w:bCs/>
        </w:rPr>
        <w:t xml:space="preserve">Scale Economies:</w:t>
      </w:r>
      <w:r>
        <w:t xml:space="preserve"> </w:t>
      </w:r>
      <w:r>
        <w:t xml:space="preserve">As #2 U.S. builder by revenue, Lennar leverages:</w:t>
      </w:r>
      <w:r>
        <w:t xml:space="preserve"> </w:t>
      </w:r>
      <w:r>
        <w:t xml:space="preserve">- Purchasing power with suppliers (lumber, appliances, materials): 5-10% cost advantage vs. regional builders</w:t>
      </w:r>
      <w:r>
        <w:t xml:space="preserve"> </w:t>
      </w:r>
      <w:r>
        <w:t xml:space="preserve">- Overhead absorption across 82,000+ annual closings</w:t>
      </w:r>
      <w:r>
        <w:t xml:space="preserve"> </w:t>
      </w:r>
      <w:r>
        <w:t xml:space="preserve">- Favorable access to capital markets (investment-grade credit)</w:t>
      </w:r>
    </w:p>
    <w:p>
      <w:pPr>
        <w:pStyle w:val="BodyText"/>
      </w:pPr>
      <w:r>
        <w:rPr>
          <w:b/>
          <w:bCs/>
        </w:rPr>
        <w:t xml:space="preserve">Integrated Platform:</w:t>
      </w:r>
      <w:r>
        <w:t xml:space="preserve"> </w:t>
      </w:r>
      <w:r>
        <w:t xml:space="preserve">Vertical integration captures 200-300 bps of additional margin via mortgage origination and title services, while enhancing customer experience and data visibility into buyer credit trends.</w:t>
      </w:r>
    </w:p>
    <w:p>
      <w:pPr>
        <w:pStyle w:val="BodyText"/>
      </w:pPr>
      <w:r>
        <w:rPr>
          <w:b/>
          <w:bCs/>
        </w:rPr>
        <w:t xml:space="preserve">Land Positioning:</w:t>
      </w:r>
      <w:r>
        <w:t xml:space="preserve"> </w:t>
      </w:r>
      <w:r>
        <w:t xml:space="preserve">Decades of relationships with landowners, municipalities, and developers provide access to prime locations in high-growth markets. Strategic land banking (now transitioning to options under land-light model) secures future supply.</w:t>
      </w:r>
    </w:p>
    <w:p>
      <w:pPr>
        <w:pStyle w:val="BodyText"/>
      </w:pPr>
      <w:r>
        <w:rPr>
          <w:b/>
          <w:bCs/>
        </w:rPr>
        <w:t xml:space="preserve">Brand and Standardization:</w:t>
      </w:r>
      <w:r>
        <w:t xml:space="preserve"> </w:t>
      </w:r>
      <w:r>
        <w:t xml:space="preserve">Everything’s Included® reduces construction complexity and option management costs while marketing as value proposition. Next Gen® differentiates in multigenerational segment.</w:t>
      </w:r>
    </w:p>
    <w:p>
      <w:pPr>
        <w:pStyle w:val="BodyText"/>
      </w:pPr>
      <w:r>
        <w:rPr>
          <w:b/>
          <w:bCs/>
        </w:rPr>
        <w:t xml:space="preserve">Barriers to Entry:</w:t>
      </w:r>
      <w:r>
        <w:t xml:space="preserve"> </w:t>
      </w:r>
      <w:r>
        <w:t xml:space="preserve">- Capital intensity (land acquisition requires significant upfront investment)</w:t>
      </w:r>
      <w:r>
        <w:t xml:space="preserve"> </w:t>
      </w:r>
      <w:r>
        <w:t xml:space="preserve">- Local regulatory knowledge (zoning, permitting, impact fees)</w:t>
      </w:r>
      <w:r>
        <w:t xml:space="preserve"> </w:t>
      </w:r>
      <w:r>
        <w:t xml:space="preserve">- Trade relationships (reliable subcontractor networks take years to build)</w:t>
      </w:r>
      <w:r>
        <w:t xml:space="preserve"> </w:t>
      </w:r>
      <w:r>
        <w:t xml:space="preserve">- Customer trust (warranty liability discourages new entrants)</w:t>
      </w:r>
    </w:p>
    <w:p>
      <w:pPr>
        <w:pStyle w:val="BodyText"/>
      </w:pPr>
      <w:r>
        <w:t xml:space="preserve">However, homebuilding lacks strong intellectual property or true network effects; moat is</w:t>
      </w:r>
      <w:r>
        <w:t xml:space="preserve"> </w:t>
      </w:r>
      <w:r>
        <w:rPr>
          <w:b/>
          <w:bCs/>
        </w:rPr>
        <w:t xml:space="preserve">moderate</w:t>
      </w:r>
      <w:r>
        <w:t xml:space="preserve"> </w:t>
      </w:r>
      <w:r>
        <w:t xml:space="preserve">and primarily scale/execution-based rather than structural.</w:t>
      </w:r>
    </w:p>
    <w:p>
      <w:r>
        <w:pict>
          <v:rect style="width:0;height:1.5pt" o:hralign="center" o:hrstd="t" o:hr="t"/>
        </w:pict>
      </w:r>
    </w:p>
    <w:bookmarkEnd w:id="24"/>
    <w:bookmarkEnd w:id="25"/>
    <w:bookmarkStart w:id="30" w:name="competitive-landscape"/>
    <w:p>
      <w:pPr>
        <w:pStyle w:val="Heading2"/>
      </w:pPr>
      <w:r>
        <w:rPr>
          <w:b/>
          <w:bCs/>
        </w:rPr>
        <w:t xml:space="preserve">4. COMPETITIVE LANDSCAPE</w:t>
      </w:r>
    </w:p>
    <w:bookmarkStart w:id="26" w:name="market-share-and-positioning"/>
    <w:p>
      <w:pPr>
        <w:pStyle w:val="Heading3"/>
      </w:pPr>
      <w:r>
        <w:rPr>
          <w:b/>
          <w:bCs/>
        </w:rPr>
        <w:t xml:space="preserve">Market Share and Positioning</w:t>
      </w:r>
    </w:p>
    <w:p>
      <w:pPr>
        <w:pStyle w:val="FirstParagraph"/>
      </w:pPr>
      <w:r>
        <w:t xml:space="preserve">The U.S. homebuilding industry is fragmented with thousands of local/regional builders. Lennar holds an estimated</w:t>
      </w:r>
      <w:r>
        <w:t xml:space="preserve"> </w:t>
      </w:r>
      <w:r>
        <w:rPr>
          <w:b/>
          <w:bCs/>
        </w:rPr>
        <w:t xml:space="preserve">10-12% share</w:t>
      </w:r>
      <w:r>
        <w:t xml:space="preserve"> </w:t>
      </w:r>
      <w:r>
        <w:t xml:space="preserve">of new home closings in its core markets, with stronger positions in Florida (15%+), Texas (12%+), and select metros.</w:t>
      </w:r>
    </w:p>
    <w:bookmarkEnd w:id="26"/>
    <w:bookmarkStart w:id="27" w:name="peer-comparison-1"/>
    <w:p>
      <w:pPr>
        <w:pStyle w:val="Heading3"/>
      </w:pPr>
      <w:r>
        <w:rPr>
          <w:b/>
          <w:bCs/>
        </w:rPr>
        <w:t xml:space="preserve">Peer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Metric</w:t>
            </w:r>
          </w:p>
        </w:tc>
        <w:tc>
          <w:tcPr/>
          <w:p>
            <w:pPr>
              <w:pStyle w:val="Compact"/>
            </w:pPr>
            <w:r>
              <w:rPr>
                <w:b/>
                <w:bCs/>
              </w:rPr>
              <w:t xml:space="preserve">LEN</w:t>
            </w:r>
          </w:p>
        </w:tc>
        <w:tc>
          <w:tcPr/>
          <w:p>
            <w:pPr>
              <w:pStyle w:val="Compact"/>
            </w:pPr>
            <w:r>
              <w:rPr>
                <w:b/>
                <w:bCs/>
              </w:rPr>
              <w:t xml:space="preserve">DHI</w:t>
            </w:r>
          </w:p>
        </w:tc>
        <w:tc>
          <w:tcPr/>
          <w:p>
            <w:pPr>
              <w:pStyle w:val="Compact"/>
            </w:pPr>
            <w:r>
              <w:rPr>
                <w:b/>
                <w:bCs/>
              </w:rPr>
              <w:t xml:space="preserve">PHM</w:t>
            </w:r>
          </w:p>
        </w:tc>
        <w:tc>
          <w:tcPr/>
          <w:p>
            <w:pPr>
              <w:pStyle w:val="Compact"/>
            </w:pPr>
            <w:r>
              <w:rPr>
                <w:b/>
                <w:bCs/>
              </w:rPr>
              <w:t xml:space="preserve">NVR</w:t>
            </w:r>
          </w:p>
        </w:tc>
        <w:tc>
          <w:tcPr/>
          <w:p>
            <w:pPr>
              <w:pStyle w:val="Compact"/>
            </w:pPr>
            <w:r>
              <w:rPr>
                <w:b/>
                <w:bCs/>
              </w:rPr>
              <w:t xml:space="preserve">TOL</w:t>
            </w:r>
          </w:p>
        </w:tc>
      </w:tr>
      <w:tr>
        <w:tc>
          <w:tcPr/>
          <w:p>
            <w:pPr>
              <w:pStyle w:val="Compact"/>
            </w:pPr>
            <w:r>
              <w:rPr>
                <w:b/>
                <w:bCs/>
              </w:rPr>
              <w:t xml:space="preserve">Market Cap</w:t>
            </w:r>
          </w:p>
        </w:tc>
        <w:tc>
          <w:tcPr/>
          <w:p>
            <w:pPr>
              <w:pStyle w:val="Compact"/>
            </w:pPr>
            <w:r>
              <w:t xml:space="preserve">$28.9B</w:t>
            </w:r>
          </w:p>
        </w:tc>
        <w:tc>
          <w:tcPr/>
          <w:p>
            <w:pPr>
              <w:pStyle w:val="Compact"/>
            </w:pPr>
            <w:r>
              <w:t xml:space="preserve">$45.2B</w:t>
            </w:r>
          </w:p>
        </w:tc>
        <w:tc>
          <w:tcPr/>
          <w:p>
            <w:pPr>
              <w:pStyle w:val="Compact"/>
            </w:pPr>
            <w:r>
              <w:t xml:space="preserve">$25.5B</w:t>
            </w:r>
          </w:p>
        </w:tc>
        <w:tc>
          <w:tcPr/>
          <w:p>
            <w:pPr>
              <w:pStyle w:val="Compact"/>
            </w:pPr>
            <w:r>
              <w:t xml:space="preserve">$21.5B</w:t>
            </w:r>
          </w:p>
        </w:tc>
        <w:tc>
          <w:tcPr/>
          <w:p>
            <w:pPr>
              <w:pStyle w:val="Compact"/>
            </w:pPr>
            <w:r>
              <w:t xml:space="preserve">$14.0B</w:t>
            </w:r>
          </w:p>
        </w:tc>
      </w:tr>
      <w:tr>
        <w:tc>
          <w:tcPr/>
          <w:p>
            <w:pPr>
              <w:pStyle w:val="Compact"/>
            </w:pPr>
            <w:r>
              <w:rPr>
                <w:b/>
                <w:bCs/>
              </w:rPr>
              <w:t xml:space="preserve">FY Rev (est)</w:t>
            </w:r>
          </w:p>
        </w:tc>
        <w:tc>
          <w:tcPr/>
          <w:p>
            <w:pPr>
              <w:pStyle w:val="Compact"/>
            </w:pPr>
            <w:r>
              <w:t xml:space="preserve">$34.2B</w:t>
            </w:r>
          </w:p>
        </w:tc>
        <w:tc>
          <w:tcPr/>
          <w:p>
            <w:pPr>
              <w:pStyle w:val="Compact"/>
            </w:pPr>
            <w:r>
              <w:t xml:space="preserve">$37-38B</w:t>
            </w:r>
          </w:p>
        </w:tc>
        <w:tc>
          <w:tcPr/>
          <w:p>
            <w:pPr>
              <w:pStyle w:val="Compact"/>
            </w:pPr>
            <w:r>
              <w:t xml:space="preserve">$16-17B</w:t>
            </w:r>
          </w:p>
        </w:tc>
        <w:tc>
          <w:tcPr/>
          <w:p>
            <w:pPr>
              <w:pStyle w:val="Compact"/>
            </w:pPr>
            <w:r>
              <w:t xml:space="preserve">$10-11B</w:t>
            </w:r>
          </w:p>
        </w:tc>
        <w:tc>
          <w:tcPr/>
          <w:p>
            <w:pPr>
              <w:pStyle w:val="Compact"/>
            </w:pPr>
            <w:r>
              <w:t xml:space="preserve">$10-11B</w:t>
            </w:r>
          </w:p>
        </w:tc>
      </w:tr>
      <w:tr>
        <w:tc>
          <w:tcPr/>
          <w:p>
            <w:pPr>
              <w:pStyle w:val="Compact"/>
            </w:pPr>
            <w:r>
              <w:rPr>
                <w:b/>
                <w:bCs/>
              </w:rPr>
              <w:t xml:space="preserve">FY Closings</w:t>
            </w:r>
          </w:p>
        </w:tc>
        <w:tc>
          <w:tcPr/>
          <w:p>
            <w:pPr>
              <w:pStyle w:val="Compact"/>
            </w:pPr>
            <w:r>
              <w:t xml:space="preserve">82,583</w:t>
            </w:r>
          </w:p>
        </w:tc>
        <w:tc>
          <w:tcPr/>
          <w:p>
            <w:pPr>
              <w:pStyle w:val="Compact"/>
            </w:pPr>
            <w:r>
              <w:t xml:space="preserve">~90,000</w:t>
            </w:r>
          </w:p>
        </w:tc>
        <w:tc>
          <w:tcPr/>
          <w:p>
            <w:pPr>
              <w:pStyle w:val="Compact"/>
            </w:pPr>
            <w:r>
              <w:t xml:space="preserve">~32,000</w:t>
            </w:r>
          </w:p>
        </w:tc>
        <w:tc>
          <w:tcPr/>
          <w:p>
            <w:pPr>
              <w:pStyle w:val="Compact"/>
            </w:pPr>
            <w:r>
              <w:t xml:space="preserve">~25,000</w:t>
            </w:r>
          </w:p>
        </w:tc>
        <w:tc>
          <w:tcPr/>
          <w:p>
            <w:pPr>
              <w:pStyle w:val="Compact"/>
            </w:pPr>
            <w:r>
              <w:t xml:space="preserve">~12,000</w:t>
            </w:r>
          </w:p>
        </w:tc>
      </w:tr>
      <w:tr>
        <w:tc>
          <w:tcPr/>
          <w:p>
            <w:pPr>
              <w:pStyle w:val="Compact"/>
            </w:pPr>
            <w:r>
              <w:rPr>
                <w:b/>
                <w:bCs/>
              </w:rPr>
              <w:t xml:space="preserve">Avg Price</w:t>
            </w:r>
          </w:p>
        </w:tc>
        <w:tc>
          <w:tcPr/>
          <w:p>
            <w:pPr>
              <w:pStyle w:val="Compact"/>
            </w:pPr>
            <w:r>
              <w:t xml:space="preserve">~$414K</w:t>
            </w:r>
          </w:p>
        </w:tc>
        <w:tc>
          <w:tcPr/>
          <w:p>
            <w:pPr>
              <w:pStyle w:val="Compact"/>
            </w:pPr>
            <w:r>
              <w:t xml:space="preserve">~$390K</w:t>
            </w:r>
          </w:p>
        </w:tc>
        <w:tc>
          <w:tcPr/>
          <w:p>
            <w:pPr>
              <w:pStyle w:val="Compact"/>
            </w:pPr>
            <w:r>
              <w:t xml:space="preserve">~$510K</w:t>
            </w:r>
          </w:p>
        </w:tc>
        <w:tc>
          <w:tcPr/>
          <w:p>
            <w:pPr>
              <w:pStyle w:val="Compact"/>
            </w:pPr>
            <w:r>
              <w:t xml:space="preserve">~$440K</w:t>
            </w:r>
          </w:p>
        </w:tc>
        <w:tc>
          <w:tcPr/>
          <w:p>
            <w:pPr>
              <w:pStyle w:val="Compact"/>
            </w:pPr>
            <w:r>
              <w:t xml:space="preserve">~$850K</w:t>
            </w:r>
          </w:p>
        </w:tc>
      </w:tr>
      <w:tr>
        <w:tc>
          <w:tcPr/>
          <w:p>
            <w:pPr>
              <w:pStyle w:val="Compact"/>
            </w:pPr>
            <w:r>
              <w:rPr>
                <w:b/>
                <w:bCs/>
              </w:rPr>
              <w:t xml:space="preserve">P/E (TTM)</w:t>
            </w:r>
          </w:p>
        </w:tc>
        <w:tc>
          <w:tcPr/>
          <w:p>
            <w:pPr>
              <w:pStyle w:val="Compact"/>
            </w:pPr>
            <w:r>
              <w:t xml:space="preserve">14.7x</w:t>
            </w:r>
          </w:p>
        </w:tc>
        <w:tc>
          <w:tcPr/>
          <w:p>
            <w:pPr>
              <w:pStyle w:val="Compact"/>
            </w:pPr>
            <w:r>
              <w:t xml:space="preserve">~13x</w:t>
            </w:r>
          </w:p>
        </w:tc>
        <w:tc>
          <w:tcPr/>
          <w:p>
            <w:pPr>
              <w:pStyle w:val="Compact"/>
            </w:pPr>
            <w:r>
              <w:t xml:space="preserve">~10x</w:t>
            </w:r>
          </w:p>
        </w:tc>
        <w:tc>
          <w:tcPr/>
          <w:p>
            <w:pPr>
              <w:pStyle w:val="Compact"/>
            </w:pPr>
            <w:r>
              <w:t xml:space="preserve">~16x</w:t>
            </w:r>
          </w:p>
        </w:tc>
        <w:tc>
          <w:tcPr/>
          <w:p>
            <w:pPr>
              <w:pStyle w:val="Compact"/>
            </w:pPr>
            <w:r>
              <w:t xml:space="preserve">~10x</w:t>
            </w:r>
          </w:p>
        </w:tc>
      </w:tr>
      <w:tr>
        <w:tc>
          <w:tcPr/>
          <w:p>
            <w:pPr>
              <w:pStyle w:val="Compact"/>
            </w:pPr>
            <w:r>
              <w:rPr>
                <w:b/>
                <w:bCs/>
              </w:rPr>
              <w:t xml:space="preserve">Gross Margin</w:t>
            </w:r>
          </w:p>
        </w:tc>
        <w:tc>
          <w:tcPr/>
          <w:p>
            <w:pPr>
              <w:pStyle w:val="Compact"/>
            </w:pPr>
            <w:r>
              <w:t xml:space="preserve">~18-20%</w:t>
            </w:r>
          </w:p>
        </w:tc>
        <w:tc>
          <w:tcPr/>
          <w:p>
            <w:pPr>
              <w:pStyle w:val="Compact"/>
            </w:pPr>
            <w:r>
              <w:t xml:space="preserve">~20-22%</w:t>
            </w:r>
          </w:p>
        </w:tc>
        <w:tc>
          <w:tcPr/>
          <w:p>
            <w:pPr>
              <w:pStyle w:val="Compact"/>
            </w:pPr>
            <w:r>
              <w:t xml:space="preserve">~25-27%</w:t>
            </w:r>
          </w:p>
        </w:tc>
        <w:tc>
          <w:tcPr/>
          <w:p>
            <w:pPr>
              <w:pStyle w:val="Compact"/>
            </w:pPr>
            <w:r>
              <w:t xml:space="preserve">~21-23%</w:t>
            </w:r>
          </w:p>
        </w:tc>
        <w:tc>
          <w:tcPr/>
          <w:p>
            <w:pPr>
              <w:pStyle w:val="Compact"/>
            </w:pPr>
            <w:r>
              <w:t xml:space="preserve">~24-26%</w:t>
            </w:r>
          </w:p>
        </w:tc>
      </w:tr>
      <w:tr>
        <w:tc>
          <w:tcPr/>
          <w:p>
            <w:pPr>
              <w:pStyle w:val="Compact"/>
            </w:pPr>
            <w:r>
              <w:rPr>
                <w:b/>
                <w:bCs/>
              </w:rPr>
              <w:t xml:space="preserve">ROE</w:t>
            </w:r>
          </w:p>
        </w:tc>
        <w:tc>
          <w:tcPr/>
          <w:p>
            <w:pPr>
              <w:pStyle w:val="Compact"/>
            </w:pPr>
            <w:r>
              <w:t xml:space="preserve">8.4%</w:t>
            </w:r>
          </w:p>
        </w:tc>
        <w:tc>
          <w:tcPr/>
          <w:p>
            <w:pPr>
              <w:pStyle w:val="Compact"/>
            </w:pPr>
            <w:r>
              <w:t xml:space="preserve">~15%+</w:t>
            </w:r>
          </w:p>
        </w:tc>
        <w:tc>
          <w:tcPr/>
          <w:p>
            <w:pPr>
              <w:pStyle w:val="Compact"/>
            </w:pPr>
            <w:r>
              <w:t xml:space="preserve">~20%+</w:t>
            </w:r>
          </w:p>
        </w:tc>
        <w:tc>
          <w:tcPr/>
          <w:p>
            <w:pPr>
              <w:pStyle w:val="Compact"/>
            </w:pPr>
            <w:r>
              <w:t xml:space="preserve">~35%+</w:t>
            </w:r>
          </w:p>
        </w:tc>
        <w:tc>
          <w:tcPr/>
          <w:p>
            <w:pPr>
              <w:pStyle w:val="Compact"/>
            </w:pPr>
            <w:r>
              <w:t xml:space="preserve">~15%+</w:t>
            </w:r>
          </w:p>
        </w:tc>
      </w:tr>
    </w:tbl>
    <w:p>
      <w:pPr>
        <w:pStyle w:val="BodyText"/>
      </w:pPr>
      <w:r>
        <w:rPr>
          <w:b/>
          <w:bCs/>
        </w:rPr>
        <w:t xml:space="preserve">Key Observations:</w:t>
      </w:r>
    </w:p>
    <w:p>
      <w:pPr>
        <w:pStyle w:val="BodyText"/>
      </w:pPr>
      <w:r>
        <w:rPr>
          <w:b/>
          <w:bCs/>
        </w:rPr>
        <w:t xml:space="preserve">D.R. Horton (DHI):</w:t>
      </w:r>
      <w:r>
        <w:t xml:space="preserve"> </w:t>
      </w:r>
      <w:r>
        <w:t xml:space="preserve">Largest builder by volume with lower average prices (entry-level focus). Maintained stronger margins through cycle via disciplined pricing and lower incentive levels. Superior ROE reflects better capital efficiency.</w:t>
      </w:r>
    </w:p>
    <w:p>
      <w:pPr>
        <w:pStyle w:val="BodyText"/>
      </w:pPr>
      <w:r>
        <w:rPr>
          <w:b/>
          <w:bCs/>
        </w:rPr>
        <w:t xml:space="preserve">PulteGroup (PHM):</w:t>
      </w:r>
      <w:r>
        <w:t xml:space="preserve"> </w:t>
      </w:r>
      <w:r>
        <w:t xml:space="preserve">Premium margins through differentiated product (Del Webb active adult, Centex entry-level brands). Fortress balance sheet with minimal leverage. Highest ROE among large builders.</w:t>
      </w:r>
    </w:p>
    <w:p>
      <w:pPr>
        <w:pStyle w:val="BodyText"/>
      </w:pPr>
      <w:r>
        <w:rPr>
          <w:b/>
          <w:bCs/>
        </w:rPr>
        <w:t xml:space="preserve">NVR:</w:t>
      </w:r>
      <w:r>
        <w:t xml:space="preserve"> </w:t>
      </w:r>
      <w:r>
        <w:t xml:space="preserve">Asset-light model with 100% lot optioning (zero land ownership). Industry-leading ROIC (30-40%) and ROE (35%+) but more geographic concentration (East Coast focus).</w:t>
      </w:r>
    </w:p>
    <w:p>
      <w:pPr>
        <w:pStyle w:val="BodyText"/>
      </w:pPr>
      <w:r>
        <w:rPr>
          <w:b/>
          <w:bCs/>
        </w:rPr>
        <w:t xml:space="preserve">Toll Brothers (TOL):</w:t>
      </w:r>
      <w:r>
        <w:t xml:space="preserve"> </w:t>
      </w:r>
      <w:r>
        <w:t xml:space="preserve">Luxury positioning insulates from first-time buyer rate sensitivity but limits volume scale. Strong margins but cyclical demand.</w:t>
      </w:r>
    </w:p>
    <w:p>
      <w:pPr>
        <w:pStyle w:val="BodyText"/>
      </w:pPr>
      <w:r>
        <w:rPr>
          <w:b/>
          <w:bCs/>
        </w:rPr>
        <w:t xml:space="preserve">Lennar Competitive Position:</w:t>
      </w:r>
      <w:r>
        <w:t xml:space="preserve"> </w:t>
      </w:r>
      <w:r>
        <w:t xml:space="preserve">Middle-of-pack on margins and returns; scale advantage not translating to superior profitability in current cycle. ROIC below WACC is concerning versus peers maintaining double-digit returns.</w:t>
      </w:r>
    </w:p>
    <w:bookmarkEnd w:id="27"/>
    <w:bookmarkStart w:id="28" w:name="X144fa1752447ee204d1cbacd862a1154f8547e4"/>
    <w:p>
      <w:pPr>
        <w:pStyle w:val="Heading3"/>
      </w:pPr>
      <w:r>
        <w:rPr>
          <w:b/>
          <w:bCs/>
        </w:rPr>
        <w:t xml:space="preserve">Product Differentiation and Pricing Power</w:t>
      </w:r>
    </w:p>
    <w:p>
      <w:pPr>
        <w:pStyle w:val="FirstParagraph"/>
      </w:pPr>
      <w:r>
        <w:t xml:space="preserve">Homebuilding is semi-commoditized with differentiation primarily through:</w:t>
      </w:r>
      <w:r>
        <w:t xml:space="preserve"> </w:t>
      </w:r>
      <w:r>
        <w:t xml:space="preserve">-</w:t>
      </w:r>
      <w:r>
        <w:t xml:space="preserve"> </w:t>
      </w:r>
      <w:r>
        <w:rPr>
          <w:b/>
          <w:bCs/>
        </w:rPr>
        <w:t xml:space="preserve">Location:</w:t>
      </w:r>
      <w:r>
        <w:t xml:space="preserve"> </w:t>
      </w:r>
      <w:r>
        <w:t xml:space="preserve">Land position drives 60-70% of value</w:t>
      </w:r>
      <w:r>
        <w:t xml:space="preserve"> </w:t>
      </w:r>
      <w:r>
        <w:t xml:space="preserve">-</w:t>
      </w:r>
      <w:r>
        <w:t xml:space="preserve"> </w:t>
      </w:r>
      <w:r>
        <w:rPr>
          <w:b/>
          <w:bCs/>
        </w:rPr>
        <w:t xml:space="preserve">Price point:</w:t>
      </w:r>
      <w:r>
        <w:t xml:space="preserve"> </w:t>
      </w:r>
      <w:r>
        <w:t xml:space="preserve">Entry-level vs. move-up vs. luxury segmentation</w:t>
      </w:r>
      <w:r>
        <w:t xml:space="preserve"> </w:t>
      </w:r>
      <w:r>
        <w:t xml:space="preserve">-</w:t>
      </w:r>
      <w:r>
        <w:t xml:space="preserve"> </w:t>
      </w:r>
      <w:r>
        <w:rPr>
          <w:b/>
          <w:bCs/>
        </w:rPr>
        <w:t xml:space="preserve">Design/features:</w:t>
      </w:r>
      <w:r>
        <w:t xml:space="preserve"> </w:t>
      </w:r>
      <w:r>
        <w:t xml:space="preserve">Lennar’s Everything’s Included vs. competitors’ base+options models</w:t>
      </w:r>
      <w:r>
        <w:t xml:space="preserve"> </w:t>
      </w:r>
      <w:r>
        <w:t xml:space="preserve">-</w:t>
      </w:r>
      <w:r>
        <w:t xml:space="preserve"> </w:t>
      </w:r>
      <w:r>
        <w:rPr>
          <w:b/>
          <w:bCs/>
        </w:rPr>
        <w:t xml:space="preserve">Brand:</w:t>
      </w:r>
      <w:r>
        <w:t xml:space="preserve"> </w:t>
      </w:r>
      <w:r>
        <w:t xml:space="preserve">Moderate factor; local market reputation matters more than national brand</w:t>
      </w:r>
    </w:p>
    <w:p>
      <w:pPr>
        <w:pStyle w:val="BodyText"/>
      </w:pPr>
      <w:r>
        <w:rPr>
          <w:b/>
          <w:bCs/>
        </w:rPr>
        <w:t xml:space="preserve">Pricing Power:</w:t>
      </w:r>
      <w:r>
        <w:t xml:space="preserve"> </w:t>
      </w:r>
      <w:r>
        <w:t xml:space="preserve">Currently</w:t>
      </w:r>
      <w:r>
        <w:t xml:space="preserve"> </w:t>
      </w:r>
      <w:r>
        <w:rPr>
          <w:b/>
          <w:bCs/>
        </w:rPr>
        <w:t xml:space="preserve">weak</w:t>
      </w:r>
      <w:r>
        <w:t xml:space="preserve">. All builders using aggressive incentives (rate buydowns, closing cost credits, free upgrades) to maintain absorption. Lennar’s 14% incentive rate in line with industry but pressuring margins significantly.</w:t>
      </w:r>
    </w:p>
    <w:bookmarkEnd w:id="28"/>
    <w:bookmarkStart w:id="29" w:name="growth-trajectories"/>
    <w:p>
      <w:pPr>
        <w:pStyle w:val="Heading3"/>
      </w:pPr>
      <w:r>
        <w:rPr>
          <w:b/>
          <w:bCs/>
        </w:rPr>
        <w:t xml:space="preserve">Growth Trajectories</w:t>
      </w:r>
    </w:p>
    <w:p>
      <w:pPr>
        <w:pStyle w:val="FirstParagraph"/>
      </w:pPr>
      <w:r>
        <w:t xml:space="preserve">All major builders guiding to flat-to-modest delivery growth in 2026 given affordability constraints. Competitive dynamics favoring builders with:</w:t>
      </w:r>
      <w:r>
        <w:t xml:space="preserve"> </w:t>
      </w:r>
      <w:r>
        <w:t xml:space="preserve">1. Stronger balance sheets to outlast margin pressure</w:t>
      </w:r>
      <w:r>
        <w:t xml:space="preserve"> </w:t>
      </w:r>
      <w:r>
        <w:t xml:space="preserve">2. Better land positions in supply-constrained markets</w:t>
      </w:r>
      <w:r>
        <w:t xml:space="preserve"> </w:t>
      </w:r>
      <w:r>
        <w:t xml:space="preserve">3. Lower average prices in less rate-sensitive segments</w:t>
      </w:r>
    </w:p>
    <w:p>
      <w:pPr>
        <w:pStyle w:val="BodyText"/>
      </w:pPr>
      <w:r>
        <w:t xml:space="preserve">Lennar’s volume-first strategy gaining market share but at expense of returns—sustainability depends on margin recovery timing.</w:t>
      </w:r>
    </w:p>
    <w:p>
      <w:r>
        <w:pict>
          <v:rect style="width:0;height:1.5pt" o:hralign="center" o:hrstd="t" o:hr="t"/>
        </w:pict>
      </w:r>
    </w:p>
    <w:bookmarkEnd w:id="29"/>
    <w:bookmarkEnd w:id="30"/>
    <w:bookmarkStart w:id="34" w:name="supply-chain-positioning"/>
    <w:p>
      <w:pPr>
        <w:pStyle w:val="Heading2"/>
      </w:pPr>
      <w:r>
        <w:rPr>
          <w:b/>
          <w:bCs/>
        </w:rPr>
        <w:t xml:space="preserve">5. SUPPLY CHAIN POSITIONING</w:t>
      </w:r>
    </w:p>
    <w:bookmarkStart w:id="31" w:name="upstream-supplier-side"/>
    <w:p>
      <w:pPr>
        <w:pStyle w:val="Heading3"/>
      </w:pPr>
      <w:r>
        <w:rPr>
          <w:b/>
          <w:bCs/>
        </w:rPr>
        <w:t xml:space="preserve">Upstream (Supplier Side)</w:t>
      </w:r>
    </w:p>
    <w:p>
      <w:pPr>
        <w:pStyle w:val="FirstParagraph"/>
      </w:pPr>
      <w:r>
        <w:rPr>
          <w:b/>
          <w:bCs/>
        </w:rPr>
        <w:t xml:space="preserve">Land Acquisition:</w:t>
      </w:r>
      <w:r>
        <w:t xml:space="preserve"> </w:t>
      </w:r>
      <w:r>
        <w:t xml:space="preserve">Lennar sources land through:</w:t>
      </w:r>
      <w:r>
        <w:t xml:space="preserve"> </w:t>
      </w:r>
      <w:r>
        <w:t xml:space="preserve">- Direct purchases from landowners/developers (historically 60-70% of lots)</w:t>
      </w:r>
      <w:r>
        <w:t xml:space="preserve"> </w:t>
      </w:r>
      <w:r>
        <w:t xml:space="preserve">- Option agreements (increasingly emphasized under land-light strategy, targeting 50%+ optioned)</w:t>
      </w:r>
      <w:r>
        <w:t xml:space="preserve"> </w:t>
      </w:r>
      <w:r>
        <w:t xml:space="preserve">- Joint ventures with land developers and institutional partners</w:t>
      </w:r>
      <w:r>
        <w:t xml:space="preserve"> </w:t>
      </w:r>
      <w:r>
        <w:t xml:space="preserve">- Finished lot purchases from third-party developers</w:t>
      </w:r>
    </w:p>
    <w:p>
      <w:pPr>
        <w:pStyle w:val="BodyText"/>
      </w:pPr>
      <w:r>
        <w:rPr>
          <w:b/>
          <w:bCs/>
        </w:rPr>
        <w:t xml:space="preserve">Materials and Components:</w:t>
      </w:r>
      <w:r>
        <w:t xml:space="preserve"> </w:t>
      </w:r>
      <w:r>
        <w:t xml:space="preserve">-</w:t>
      </w:r>
      <w:r>
        <w:t xml:space="preserve"> </w:t>
      </w:r>
      <w:r>
        <w:rPr>
          <w:b/>
          <w:bCs/>
        </w:rPr>
        <w:t xml:space="preserve">Lumber:</w:t>
      </w:r>
      <w:r>
        <w:t xml:space="preserve"> </w:t>
      </w:r>
      <w:r>
        <w:t xml:space="preserve">National distributors (84 Lumber, US LBM) and direct mill relationships; represents 15-20% of home cost</w:t>
      </w:r>
      <w:r>
        <w:t xml:space="preserve"> </w:t>
      </w:r>
      <w:r>
        <w:t xml:space="preserve">-</w:t>
      </w:r>
      <w:r>
        <w:t xml:space="preserve"> </w:t>
      </w:r>
      <w:r>
        <w:rPr>
          <w:b/>
          <w:bCs/>
        </w:rPr>
        <w:t xml:space="preserve">Appliances:</w:t>
      </w:r>
      <w:r>
        <w:t xml:space="preserve"> </w:t>
      </w:r>
      <w:r>
        <w:t xml:space="preserve">Volume agreements with GE, Whirlpool, Samsung for Everything’s Included packages</w:t>
      </w:r>
      <w:r>
        <w:t xml:space="preserve"> </w:t>
      </w:r>
      <w:r>
        <w:t xml:space="preserve">-</w:t>
      </w:r>
      <w:r>
        <w:t xml:space="preserve"> </w:t>
      </w:r>
      <w:r>
        <w:rPr>
          <w:b/>
          <w:bCs/>
        </w:rPr>
        <w:t xml:space="preserve">HVAC/Mechanical:</w:t>
      </w:r>
      <w:r>
        <w:t xml:space="preserve"> </w:t>
      </w:r>
      <w:r>
        <w:t xml:space="preserve">Carrier, Trane, Rheem via regional distributors</w:t>
      </w:r>
      <w:r>
        <w:t xml:space="preserve"> </w:t>
      </w:r>
      <w:r>
        <w:t xml:space="preserve">-</w:t>
      </w:r>
      <w:r>
        <w:t xml:space="preserve"> </w:t>
      </w:r>
      <w:r>
        <w:rPr>
          <w:b/>
          <w:bCs/>
        </w:rPr>
        <w:t xml:space="preserve">Windows/Doors:</w:t>
      </w:r>
      <w:r>
        <w:t xml:space="preserve"> </w:t>
      </w:r>
      <w:r>
        <w:t xml:space="preserve">Milgard, Andersen, Pella</w:t>
      </w:r>
      <w:r>
        <w:t xml:space="preserve"> </w:t>
      </w:r>
      <w:r>
        <w:t xml:space="preserve">-</w:t>
      </w:r>
      <w:r>
        <w:t xml:space="preserve"> </w:t>
      </w:r>
      <w:r>
        <w:rPr>
          <w:b/>
          <w:bCs/>
        </w:rPr>
        <w:t xml:space="preserve">Drywall/Gypsum:</w:t>
      </w:r>
      <w:r>
        <w:t xml:space="preserve"> </w:t>
      </w:r>
      <w:r>
        <w:t xml:space="preserve">USG, National Gypsum</w:t>
      </w:r>
      <w:r>
        <w:t xml:space="preserve"> </w:t>
      </w:r>
      <w:r>
        <w:t xml:space="preserve">-</w:t>
      </w:r>
      <w:r>
        <w:t xml:space="preserve"> </w:t>
      </w:r>
      <w:r>
        <w:rPr>
          <w:b/>
          <w:bCs/>
        </w:rPr>
        <w:t xml:space="preserve">Roofing:</w:t>
      </w:r>
      <w:r>
        <w:t xml:space="preserve"> </w:t>
      </w:r>
      <w:r>
        <w:t xml:space="preserve">CertainTeed, Owens Corning</w:t>
      </w:r>
    </w:p>
    <w:p>
      <w:pPr>
        <w:pStyle w:val="BodyText"/>
      </w:pPr>
      <w:r>
        <w:t xml:space="preserve">Lennar’s scale provides 5-10% pricing advantage and allocation priority during supply shortages (e.g., 2021-2022 appliance/window delays).</w:t>
      </w:r>
    </w:p>
    <w:p>
      <w:pPr>
        <w:pStyle w:val="BodyText"/>
      </w:pPr>
      <w:r>
        <w:rPr>
          <w:b/>
          <w:bCs/>
        </w:rPr>
        <w:t xml:space="preserve">Labor:</w:t>
      </w:r>
      <w:r>
        <w:t xml:space="preserve"> </w:t>
      </w:r>
      <w:r>
        <w:t xml:space="preserve">Subcontractor network of framers, plumbers, electricians, HVAC installers. Lennar self-performs &lt;5% of construction; relies on multi-year relationships with trade partners. Labor shortages and wage inflation (up 20-30% since 2020) represent major cost pressure.</w:t>
      </w:r>
    </w:p>
    <w:bookmarkEnd w:id="31"/>
    <w:bookmarkStart w:id="32" w:name="dependencies-and-concentrations"/>
    <w:p>
      <w:pPr>
        <w:pStyle w:val="Heading3"/>
      </w:pPr>
      <w:r>
        <w:rPr>
          <w:b/>
          <w:bCs/>
        </w:rPr>
        <w:t xml:space="preserve">Dependencies and Concentrations</w:t>
      </w:r>
    </w:p>
    <w:p>
      <w:pPr>
        <w:pStyle w:val="FirstParagraph"/>
      </w:pPr>
      <w:r>
        <w:t xml:space="preserve">No single supplier represents &gt;5% of COGS. Key dependencies:</w:t>
      </w:r>
      <w:r>
        <w:t xml:space="preserve"> </w:t>
      </w:r>
      <w:r>
        <w:t xml:space="preserve">-</w:t>
      </w:r>
      <w:r>
        <w:t xml:space="preserve"> </w:t>
      </w:r>
      <w:r>
        <w:rPr>
          <w:b/>
          <w:bCs/>
        </w:rPr>
        <w:t xml:space="preserve">Lumber:</w:t>
      </w:r>
      <w:r>
        <w:t xml:space="preserve"> </w:t>
      </w:r>
      <w:r>
        <w:t xml:space="preserve">Subject to commodity price volatility (ranged from $300-$1,700 per thousand board feet in 2020-2022)</w:t>
      </w:r>
      <w:r>
        <w:t xml:space="preserve"> </w:t>
      </w:r>
      <w:r>
        <w:t xml:space="preserve">-</w:t>
      </w:r>
      <w:r>
        <w:t xml:space="preserve"> </w:t>
      </w:r>
      <w:r>
        <w:rPr>
          <w:b/>
          <w:bCs/>
        </w:rPr>
        <w:t xml:space="preserve">Appliances:</w:t>
      </w:r>
      <w:r>
        <w:t xml:space="preserve"> </w:t>
      </w:r>
      <w:r>
        <w:t xml:space="preserve">Supply chain disruptions in 2021-2022 delayed closings; now stabilized</w:t>
      </w:r>
      <w:r>
        <w:t xml:space="preserve"> </w:t>
      </w:r>
      <w:r>
        <w:t xml:space="preserve">-</w:t>
      </w:r>
      <w:r>
        <w:t xml:space="preserve"> </w:t>
      </w:r>
      <w:r>
        <w:rPr>
          <w:b/>
          <w:bCs/>
        </w:rPr>
        <w:t xml:space="preserve">Labor availability:</w:t>
      </w:r>
      <w:r>
        <w:t xml:space="preserve"> </w:t>
      </w:r>
      <w:r>
        <w:t xml:space="preserve">Acute shortages in high-growth markets (Florida, Texas, Arizona) limiting production capacity</w:t>
      </w:r>
    </w:p>
    <w:bookmarkEnd w:id="32"/>
    <w:bookmarkStart w:id="33" w:name="downstream-customerdistribution"/>
    <w:p>
      <w:pPr>
        <w:pStyle w:val="Heading3"/>
      </w:pPr>
      <w:r>
        <w:rPr>
          <w:b/>
          <w:bCs/>
        </w:rPr>
        <w:t xml:space="preserve">Downstream (Customer/Distribution)</w:t>
      </w:r>
    </w:p>
    <w:p>
      <w:pPr>
        <w:pStyle w:val="FirstParagraph"/>
      </w:pPr>
      <w:r>
        <w:rPr>
          <w:b/>
          <w:bCs/>
        </w:rPr>
        <w:t xml:space="preserve">Direct-to-Consumer Model:</w:t>
      </w:r>
      <w:r>
        <w:t xml:space="preserve"> </w:t>
      </w:r>
      <w:r>
        <w:t xml:space="preserve">Lennar sells directly through:</w:t>
      </w:r>
      <w:r>
        <w:t xml:space="preserve"> </w:t>
      </w:r>
      <w:r>
        <w:t xml:space="preserve">- Community sales centers (on-site agents)</w:t>
      </w:r>
      <w:r>
        <w:t xml:space="preserve"> </w:t>
      </w:r>
      <w:r>
        <w:t xml:space="preserve">- Digital platforms (Lennar.com generates 50%+ of traffic)</w:t>
      </w:r>
      <w:r>
        <w:t xml:space="preserve"> </w:t>
      </w:r>
      <w:r>
        <w:t xml:space="preserve">- Realtor co-ops (25-30% of transactions involve buyer agents; Lennar pays 2.5-3% co-op commissions)</w:t>
      </w:r>
    </w:p>
    <w:p>
      <w:pPr>
        <w:pStyle w:val="BodyText"/>
      </w:pPr>
      <w:r>
        <w:rPr>
          <w:b/>
          <w:bCs/>
        </w:rPr>
        <w:t xml:space="preserve">Mortgage Attach Rate:</w:t>
      </w:r>
      <w:r>
        <w:t xml:space="preserve"> </w:t>
      </w:r>
      <w:r>
        <w:t xml:space="preserve">~80% of buyers use Lennar Mortgage, higher than typical builder captive rates (60-70%). Title attach rate near 100% given bundling and incentives.</w:t>
      </w:r>
    </w:p>
    <w:p>
      <w:pPr>
        <w:pStyle w:val="BodyText"/>
      </w:pPr>
      <w:r>
        <w:rPr>
          <w:b/>
          <w:bCs/>
        </w:rPr>
        <w:t xml:space="preserve">Customer Financing:</w:t>
      </w:r>
      <w:r>
        <w:t xml:space="preserve"> </w:t>
      </w:r>
      <w:r>
        <w:t xml:space="preserve">Buyers typically finance 80-90% LTV (10-20% down payment) with 30-year fixed mortgages. FHA/VA buyers represent 25-30% of first-time buyer volume.</w:t>
      </w:r>
    </w:p>
    <w:p>
      <w:pPr>
        <w:pStyle w:val="BodyText"/>
      </w:pPr>
      <w:r>
        <w:rPr>
          <w:b/>
          <w:bCs/>
        </w:rPr>
        <w:t xml:space="preserve">Delivery Process:</w:t>
      </w:r>
      <w:r>
        <w:t xml:space="preserve"> </w:t>
      </w:r>
      <w:r>
        <w:t xml:space="preserve">Average construction cycle 4-6 months (spec homes) to 8-10 months (sold-before-start custom). Lennar maintains ~30-40% spec production to accelerate deliveries.</w:t>
      </w:r>
    </w:p>
    <w:p>
      <w:r>
        <w:pict>
          <v:rect style="width:0;height:1.5pt" o:hralign="center" o:hrstd="t" o:hr="t"/>
        </w:pict>
      </w:r>
    </w:p>
    <w:bookmarkEnd w:id="33"/>
    <w:bookmarkEnd w:id="34"/>
    <w:bookmarkStart w:id="40" w:name="financial-and-operating-leverage"/>
    <w:p>
      <w:pPr>
        <w:pStyle w:val="Heading2"/>
      </w:pPr>
      <w:r>
        <w:rPr>
          <w:b/>
          <w:bCs/>
        </w:rPr>
        <w:t xml:space="preserve">6. FINANCIAL AND OPERATING LEVERAGE</w:t>
      </w:r>
    </w:p>
    <w:bookmarkStart w:id="35" w:name="financial-leverage"/>
    <w:p>
      <w:pPr>
        <w:pStyle w:val="Heading3"/>
      </w:pPr>
      <w:r>
        <w:rPr>
          <w:b/>
          <w:bCs/>
        </w:rPr>
        <w:t xml:space="preserve">Financial Leverage</w:t>
      </w:r>
    </w:p>
    <w:p>
      <w:pPr>
        <w:pStyle w:val="FirstParagraph"/>
      </w:pPr>
      <w:r>
        <w:rPr>
          <w:b/>
          <w:bCs/>
        </w:rPr>
        <w:t xml:space="preserve">Debt Structure (FY 2025 estimates based on typical disclosure patterns):</w:t>
      </w:r>
      <w:r>
        <w:t xml:space="preserve"> </w:t>
      </w:r>
      <w:r>
        <w:t xml:space="preserve">- Total debt: ~$7-8B (senior unsecured notes with staggered maturities 2025-2045)</w:t>
      </w:r>
      <w:r>
        <w:t xml:space="preserve"> </w:t>
      </w:r>
      <w:r>
        <w:t xml:space="preserve">- Net debt: ~$5-6B after cash (~$2B typical cash balance)</w:t>
      </w:r>
      <w:r>
        <w:t xml:space="preserve"> </w:t>
      </w:r>
      <w:r>
        <w:t xml:space="preserve">- Net debt-to-capital: ~25-30% (moderate leverage)</w:t>
      </w:r>
      <w:r>
        <w:t xml:space="preserve"> </w:t>
      </w:r>
      <w:r>
        <w:t xml:space="preserve">- Interest expense: ~$350-400M annually (weighted average rate 4.5-5.0%)</w:t>
      </w:r>
    </w:p>
    <w:p>
      <w:pPr>
        <w:pStyle w:val="BodyText"/>
      </w:pPr>
      <w:r>
        <w:rPr>
          <w:b/>
          <w:bCs/>
        </w:rPr>
        <w:t xml:space="preserve">Credit Profile:</w:t>
      </w:r>
      <w:r>
        <w:t xml:space="preserve"> </w:t>
      </w:r>
      <w:r>
        <w:t xml:space="preserve">- S&amp;P/Moody’s ratings: Investment-grade (BBB/Baa range)</w:t>
      </w:r>
      <w:r>
        <w:t xml:space="preserve"> </w:t>
      </w:r>
      <w:r>
        <w:t xml:space="preserve">- Access to $2-3B revolving credit facility (undrawn for liquidity)</w:t>
      </w:r>
      <w:r>
        <w:t xml:space="preserve"> </w:t>
      </w:r>
      <w:r>
        <w:t xml:space="preserve">- Debt covenants: Comfortable cushion on leverage and interest coverage ratios</w:t>
      </w:r>
    </w:p>
    <w:p>
      <w:pPr>
        <w:pStyle w:val="BodyText"/>
      </w:pPr>
      <w:r>
        <w:rPr>
          <w:b/>
          <w:bCs/>
        </w:rPr>
        <w:t xml:space="preserve">Financial Leverage Assessment:</w:t>
      </w:r>
      <w:r>
        <w:t xml:space="preserve"> </w:t>
      </w:r>
      <w:r>
        <w:rPr>
          <w:b/>
          <w:bCs/>
        </w:rPr>
        <w:t xml:space="preserve">Moderate and manageable</w:t>
      </w:r>
      <w:r>
        <w:t xml:space="preserve">. Lennar maintains conservative leverage versus historical peaks (net debt-to-capital reached 40-50% in prior downturns). Investment-grade ratings provide access to capital markets even in stress scenarios. However, coverage ratios weakening: EBIT-to-interest coverage declined to ~6-7x in FY 2025 from 10x+ in FY 2022-2023.</w:t>
      </w:r>
    </w:p>
    <w:bookmarkEnd w:id="35"/>
    <w:bookmarkStart w:id="36" w:name="operating-leverage"/>
    <w:p>
      <w:pPr>
        <w:pStyle w:val="Heading3"/>
      </w:pPr>
      <w:r>
        <w:rPr>
          <w:b/>
          <w:bCs/>
        </w:rPr>
        <w:t xml:space="preserve">Operating Leverage</w:t>
      </w:r>
    </w:p>
    <w:p>
      <w:pPr>
        <w:pStyle w:val="FirstParagraph"/>
      </w:pPr>
      <w:r>
        <w:rPr>
          <w:b/>
          <w:bCs/>
        </w:rPr>
        <w:t xml:space="preserve">Cost Structure:</w:t>
      </w:r>
      <w:r>
        <w:t xml:space="preserve"> </w:t>
      </w:r>
      <w:r>
        <w:t xml:space="preserve">-</w:t>
      </w:r>
      <w:r>
        <w:t xml:space="preserve"> </w:t>
      </w:r>
      <w:r>
        <w:rPr>
          <w:b/>
          <w:bCs/>
        </w:rPr>
        <w:t xml:space="preserve">Variable costs (70-75%):</w:t>
      </w:r>
      <w:r>
        <w:t xml:space="preserve"> </w:t>
      </w:r>
      <w:r>
        <w:t xml:space="preserve">Land, materials, labor, direct construction costs scale with production</w:t>
      </w:r>
      <w:r>
        <w:t xml:space="preserve"> </w:t>
      </w:r>
      <w:r>
        <w:t xml:space="preserve">-</w:t>
      </w:r>
      <w:r>
        <w:t xml:space="preserve"> </w:t>
      </w:r>
      <w:r>
        <w:rPr>
          <w:b/>
          <w:bCs/>
        </w:rPr>
        <w:t xml:space="preserve">Fixed costs (25-30%):</w:t>
      </w:r>
      <w:r>
        <w:t xml:space="preserve"> </w:t>
      </w:r>
      <w:r>
        <w:t xml:space="preserve">Corporate overhead, model homes, sales staff, marketing platforms</w:t>
      </w:r>
    </w:p>
    <w:p>
      <w:pPr>
        <w:pStyle w:val="BodyText"/>
      </w:pPr>
      <w:r>
        <w:rPr>
          <w:b/>
          <w:bCs/>
        </w:rPr>
        <w:t xml:space="preserve">Operating Leverage Dynamics:</w:t>
      </w:r>
      <w:r>
        <w:t xml:space="preserve"> </w:t>
      </w:r>
      <w:r>
        <w:t xml:space="preserve">Homebuilding exhibits</w:t>
      </w:r>
      <w:r>
        <w:t xml:space="preserve"> </w:t>
      </w:r>
      <w:r>
        <w:rPr>
          <w:b/>
          <w:bCs/>
        </w:rPr>
        <w:t xml:space="preserve">high negative operating leverage</w:t>
      </w:r>
      <w:r>
        <w:t xml:space="preserve"> </w:t>
      </w:r>
      <w:r>
        <w:t xml:space="preserve">in downturns (fixed overhead depresses margins when volumes fall) but</w:t>
      </w:r>
      <w:r>
        <w:t xml:space="preserve"> </w:t>
      </w:r>
      <w:r>
        <w:rPr>
          <w:b/>
          <w:bCs/>
        </w:rPr>
        <w:t xml:space="preserve">moderate positive operating leverage</w:t>
      </w:r>
      <w:r>
        <w:t xml:space="preserve"> </w:t>
      </w:r>
      <w:r>
        <w:t xml:space="preserve">in upturns (incremental deliveries carry 30-40% incrementals to EBIT after covering fixed base).</w:t>
      </w:r>
    </w:p>
    <w:p>
      <w:pPr>
        <w:pStyle w:val="BodyText"/>
      </w:pPr>
      <w:r>
        <w:t xml:space="preserve">Current environment: Lennar’s volume growth (+3% FY 2025) not leveraging fixed costs because gross margin compression (due to incentives) is overwhelming volume benefit. SG&amp;A as % of revenue rose despite scale.</w:t>
      </w:r>
    </w:p>
    <w:bookmarkEnd w:id="36"/>
    <w:bookmarkStart w:id="37" w:name="margin-sensitivity"/>
    <w:p>
      <w:pPr>
        <w:pStyle w:val="Heading3"/>
      </w:pPr>
      <w:r>
        <w:rPr>
          <w:b/>
          <w:bCs/>
        </w:rPr>
        <w:t xml:space="preserve">Margin Sensitivity</w:t>
      </w:r>
    </w:p>
    <w:p>
      <w:pPr>
        <w:pStyle w:val="FirstParagraph"/>
      </w:pPr>
      <w:r>
        <w:rPr>
          <w:b/>
          <w:bCs/>
        </w:rPr>
        <w:t xml:space="preserve">Scenario Analysis:</w:t>
      </w:r>
      <w:r>
        <w:t xml:space="preserve"> </w:t>
      </w:r>
      <w:r>
        <w:t xml:space="preserve">- 100 bps home price increase (no incentive change): +250-300 bps to operating margin</w:t>
      </w:r>
      <w:r>
        <w:t xml:space="preserve"> </w:t>
      </w:r>
      <w:r>
        <w:t xml:space="preserve">- 100 bps reduction in incentives: +150-200 bps to operating margin</w:t>
      </w:r>
      <w:r>
        <w:t xml:space="preserve"> </w:t>
      </w:r>
      <w:r>
        <w:t xml:space="preserve">- 5% volume increase (fixed absorption): +50-75 bps to operating margin</w:t>
      </w:r>
      <w:r>
        <w:t xml:space="preserve"> </w:t>
      </w:r>
      <w:r>
        <w:t xml:space="preserve">- 100 bps lumber cost increase: –50-75 bps to operating margin</w:t>
      </w:r>
    </w:p>
    <w:p>
      <w:pPr>
        <w:pStyle w:val="BodyText"/>
      </w:pPr>
      <w:r>
        <w:t xml:space="preserve">High sensitivity to pricing/incentive environment given thin current margins (operating margin 7.9% vs. 12-15% normalized).</w:t>
      </w:r>
    </w:p>
    <w:bookmarkEnd w:id="37"/>
    <w:bookmarkStart w:id="38" w:name="cash-flow-generation"/>
    <w:p>
      <w:pPr>
        <w:pStyle w:val="Heading3"/>
      </w:pPr>
      <w:r>
        <w:rPr>
          <w:b/>
          <w:bCs/>
        </w:rPr>
        <w:t xml:space="preserve">Cash Flow Generation</w:t>
      </w:r>
    </w:p>
    <w:p>
      <w:pPr>
        <w:pStyle w:val="FirstParagraph"/>
      </w:pPr>
      <w:r>
        <w:rPr>
          <w:b/>
          <w:bCs/>
        </w:rPr>
        <w:t xml:space="preserve">FY 2025 Cash Flow Profile (estimates based on typical patterns):</w:t>
      </w:r>
      <w:r>
        <w:t xml:space="preserve"> </w:t>
      </w:r>
      <w:r>
        <w:t xml:space="preserve">- Operating cash flow: $2.5-3.0B (earnings + working capital benefit from backlog conversion)</w:t>
      </w:r>
      <w:r>
        <w:t xml:space="preserve"> </w:t>
      </w:r>
      <w:r>
        <w:t xml:space="preserve">- Investing cash flow: –$1.5-2.0B (land acquisition, development capex)</w:t>
      </w:r>
      <w:r>
        <w:t xml:space="preserve"> </w:t>
      </w:r>
      <w:r>
        <w:t xml:space="preserve">- Financing cash flow: –$1.0-1.5B (share repurchases, dividends)</w:t>
      </w:r>
      <w:r>
        <w:t xml:space="preserve"> </w:t>
      </w:r>
      <w:r>
        <w:t xml:space="preserve">- Free cash flow: $1.0-1.5B</w:t>
      </w:r>
    </w:p>
    <w:p>
      <w:pPr>
        <w:pStyle w:val="BodyText"/>
      </w:pPr>
      <w:r>
        <w:rPr>
          <w:b/>
          <w:bCs/>
        </w:rPr>
        <w:t xml:space="preserve">Working Capital Dynamics:</w:t>
      </w:r>
      <w:r>
        <w:t xml:space="preserve"> </w:t>
      </w:r>
      <w:r>
        <w:t xml:space="preserve">Homebuilding is</w:t>
      </w:r>
      <w:r>
        <w:t xml:space="preserve"> </w:t>
      </w:r>
      <w:r>
        <w:rPr>
          <w:b/>
          <w:bCs/>
        </w:rPr>
        <w:t xml:space="preserve">working capital intensive</w:t>
      </w:r>
      <w:r>
        <w:t xml:space="preserve"> </w:t>
      </w:r>
      <w:r>
        <w:t xml:space="preserve">during growth (land, WIP inventory investment) but generates strong cash during flat/declining production as backlog converts to closings. Lennar’s land-light shift reduces working capital intensity.</w:t>
      </w:r>
    </w:p>
    <w:p>
      <w:pPr>
        <w:pStyle w:val="BodyText"/>
      </w:pPr>
      <w:r>
        <w:rPr>
          <w:b/>
          <w:bCs/>
        </w:rPr>
        <w:t xml:space="preserve">Cash Conversion:</w:t>
      </w:r>
      <w:r>
        <w:t xml:space="preserve"> </w:t>
      </w:r>
      <w:r>
        <w:t xml:space="preserve">Strong; homebuilders typically convert 80-90% of net income to operating cash flow given non-cash charges (stock comp, depreciation) and efficient receivables (closings are cash transactions via buyer financing).</w:t>
      </w:r>
    </w:p>
    <w:bookmarkEnd w:id="38"/>
    <w:bookmarkStart w:id="39" w:name="capital-allocation-strategy"/>
    <w:p>
      <w:pPr>
        <w:pStyle w:val="Heading3"/>
      </w:pPr>
      <w:r>
        <w:rPr>
          <w:b/>
          <w:bCs/>
        </w:rPr>
        <w:t xml:space="preserve">Capital Allocation Strategy</w:t>
      </w:r>
    </w:p>
    <w:p>
      <w:pPr>
        <w:pStyle w:val="FirstParagraph"/>
      </w:pPr>
      <w:r>
        <w:rPr>
          <w:b/>
          <w:bCs/>
        </w:rPr>
        <w:t xml:space="preserve">FY 2025 Capital Deployment:</w:t>
      </w:r>
      <w:r>
        <w:t xml:space="preserve"> </w:t>
      </w:r>
      <w:r>
        <w:t xml:space="preserve">1.</w:t>
      </w:r>
      <w:r>
        <w:t xml:space="preserve"> </w:t>
      </w:r>
      <w:r>
        <w:rPr>
          <w:b/>
          <w:bCs/>
        </w:rPr>
        <w:t xml:space="preserve">Land investment:</w:t>
      </w:r>
      <w:r>
        <w:t xml:space="preserve"> </w:t>
      </w:r>
      <w:r>
        <w:t xml:space="preserve">$3-4B (development of controlled lots and new acquisitions)</w:t>
      </w:r>
      <w:r>
        <w:t xml:space="preserve"> </w:t>
      </w:r>
      <w:r>
        <w:t xml:space="preserve">2.</w:t>
      </w:r>
      <w:r>
        <w:t xml:space="preserve"> </w:t>
      </w:r>
      <w:r>
        <w:rPr>
          <w:b/>
          <w:bCs/>
        </w:rPr>
        <w:t xml:space="preserve">Share repurchases:</w:t>
      </w:r>
      <w:r>
        <w:t xml:space="preserve"> </w:t>
      </w:r>
      <w:r>
        <w:t xml:space="preserve">$2.7B (22.1M shares including Millrose exchange)</w:t>
      </w:r>
      <w:r>
        <w:t xml:space="preserve"> </w:t>
      </w:r>
      <w:r>
        <w:t xml:space="preserve">3.</w:t>
      </w:r>
      <w:r>
        <w:t xml:space="preserve"> </w:t>
      </w:r>
      <w:r>
        <w:rPr>
          <w:b/>
          <w:bCs/>
        </w:rPr>
        <w:t xml:space="preserve">Dividends:</w:t>
      </w:r>
      <w:r>
        <w:t xml:space="preserve"> </w:t>
      </w:r>
      <w:r>
        <w:t xml:space="preserve">~$200-250M (quarterly dividend ~$0.25/share, ~1% yield)</w:t>
      </w:r>
      <w:r>
        <w:t xml:space="preserve"> </w:t>
      </w:r>
      <w:r>
        <w:t xml:space="preserve">4.</w:t>
      </w:r>
      <w:r>
        <w:t xml:space="preserve"> </w:t>
      </w:r>
      <w:r>
        <w:rPr>
          <w:b/>
          <w:bCs/>
        </w:rPr>
        <w:t xml:space="preserve">Debt repayment:</w:t>
      </w:r>
      <w:r>
        <w:t xml:space="preserve"> </w:t>
      </w:r>
      <w:r>
        <w:t xml:space="preserve">Opportunistic refinancing of near-term maturities</w:t>
      </w:r>
    </w:p>
    <w:p>
      <w:pPr>
        <w:pStyle w:val="BodyText"/>
      </w:pPr>
      <w:r>
        <w:rPr>
          <w:b/>
          <w:bCs/>
        </w:rPr>
        <w:t xml:space="preserve">Capital Allocation Philosophy:</w:t>
      </w:r>
      <w:r>
        <w:t xml:space="preserve"> </w:t>
      </w:r>
      <w:r>
        <w:t xml:space="preserve">Lennar prioritizes:</w:t>
      </w:r>
      <w:r>
        <w:t xml:space="preserve"> </w:t>
      </w:r>
      <w:r>
        <w:t xml:space="preserve">1. Land investment in high-return markets (hurdle rate 18-20% IRR)</w:t>
      </w:r>
      <w:r>
        <w:t xml:space="preserve"> </w:t>
      </w:r>
      <w:r>
        <w:t xml:space="preserve">2. Opportunistic buybacks when valuation attractive (average repurchase price ~$120-125 in FY 2025)</w:t>
      </w:r>
      <w:r>
        <w:t xml:space="preserve"> </w:t>
      </w:r>
      <w:r>
        <w:t xml:space="preserve">3. Maintaining investment-grade balance sheet</w:t>
      </w:r>
      <w:r>
        <w:t xml:space="preserve"> </w:t>
      </w:r>
      <w:r>
        <w:t xml:space="preserve">4. Modest dividends (not primary return mechanism)</w:t>
      </w:r>
    </w:p>
    <w:p>
      <w:pPr>
        <w:pStyle w:val="BodyText"/>
      </w:pPr>
      <w:r>
        <w:rPr>
          <w:b/>
          <w:bCs/>
        </w:rPr>
        <w:t xml:space="preserve">Assessment:</w:t>
      </w:r>
      <w:r>
        <w:t xml:space="preserve"> </w:t>
      </w:r>
      <w:r>
        <w:rPr>
          <w:b/>
          <w:bCs/>
        </w:rPr>
        <w:t xml:space="preserve">Balanced but aggressive on buybacks.</w:t>
      </w:r>
      <w:r>
        <w:t xml:space="preserve"> </w:t>
      </w:r>
      <w:r>
        <w:t xml:space="preserve">$2.7B repurchases in year when ROIC &lt; WACC raises questions about capital discipline. Land investment appears measured given land-light emphasis. Dividend policy appropriate for cyclical industry.</w:t>
      </w:r>
    </w:p>
    <w:p>
      <w:r>
        <w:pict>
          <v:rect style="width:0;height:1.5pt" o:hralign="center" o:hrstd="t" o:hr="t"/>
        </w:pict>
      </w:r>
    </w:p>
    <w:bookmarkEnd w:id="39"/>
    <w:bookmarkEnd w:id="40"/>
    <w:bookmarkStart w:id="45" w:name="valuation"/>
    <w:p>
      <w:pPr>
        <w:pStyle w:val="Heading2"/>
      </w:pPr>
      <w:r>
        <w:rPr>
          <w:b/>
          <w:bCs/>
        </w:rPr>
        <w:t xml:space="preserve">7. VALUATION</w:t>
      </w:r>
    </w:p>
    <w:bookmarkStart w:id="41" w:name="appropriate-valuation-methodologies"/>
    <w:p>
      <w:pPr>
        <w:pStyle w:val="Heading3"/>
      </w:pPr>
      <w:r>
        <w:rPr>
          <w:b/>
          <w:bCs/>
        </w:rPr>
        <w:t xml:space="preserve">Appropriate Valuation Methodologies</w:t>
      </w:r>
    </w:p>
    <w:p>
      <w:pPr>
        <w:pStyle w:val="FirstParagraph"/>
      </w:pPr>
      <w:r>
        <w:rPr>
          <w:b/>
          <w:bCs/>
        </w:rPr>
        <w:t xml:space="preserve">1. Price-to-Book Value (Primary for homebuilders):</w:t>
      </w:r>
      <w:r>
        <w:t xml:space="preserve"> </w:t>
      </w:r>
      <w:r>
        <w:t xml:space="preserve">- Homebuilders trade on P/B given asset-intensive model and earnings cyclicality</w:t>
      </w:r>
      <w:r>
        <w:t xml:space="preserve"> </w:t>
      </w:r>
      <w:r>
        <w:t xml:space="preserve">- Normalized P/B: 1.2-1.5x for large-cap builders</w:t>
      </w:r>
      <w:r>
        <w:t xml:space="preserve"> </w:t>
      </w:r>
      <w:r>
        <w:t xml:space="preserve">- Current LEN P/B:</w:t>
      </w:r>
      <w:r>
        <w:t xml:space="preserve"> </w:t>
      </w:r>
      <w:r>
        <w:rPr>
          <w:b/>
          <w:bCs/>
        </w:rPr>
        <w:t xml:space="preserve">1.34x</w:t>
      </w:r>
      <w:r>
        <w:t xml:space="preserve"> </w:t>
      </w:r>
      <w:r>
        <w:t xml:space="preserve">(in line with historical range)</w:t>
      </w:r>
    </w:p>
    <w:p>
      <w:pPr>
        <w:pStyle w:val="BodyText"/>
      </w:pPr>
      <w:r>
        <w:rPr>
          <w:b/>
          <w:bCs/>
        </w:rPr>
        <w:t xml:space="preserve">2. Price-to-Earnings:</w:t>
      </w:r>
      <w:r>
        <w:t xml:space="preserve"> </w:t>
      </w:r>
      <w:r>
        <w:t xml:space="preserve">- P/E multiples volatile due to earnings cyclicality</w:t>
      </w:r>
      <w:r>
        <w:t xml:space="preserve"> </w:t>
      </w:r>
      <w:r>
        <w:t xml:space="preserve">- Current LEN P/E: 14.7x (trailing), 12.8x (forward)</w:t>
      </w:r>
      <w:r>
        <w:t xml:space="preserve"> </w:t>
      </w:r>
      <w:r>
        <w:t xml:space="preserve">- Peer median: ~12-13x NTM earnings</w:t>
      </w:r>
      <w:r>
        <w:t xml:space="preserve"> </w:t>
      </w:r>
      <w:r>
        <w:t xml:space="preserve">- Homebuilders historically trade at 30-40% discount to S&amp;P 500 P/E (~18-20x)</w:t>
      </w:r>
    </w:p>
    <w:p>
      <w:pPr>
        <w:pStyle w:val="BodyText"/>
      </w:pPr>
      <w:r>
        <w:rPr>
          <w:b/>
          <w:bCs/>
        </w:rPr>
        <w:t xml:space="preserve">3. EV/EBITDA:</w:t>
      </w:r>
      <w:r>
        <w:t xml:space="preserve"> </w:t>
      </w:r>
      <w:r>
        <w:t xml:space="preserve">- Useful for comparing levered builders</w:t>
      </w:r>
      <w:r>
        <w:t xml:space="preserve"> </w:t>
      </w:r>
      <w:r>
        <w:t xml:space="preserve">- LEN EV/EBITDA estimated ~8-9x (modest premium to peers given scale)</w:t>
      </w:r>
    </w:p>
    <w:p>
      <w:pPr>
        <w:pStyle w:val="BodyText"/>
      </w:pPr>
      <w:r>
        <w:rPr>
          <w:b/>
          <w:bCs/>
        </w:rPr>
        <w:t xml:space="preserve">4. Price-to-Sales:</w:t>
      </w:r>
      <w:r>
        <w:t xml:space="preserve"> </w:t>
      </w:r>
      <w:r>
        <w:t xml:space="preserve">- LEN P/S:</w:t>
      </w:r>
      <w:r>
        <w:t xml:space="preserve"> </w:t>
      </w:r>
      <w:r>
        <w:rPr>
          <w:b/>
          <w:bCs/>
        </w:rPr>
        <w:t xml:space="preserve">0.84x</w:t>
      </w:r>
      <w:r>
        <w:t xml:space="preserve"> </w:t>
      </w:r>
      <w:r>
        <w:t xml:space="preserve">(slight discount to 1.0x historical norm)</w:t>
      </w:r>
    </w:p>
    <w:p>
      <w:pPr>
        <w:pStyle w:val="BodyText"/>
      </w:pPr>
      <w:r>
        <w:rPr>
          <w:b/>
          <w:bCs/>
        </w:rPr>
        <w:t xml:space="preserve">5. Discounted Cash Flow (DCF):</w:t>
      </w:r>
      <w:r>
        <w:t xml:space="preserve"> </w:t>
      </w:r>
      <w:r>
        <w:t xml:space="preserve">- Highly sensitive to terminal assumptions given cyclicality</w:t>
      </w:r>
      <w:r>
        <w:t xml:space="preserve"> </w:t>
      </w:r>
      <w:r>
        <w:t xml:space="preserve">- Discount rate (WACC): 9-10%</w:t>
      </w:r>
      <w:r>
        <w:t xml:space="preserve"> </w:t>
      </w:r>
      <w:r>
        <w:t xml:space="preserve">- Terminal growth: 2-3% (long-term GDP growth)</w:t>
      </w:r>
      <w:r>
        <w:t xml:space="preserve"> </w:t>
      </w:r>
      <w:r>
        <w:t xml:space="preserve">- DCF modeling challenged by current margin trough</w:t>
      </w:r>
    </w:p>
    <w:p>
      <w:pPr>
        <w:pStyle w:val="BodyText"/>
      </w:pPr>
      <w:r>
        <w:rPr>
          <w:b/>
          <w:bCs/>
        </w:rPr>
        <w:t xml:space="preserve">6. Tangible Book Value / Sum-of-Parts:</w:t>
      </w:r>
      <w:r>
        <w:t xml:space="preserve"> </w:t>
      </w:r>
      <w:r>
        <w:t xml:space="preserve">- Lennar’s tangible book value ~$87/share (current P/TBV ~1.35x)</w:t>
      </w:r>
      <w:r>
        <w:t xml:space="preserve"> </w:t>
      </w:r>
      <w:r>
        <w:t xml:space="preserve">- Land holdings represent significant embedded value if carried at cost basis below current market</w:t>
      </w:r>
    </w:p>
    <w:bookmarkEnd w:id="41"/>
    <w:bookmarkStart w:id="42" w:name="key-valuation-inputs-and-assumptions"/>
    <w:p>
      <w:pPr>
        <w:pStyle w:val="Heading3"/>
      </w:pPr>
      <w:r>
        <w:rPr>
          <w:b/>
          <w:bCs/>
        </w:rPr>
        <w:t xml:space="preserve">Key Valuation Inputs and Assumptions</w:t>
      </w:r>
    </w:p>
    <w:p>
      <w:pPr>
        <w:pStyle w:val="FirstParagraph"/>
      </w:pPr>
      <w:r>
        <w:rPr>
          <w:b/>
          <w:bCs/>
        </w:rPr>
        <w:t xml:space="preserve">Critical Variables:</w:t>
      </w:r>
      <w:r>
        <w:t xml:space="preserve"> </w:t>
      </w:r>
      <w:r>
        <w:t xml:space="preserve">-</w:t>
      </w:r>
      <w:r>
        <w:t xml:space="preserve"> </w:t>
      </w:r>
      <w:r>
        <w:rPr>
          <w:b/>
          <w:bCs/>
        </w:rPr>
        <w:t xml:space="preserve">Normalized ROE:</w:t>
      </w:r>
      <w:r>
        <w:t xml:space="preserve"> </w:t>
      </w:r>
      <w:r>
        <w:t xml:space="preserve">15-18% (current 8.4% is trough)</w:t>
      </w:r>
      <w:r>
        <w:t xml:space="preserve"> </w:t>
      </w:r>
      <w:r>
        <w:t xml:space="preserve">-</w:t>
      </w:r>
      <w:r>
        <w:t xml:space="preserve"> </w:t>
      </w:r>
      <w:r>
        <w:rPr>
          <w:b/>
          <w:bCs/>
        </w:rPr>
        <w:t xml:space="preserve">Normalized gross margin:</w:t>
      </w:r>
      <w:r>
        <w:t xml:space="preserve"> </w:t>
      </w:r>
      <w:r>
        <w:t xml:space="preserve">22-24% (current ~19-20%)</w:t>
      </w:r>
      <w:r>
        <w:t xml:space="preserve"> </w:t>
      </w:r>
      <w:r>
        <w:t xml:space="preserve">-</w:t>
      </w:r>
      <w:r>
        <w:t xml:space="preserve"> </w:t>
      </w:r>
      <w:r>
        <w:rPr>
          <w:b/>
          <w:bCs/>
        </w:rPr>
        <w:t xml:space="preserve">Peak cycle earnings power:</w:t>
      </w:r>
      <w:r>
        <w:t xml:space="preserve"> </w:t>
      </w:r>
      <w:r>
        <w:t xml:space="preserve">$18-20/share (vs. current $8.06)</w:t>
      </w:r>
      <w:r>
        <w:t xml:space="preserve"> </w:t>
      </w:r>
      <w:r>
        <w:t xml:space="preserve">-</w:t>
      </w:r>
      <w:r>
        <w:t xml:space="preserve"> </w:t>
      </w:r>
      <w:r>
        <w:rPr>
          <w:b/>
          <w:bCs/>
        </w:rPr>
        <w:t xml:space="preserve">Through-cycle earnings:</w:t>
      </w:r>
      <w:r>
        <w:t xml:space="preserve"> </w:t>
      </w:r>
      <w:r>
        <w:t xml:space="preserve">$12-14/share</w:t>
      </w:r>
      <w:r>
        <w:t xml:space="preserve"> </w:t>
      </w:r>
      <w:r>
        <w:t xml:space="preserve">-</w:t>
      </w:r>
      <w:r>
        <w:t xml:space="preserve"> </w:t>
      </w:r>
      <w:r>
        <w:rPr>
          <w:b/>
          <w:bCs/>
        </w:rPr>
        <w:t xml:space="preserve">Long-term delivery growth:</w:t>
      </w:r>
      <w:r>
        <w:t xml:space="preserve"> </w:t>
      </w:r>
      <w:r>
        <w:t xml:space="preserve">2-4% annually</w:t>
      </w:r>
      <w:r>
        <w:t xml:space="preserve"> </w:t>
      </w:r>
      <w:r>
        <w:t xml:space="preserve">-</w:t>
      </w:r>
      <w:r>
        <w:t xml:space="preserve"> </w:t>
      </w:r>
      <w:r>
        <w:rPr>
          <w:b/>
          <w:bCs/>
        </w:rPr>
        <w:t xml:space="preserve">Terminal P/B multiple:</w:t>
      </w:r>
      <w:r>
        <w:t xml:space="preserve"> </w:t>
      </w:r>
      <w:r>
        <w:t xml:space="preserve">1.3-1.5x</w:t>
      </w:r>
    </w:p>
    <w:p>
      <w:pPr>
        <w:pStyle w:val="BodyText"/>
      </w:pPr>
      <w:r>
        <w:rPr>
          <w:b/>
          <w:bCs/>
        </w:rPr>
        <w:t xml:space="preserve">Mortgage Rate Sensitivity:</w:t>
      </w:r>
      <w:r>
        <w:t xml:space="preserve"> </w:t>
      </w:r>
      <w:r>
        <w:t xml:space="preserve">Every 100 bps change in 30-year mortgage rates impacts affordability by ~10%, translating to 5-7% change in Lennar’s sustainable ASP or required incentive levels.</w:t>
      </w:r>
    </w:p>
    <w:bookmarkEnd w:id="42"/>
    <w:bookmarkStart w:id="43" w:name="analyst-opinions-and-ratings"/>
    <w:p>
      <w:pPr>
        <w:pStyle w:val="Heading3"/>
      </w:pPr>
      <w:r>
        <w:rPr>
          <w:b/>
          <w:bCs/>
        </w:rPr>
        <w:t xml:space="preserve">Analyst Opinions and Ratings</w:t>
      </w:r>
    </w:p>
    <w:p>
      <w:pPr>
        <w:pStyle w:val="FirstParagraph"/>
      </w:pPr>
      <w:r>
        <w:rPr>
          <w:b/>
          <w:bCs/>
        </w:rPr>
        <w:t xml:space="preserve">Consensus (based on typical FY 2025 coverage patterns):</w:t>
      </w:r>
      <w:r>
        <w:t xml:space="preserve"> </w:t>
      </w:r>
      <w:r>
        <w:t xml:space="preserve">-</w:t>
      </w:r>
      <w:r>
        <w:t xml:space="preserve"> </w:t>
      </w:r>
      <w:r>
        <w:rPr>
          <w:b/>
          <w:bCs/>
        </w:rPr>
        <w:t xml:space="preserve">Average Rating:</w:t>
      </w:r>
      <w:r>
        <w:t xml:space="preserve"> </w:t>
      </w:r>
      <w:r>
        <w:t xml:space="preserve">Hold / Neutral</w:t>
      </w:r>
      <w:r>
        <w:t xml:space="preserve"> </w:t>
      </w:r>
      <w:r>
        <w:t xml:space="preserve">-</w:t>
      </w:r>
      <w:r>
        <w:t xml:space="preserve"> </w:t>
      </w:r>
      <w:r>
        <w:rPr>
          <w:b/>
          <w:bCs/>
        </w:rPr>
        <w:t xml:space="preserve">Price Targets:</w:t>
      </w:r>
      <w:r>
        <w:t xml:space="preserve"> </w:t>
      </w:r>
      <w:r>
        <w:t xml:space="preserve">$125-135 range (median ~$130, implies ~10-15% upside)</w:t>
      </w:r>
      <w:r>
        <w:t xml:space="preserve"> </w:t>
      </w:r>
      <w:r>
        <w:t xml:space="preserve">-</w:t>
      </w:r>
      <w:r>
        <w:t xml:space="preserve"> </w:t>
      </w:r>
      <w:r>
        <w:rPr>
          <w:b/>
          <w:bCs/>
        </w:rPr>
        <w:t xml:space="preserve">EPS Estimates:</w:t>
      </w:r>
      <w:r>
        <w:t xml:space="preserve"> </w:t>
      </w:r>
      <w:r>
        <w:t xml:space="preserve">- FY 2026: $9-10/share (modest recovery)</w:t>
      </w:r>
      <w:r>
        <w:t xml:space="preserve"> </w:t>
      </w:r>
      <w:r>
        <w:t xml:space="preserve">- FY 2027: $11-13/share (gradual margin normalization)</w:t>
      </w:r>
    </w:p>
    <w:p>
      <w:pPr>
        <w:pStyle w:val="BodyText"/>
      </w:pPr>
      <w:r>
        <w:rPr>
          <w:b/>
          <w:bCs/>
        </w:rPr>
        <w:t xml:space="preserve">Recent Rating Actions (typical 2024-2025 patterns):</w:t>
      </w:r>
      <w:r>
        <w:t xml:space="preserve"> </w:t>
      </w:r>
      <w:r>
        <w:t xml:space="preserve">- Downgrades in mid-2024 as margin pressure became evident</w:t>
      </w:r>
      <w:r>
        <w:t xml:space="preserve"> </w:t>
      </w:r>
      <w:r>
        <w:t xml:space="preserve">- Neutral bias in late 2025 reflecting trough valuation vs. uncertain recovery timing</w:t>
      </w:r>
      <w:r>
        <w:t xml:space="preserve"> </w:t>
      </w:r>
      <w:r>
        <w:t xml:space="preserve">- Bulls: J.P. Morgan, BofA (Overweight/Buy) citing scale, share gains, housing shortage</w:t>
      </w:r>
      <w:r>
        <w:t xml:space="preserve"> </w:t>
      </w:r>
      <w:r>
        <w:t xml:space="preserve">- Bears: Goldman Sachs, UBS (Neutral/Sell) citing ROIC destruction, rate sensitivity</w:t>
      </w:r>
    </w:p>
    <w:bookmarkEnd w:id="43"/>
    <w:bookmarkStart w:id="44" w:name="stock-characteristics"/>
    <w:p>
      <w:pPr>
        <w:pStyle w:val="Heading3"/>
      </w:pPr>
      <w:r>
        <w:rPr>
          <w:b/>
          <w:bCs/>
        </w:rPr>
        <w:t xml:space="preserve">Stock Characteristics</w:t>
      </w:r>
    </w:p>
    <w:p>
      <w:pPr>
        <w:pStyle w:val="FirstParagraph"/>
      </w:pPr>
      <w:r>
        <w:rPr>
          <w:b/>
          <w:bCs/>
        </w:rPr>
        <w:t xml:space="preserve">Volatility:</w:t>
      </w:r>
      <w:r>
        <w:t xml:space="preserve"> </w:t>
      </w:r>
      <w:r>
        <w:t xml:space="preserve">Beta ~1.3-1.5 (cyclical; moves amplified vs. market). Average True Range $3.77 indicates daily swings of 3-4%.</w:t>
      </w:r>
    </w:p>
    <w:p>
      <w:pPr>
        <w:pStyle w:val="BodyText"/>
      </w:pPr>
      <w:r>
        <w:rPr>
          <w:b/>
          <w:bCs/>
        </w:rPr>
        <w:t xml:space="preserve">Liquidity:</w:t>
      </w:r>
      <w:r>
        <w:t xml:space="preserve"> </w:t>
      </w:r>
      <w:r>
        <w:t xml:space="preserve">Average daily volume 3.9M shares (~$450M notional). Highly liquid large-cap; institutional ownership ~90%+.</w:t>
      </w:r>
    </w:p>
    <w:p>
      <w:pPr>
        <w:pStyle w:val="BodyText"/>
      </w:pPr>
      <w:r>
        <w:rPr>
          <w:b/>
          <w:bCs/>
        </w:rPr>
        <w:t xml:space="preserve">Analyst Coverage:</w:t>
      </w:r>
      <w:r>
        <w:t xml:space="preserve"> </w:t>
      </w:r>
      <w:r>
        <w:t xml:space="preserve">15-20 sell-side analysts provide coverage (all major bulge brackets plus regionals). Widely followed.</w:t>
      </w:r>
    </w:p>
    <w:p>
      <w:pPr>
        <w:pStyle w:val="BodyText"/>
      </w:pPr>
      <w:r>
        <w:rPr>
          <w:b/>
          <w:bCs/>
        </w:rPr>
        <w:t xml:space="preserve">Ownership Base:</w:t>
      </w:r>
      <w:r>
        <w:t xml:space="preserve"> </w:t>
      </w:r>
      <w:r>
        <w:t xml:space="preserve">- Institutional: ~90% (Vanguard, BlackRock, Fidelity top holders)</w:t>
      </w:r>
      <w:r>
        <w:t xml:space="preserve"> </w:t>
      </w:r>
      <w:r>
        <w:t xml:space="preserve">- Insider: ~9% (Stuart Miller family/management)</w:t>
      </w:r>
      <w:r>
        <w:t xml:space="preserve"> </w:t>
      </w:r>
      <w:r>
        <w:t xml:space="preserve">- Retail: ~1%</w:t>
      </w:r>
    </w:p>
    <w:p>
      <w:pPr>
        <w:pStyle w:val="BodyText"/>
      </w:pPr>
      <w:r>
        <w:rPr>
          <w:b/>
          <w:bCs/>
        </w:rPr>
        <w:t xml:space="preserve">Hedge Fund Positioning:</w:t>
      </w:r>
      <w:r>
        <w:t xml:space="preserve"> </w:t>
      </w:r>
      <w:r>
        <w:t xml:space="preserve">Not a major hedge fund</w:t>
      </w:r>
      <w:r>
        <w:t xml:space="preserve"> </w:t>
      </w:r>
      <w:r>
        <w:t xml:space="preserve">“story stock”</w:t>
      </w:r>
      <w:r>
        <w:t xml:space="preserve"> </w:t>
      </w:r>
      <w:r>
        <w:t xml:space="preserve">but held by value-oriented funds (Baupost, Fairholme historically). Some short interest (~5-7% of float) from macro bears betting on housing downturn.</w:t>
      </w:r>
    </w:p>
    <w:p>
      <w:pPr>
        <w:pStyle w:val="BodyText"/>
      </w:pPr>
      <w:r>
        <w:rPr>
          <w:b/>
          <w:bCs/>
        </w:rPr>
        <w:t xml:space="preserve">Meme Stock Potential:</w:t>
      </w:r>
      <w:r>
        <w:t xml:space="preserve"> </w:t>
      </w:r>
      <w:r>
        <w:t xml:space="preserve">None. Not retail-driven; fundamentals-focused institutional base.</w:t>
      </w:r>
    </w:p>
    <w:p>
      <w:pPr>
        <w:pStyle w:val="BodyText"/>
      </w:pPr>
      <w:r>
        <w:rPr>
          <w:b/>
          <w:bCs/>
        </w:rPr>
        <w:t xml:space="preserve">Macro Sensitivity:</w:t>
      </w:r>
      <w:r>
        <w:t xml:space="preserve"> </w:t>
      </w:r>
      <w:r>
        <w:t xml:space="preserve">-</w:t>
      </w:r>
      <w:r>
        <w:t xml:space="preserve"> </w:t>
      </w:r>
      <w:r>
        <w:rPr>
          <w:b/>
          <w:bCs/>
        </w:rPr>
        <w:t xml:space="preserve">Interest rates:</w:t>
      </w:r>
      <w:r>
        <w:t xml:space="preserve"> </w:t>
      </w:r>
      <w:r>
        <w:t xml:space="preserve">–0.8 to –1.0 correlation (inverse; higher rates hurt affordability)</w:t>
      </w:r>
      <w:r>
        <w:t xml:space="preserve"> </w:t>
      </w:r>
      <w:r>
        <w:t xml:space="preserve">-</w:t>
      </w:r>
      <w:r>
        <w:t xml:space="preserve"> </w:t>
      </w:r>
      <w:r>
        <w:rPr>
          <w:b/>
          <w:bCs/>
        </w:rPr>
        <w:t xml:space="preserve">Employment:</w:t>
      </w:r>
      <w:r>
        <w:t xml:space="preserve"> </w:t>
      </w:r>
      <w:r>
        <w:t xml:space="preserve">+0.6 correlation (positive; job growth drives household formation)</w:t>
      </w:r>
      <w:r>
        <w:t xml:space="preserve"> </w:t>
      </w:r>
      <w:r>
        <w:t xml:space="preserve">-</w:t>
      </w:r>
      <w:r>
        <w:t xml:space="preserve"> </w:t>
      </w:r>
      <w:r>
        <w:rPr>
          <w:b/>
          <w:bCs/>
        </w:rPr>
        <w:t xml:space="preserve">Consumer confidence:</w:t>
      </w:r>
      <w:r>
        <w:t xml:space="preserve"> </w:t>
      </w:r>
      <w:r>
        <w:t xml:space="preserve">+0.5 correlation</w:t>
      </w:r>
      <w:r>
        <w:t xml:space="preserve"> </w:t>
      </w:r>
      <w:r>
        <w:t xml:space="preserve">-</w:t>
      </w:r>
      <w:r>
        <w:t xml:space="preserve"> </w:t>
      </w:r>
      <w:r>
        <w:rPr>
          <w:b/>
          <w:bCs/>
        </w:rPr>
        <w:t xml:space="preserve">Housing starts:</w:t>
      </w:r>
      <w:r>
        <w:t xml:space="preserve"> </w:t>
      </w:r>
      <w:r>
        <w:t xml:space="preserve">+0.7 correlation</w:t>
      </w:r>
    </w:p>
    <w:p>
      <w:r>
        <w:pict>
          <v:rect style="width:0;height:1.5pt" o:hralign="center" o:hrstd="t" o:hr="t"/>
        </w:pict>
      </w:r>
    </w:p>
    <w:bookmarkEnd w:id="44"/>
    <w:bookmarkEnd w:id="45"/>
    <w:bookmarkStart w:id="60" w:name="X65a60407859bd0ae5ce073f524cab231f9e5aa4"/>
    <w:p>
      <w:pPr>
        <w:pStyle w:val="Heading2"/>
      </w:pPr>
      <w:r>
        <w:rPr>
          <w:b/>
          <w:bCs/>
        </w:rPr>
        <w:t xml:space="preserve">8. RECENT DEVELOPMENTS, NEWS SEARCH, AND RISK FACTORS</w:t>
      </w:r>
    </w:p>
    <w:bookmarkStart w:id="46" w:name="recent-analyst-and-rating-actions"/>
    <w:p>
      <w:pPr>
        <w:pStyle w:val="Heading3"/>
      </w:pPr>
      <w:r>
        <w:rPr>
          <w:b/>
          <w:bCs/>
        </w:rPr>
        <w:t xml:space="preserve">Recent Analyst and Rating Actions</w:t>
      </w:r>
    </w:p>
    <w:p>
      <w:pPr>
        <w:pStyle w:val="FirstParagraph"/>
      </w:pPr>
      <w:r>
        <w:rPr>
          <w:b/>
          <w:bCs/>
        </w:rPr>
        <w:t xml:space="preserve">FY 2024-2025 Analyst Activity</w:t>
      </w:r>
      <w:r>
        <w:t xml:space="preserve"> </w:t>
      </w:r>
      <w:r>
        <w:t xml:space="preserve">(based on provided information and typical patterns):</w:t>
      </w:r>
    </w:p>
    <w:p>
      <w:pPr>
        <w:pStyle w:val="BodyText"/>
      </w:pPr>
      <w:r>
        <w:rPr>
          <w:b/>
          <w:bCs/>
        </w:rPr>
        <w:t xml:space="preserve">Q4 2024 / Early 2025:</w:t>
      </w:r>
      <w:r>
        <w:t xml:space="preserve"> </w:t>
      </w:r>
      <w:r>
        <w:t xml:space="preserve">- Widespread downgrades and target reductions as Q2-Q3 2024 results revealed margin deterioration</w:t>
      </w:r>
      <w:r>
        <w:t xml:space="preserve"> </w:t>
      </w:r>
      <w:r>
        <w:t xml:space="preserve">- Consensus EPS estimates for FY 2025 cut 25-30% from initial projections</w:t>
      </w:r>
      <w:r>
        <w:t xml:space="preserve"> </w:t>
      </w:r>
      <w:r>
        <w:t xml:space="preserve">- Several firms moved to Neutral from Buy (likely JPM, Citi, Barclays)</w:t>
      </w:r>
    </w:p>
    <w:p>
      <w:pPr>
        <w:pStyle w:val="BodyText"/>
      </w:pPr>
      <w:r>
        <w:rPr>
          <w:b/>
          <w:bCs/>
        </w:rPr>
        <w:t xml:space="preserve">Post-FY 2025 Earnings (December 2025):</w:t>
      </w:r>
      <w:r>
        <w:t xml:space="preserve"> </w:t>
      </w:r>
      <w:r>
        <w:t xml:space="preserve">- Mixed reactions: bears validated by 45% earnings decline; bulls noted operating discipline maintaining volume</w:t>
      </w:r>
      <w:r>
        <w:t xml:space="preserve"> </w:t>
      </w:r>
      <w:r>
        <w:t xml:space="preserve">- Price targets lowered to $120-135 range from prior $140-160</w:t>
      </w:r>
      <w:r>
        <w:t xml:space="preserve"> </w:t>
      </w:r>
      <w:r>
        <w:t xml:space="preserve">- Key debate: timing of margin recovery (bulls: late 2026; bears: 2027+)</w:t>
      </w:r>
    </w:p>
    <w:bookmarkEnd w:id="46"/>
    <w:bookmarkStart w:id="47" w:name="management-changes-and-governance"/>
    <w:p>
      <w:pPr>
        <w:pStyle w:val="Heading3"/>
      </w:pPr>
      <w:r>
        <w:rPr>
          <w:b/>
          <w:bCs/>
        </w:rPr>
        <w:t xml:space="preserve">Management Changes and Governance</w:t>
      </w:r>
    </w:p>
    <w:p>
      <w:pPr>
        <w:pStyle w:val="FirstParagraph"/>
      </w:pPr>
      <w:r>
        <w:rPr>
          <w:b/>
          <w:bCs/>
        </w:rPr>
        <w:t xml:space="preserve">CEO Transition (Late 2024/Early 2025):</w:t>
      </w:r>
      <w:r>
        <w:t xml:space="preserve"> </w:t>
      </w:r>
      <w:r>
        <w:t xml:space="preserve">- Jon Jaffe retired as Co-CEO and President after 7.5 years</w:t>
      </w:r>
      <w:r>
        <w:t xml:space="preserve"> </w:t>
      </w:r>
      <w:r>
        <w:t xml:space="preserve">- Stuart Miller consolidated role as Executive Chairman and CEO (previously Co-CEO)</w:t>
      </w:r>
      <w:r>
        <w:t xml:space="preserve"> </w:t>
      </w:r>
      <w:r>
        <w:t xml:space="preserve">- Miller (35+ years tenure, 9.4% equity ownership valued ~$2.9B) resumed full strategic control</w:t>
      </w:r>
      <w:r>
        <w:t xml:space="preserve"> </w:t>
      </w:r>
      <w:r>
        <w:t xml:space="preserve">- Succession questions given Miller’s age and long tenure; no clear heir apparent publicly identified</w:t>
      </w:r>
    </w:p>
    <w:p>
      <w:pPr>
        <w:pStyle w:val="BodyText"/>
      </w:pPr>
      <w:r>
        <w:rPr>
          <w:b/>
          <w:bCs/>
        </w:rPr>
        <w:t xml:space="preserve">Compensation Concerns:</w:t>
      </w:r>
      <w:r>
        <w:t xml:space="preserve"> </w:t>
      </w:r>
      <w:r>
        <w:t xml:space="preserve">- Stuart Miller: $29.6M total comp (96.6% incentive-based)</w:t>
      </w:r>
      <w:r>
        <w:t xml:space="preserve"> </w:t>
      </w:r>
      <w:r>
        <w:t xml:space="preserve">- Pay-for-performance disconnect: compensation remained elevated despite ROIC collapse</w:t>
      </w:r>
      <w:r>
        <w:t xml:space="preserve"> </w:t>
      </w:r>
      <w:r>
        <w:t xml:space="preserve">- Shareholder advisory votes on executive pay may face pressure given results</w:t>
      </w:r>
    </w:p>
    <w:bookmarkEnd w:id="47"/>
    <w:bookmarkStart w:id="48" w:name="strategic-portfolio-actions"/>
    <w:p>
      <w:pPr>
        <w:pStyle w:val="Heading3"/>
      </w:pPr>
      <w:r>
        <w:rPr>
          <w:b/>
          <w:bCs/>
        </w:rPr>
        <w:t xml:space="preserve">Strategic Portfolio Actions</w:t>
      </w:r>
    </w:p>
    <w:p>
      <w:pPr>
        <w:pStyle w:val="FirstParagraph"/>
      </w:pPr>
      <w:r>
        <w:rPr>
          <w:b/>
          <w:bCs/>
        </w:rPr>
        <w:t xml:space="preserve">Millrose Spin-Off (2025):</w:t>
      </w:r>
      <w:r>
        <w:t xml:space="preserve"> </w:t>
      </w:r>
      <w:r>
        <w:t xml:space="preserve">- Land holdings divestiture to outside vehicles</w:t>
      </w:r>
      <w:r>
        <w:t xml:space="preserve"> </w:t>
      </w:r>
      <w:r>
        <w:t xml:space="preserve">- $156M exchange offer loss reflected in FY 2025 results</w:t>
      </w:r>
      <w:r>
        <w:t xml:space="preserve"> </w:t>
      </w:r>
      <w:r>
        <w:t xml:space="preserve">- Strategic rationale: reduce land holdings, capital recycling to buybacks</w:t>
      </w:r>
      <w:r>
        <w:t xml:space="preserve"> </w:t>
      </w:r>
      <w:r>
        <w:t xml:space="preserve">- Land-light target: 50%+ lots optioned vs. owned</w:t>
      </w:r>
    </w:p>
    <w:p>
      <w:pPr>
        <w:pStyle w:val="BodyText"/>
      </w:pPr>
      <w:r>
        <w:rPr>
          <w:b/>
          <w:bCs/>
        </w:rPr>
        <w:t xml:space="preserve">Rausch Coleman Acquisition (February 2025):</w:t>
      </w:r>
      <w:r>
        <w:t xml:space="preserve"> </w:t>
      </w:r>
      <w:r>
        <w:t xml:space="preserve">- Acquired homebuilding operations of regional entry-level builder</w:t>
      </w:r>
      <w:r>
        <w:t xml:space="preserve"> </w:t>
      </w:r>
      <w:r>
        <w:t xml:space="preserve">- Expands presence in Arkansas, Oklahoma, Alabama entry-level markets</w:t>
      </w:r>
      <w:r>
        <w:t xml:space="preserve"> </w:t>
      </w:r>
      <w:r>
        <w:t xml:space="preserve">- Accretive to volume; dilutive to ASP and margins (Rausch Coleman ASP ~$250K vs. Lennar $414K)</w:t>
      </w:r>
    </w:p>
    <w:p>
      <w:pPr>
        <w:pStyle w:val="BodyText"/>
      </w:pPr>
      <w:r>
        <w:rPr>
          <w:b/>
          <w:bCs/>
        </w:rPr>
        <w:t xml:space="preserve">Quarterra / TPG Transaction (2025):</w:t>
      </w:r>
      <w:r>
        <w:t xml:space="preserve"> </w:t>
      </w:r>
      <w:r>
        <w:t xml:space="preserve">- TPG acquired majority control of multifamily platform with $1B capital commitment</w:t>
      </w:r>
      <w:r>
        <w:t xml:space="preserve"> </w:t>
      </w:r>
      <w:r>
        <w:t xml:space="preserve">- Lennar retained minority stake; Brad Greiwe remains CEO</w:t>
      </w:r>
      <w:r>
        <w:t xml:space="preserve"> </w:t>
      </w:r>
      <w:r>
        <w:t xml:space="preserve">- Removes $75M annual drag; frees capital for core homebuilding</w:t>
      </w:r>
      <w:r>
        <w:t xml:space="preserve"> </w:t>
      </w:r>
      <w:r>
        <w:t xml:space="preserve">- Strategic shift: exit capital-intensive, low-return multifamily development; participate upside via minority stake</w:t>
      </w:r>
    </w:p>
    <w:bookmarkEnd w:id="48"/>
    <w:bookmarkStart w:id="49" w:name="technology-investments"/>
    <w:p>
      <w:pPr>
        <w:pStyle w:val="Heading3"/>
      </w:pPr>
      <w:r>
        <w:rPr>
          <w:b/>
          <w:bCs/>
        </w:rPr>
        <w:t xml:space="preserve">Technology Investments</w:t>
      </w:r>
    </w:p>
    <w:p>
      <w:pPr>
        <w:pStyle w:val="FirstParagraph"/>
      </w:pPr>
      <w:r>
        <w:rPr>
          <w:b/>
          <w:bCs/>
        </w:rPr>
        <w:t xml:space="preserve">Lenˣ Portfolio:</w:t>
      </w:r>
      <w:r>
        <w:t xml:space="preserve"> </w:t>
      </w:r>
      <w:r>
        <w:t xml:space="preserve">- $130M mark-to-market gains in FY 2025 from venture stakes</w:t>
      </w:r>
      <w:r>
        <w:t xml:space="preserve"> </w:t>
      </w:r>
      <w:r>
        <w:t xml:space="preserve">- Known investments: smart-home tech, construction tech, proptech</w:t>
      </w:r>
      <w:r>
        <w:t xml:space="preserve"> </w:t>
      </w:r>
      <w:r>
        <w:t xml:space="preserve">- Volatile contribution: gains can reverse quickly (marks not cash)</w:t>
      </w:r>
      <w:r>
        <w:t xml:space="preserve"> </w:t>
      </w:r>
      <w:r>
        <w:t xml:space="preserve">- Strategic rationale: gain insight into disruptive technologies, potential integration into Lennar platform</w:t>
      </w:r>
    </w:p>
    <w:p>
      <w:pPr>
        <w:pStyle w:val="BodyText"/>
      </w:pPr>
      <w:r>
        <w:rPr>
          <w:b/>
          <w:bCs/>
        </w:rPr>
        <w:t xml:space="preserve">Assessment:</w:t>
      </w:r>
      <w:r>
        <w:t xml:space="preserve"> </w:t>
      </w:r>
      <w:r>
        <w:t xml:space="preserve">Technology gains provided ~6% of FY 2025 net income—material but non-core. Risk of write-downs if venture valuations compress.</w:t>
      </w:r>
    </w:p>
    <w:bookmarkEnd w:id="49"/>
    <w:bookmarkStart w:id="50" w:name="Xb6fd73a389b94707a7bbb54c88047a17fe63f2b"/>
    <w:p>
      <w:pPr>
        <w:pStyle w:val="Heading3"/>
      </w:pPr>
      <w:r>
        <w:rPr>
          <w:b/>
          <w:bCs/>
        </w:rPr>
        <w:t xml:space="preserve">Investigative Reports and Executive Profiles</w:t>
      </w:r>
    </w:p>
    <w:p>
      <w:pPr>
        <w:pStyle w:val="FirstParagraph"/>
      </w:pPr>
      <w:r>
        <w:rPr>
          <w:b/>
          <w:bCs/>
        </w:rPr>
        <w:t xml:space="preserve">Stuart Miller Profile:</w:t>
      </w:r>
      <w:r>
        <w:t xml:space="preserve"> </w:t>
      </w:r>
      <w:r>
        <w:t xml:space="preserve">- Second-generation leader (Leonard Miller founder)</w:t>
      </w:r>
      <w:r>
        <w:t xml:space="preserve"> </w:t>
      </w:r>
      <w:r>
        <w:t xml:space="preserve">- Reputation: disciplined capital allocator historically; recent buybacks at peak prices questioned</w:t>
      </w:r>
      <w:r>
        <w:t xml:space="preserve"> </w:t>
      </w:r>
      <w:r>
        <w:t xml:space="preserve">- $2.9B equity stake aligns interests with shareholders but also creates succession/transition risk</w:t>
      </w:r>
      <w:r>
        <w:t xml:space="preserve"> </w:t>
      </w:r>
      <w:r>
        <w:t xml:space="preserve">- No scandals or controversies identified in search results</w:t>
      </w:r>
    </w:p>
    <w:p>
      <w:pPr>
        <w:pStyle w:val="BodyText"/>
      </w:pPr>
      <w:r>
        <w:rPr>
          <w:b/>
          <w:bCs/>
        </w:rPr>
        <w:t xml:space="preserve">Governance:</w:t>
      </w:r>
      <w:r>
        <w:t xml:space="preserve"> </w:t>
      </w:r>
      <w:r>
        <w:t xml:space="preserve">- Board composition: mix of insiders and independents</w:t>
      </w:r>
      <w:r>
        <w:t xml:space="preserve"> </w:t>
      </w:r>
      <w:r>
        <w:t xml:space="preserve">- Audit committee: standard controls</w:t>
      </w:r>
      <w:r>
        <w:t xml:space="preserve"> </w:t>
      </w:r>
      <w:r>
        <w:t xml:space="preserve">- No recent activist campaigns or governance controversies</w:t>
      </w:r>
    </w:p>
    <w:bookmarkEnd w:id="50"/>
    <w:bookmarkStart w:id="51" w:name="regulatory-and-legal-issues"/>
    <w:p>
      <w:pPr>
        <w:pStyle w:val="Heading3"/>
      </w:pPr>
      <w:r>
        <w:rPr>
          <w:b/>
          <w:bCs/>
        </w:rPr>
        <w:t xml:space="preserve">Regulatory and Legal Issues</w:t>
      </w:r>
    </w:p>
    <w:p>
      <w:pPr>
        <w:pStyle w:val="FirstParagraph"/>
      </w:pPr>
      <w:r>
        <w:rPr>
          <w:b/>
          <w:bCs/>
        </w:rPr>
        <w:t xml:space="preserve">Construction Defect Litigation:</w:t>
      </w:r>
      <w:r>
        <w:t xml:space="preserve"> </w:t>
      </w:r>
      <w:r>
        <w:t xml:space="preserve">- Ongoing baseline exposure typical for all homebuilders</w:t>
      </w:r>
      <w:r>
        <w:t xml:space="preserve"> </w:t>
      </w:r>
      <w:r>
        <w:t xml:space="preserve">- Warranty reserves adequate based on historical claims</w:t>
      </w:r>
      <w:r>
        <w:t xml:space="preserve"> </w:t>
      </w:r>
      <w:r>
        <w:t xml:space="preserve">- No unusual spike in litigation identified in FY 2025 disclosures</w:t>
      </w:r>
    </w:p>
    <w:p>
      <w:pPr>
        <w:pStyle w:val="BodyText"/>
      </w:pPr>
      <w:r>
        <w:rPr>
          <w:b/>
          <w:bCs/>
        </w:rPr>
        <w:t xml:space="preserve">Regulatory Environment:</w:t>
      </w:r>
      <w:r>
        <w:t xml:space="preserve"> </w:t>
      </w:r>
      <w:r>
        <w:t xml:space="preserve">- Municipal impact fees rising in high-growth markets (Florida, Texas)</w:t>
      </w:r>
      <w:r>
        <w:t xml:space="preserve"> </w:t>
      </w:r>
      <w:r>
        <w:t xml:space="preserve">- Zoning restrictions constraining lot supply in coastal California</w:t>
      </w:r>
      <w:r>
        <w:t xml:space="preserve"> </w:t>
      </w:r>
      <w:r>
        <w:t xml:space="preserve">- Environmental regulations increasing compliance costs (energy codes, stormwater management)</w:t>
      </w:r>
    </w:p>
    <w:p>
      <w:pPr>
        <w:pStyle w:val="BodyText"/>
      </w:pPr>
      <w:r>
        <w:rPr>
          <w:b/>
          <w:bCs/>
        </w:rPr>
        <w:t xml:space="preserve">Climate Risk:</w:t>
      </w:r>
      <w:r>
        <w:t xml:space="preserve"> </w:t>
      </w:r>
      <w:r>
        <w:t xml:space="preserve">- Florida exposure to hurricanes (20-25% of Lennar deliveries)</w:t>
      </w:r>
      <w:r>
        <w:t xml:space="preserve"> </w:t>
      </w:r>
      <w:r>
        <w:t xml:space="preserve">- Texas winter storm risk (Uri 2021 precedent)</w:t>
      </w:r>
      <w:r>
        <w:t xml:space="preserve"> </w:t>
      </w:r>
      <w:r>
        <w:t xml:space="preserve">- California wildfire risk in certain communities</w:t>
      </w:r>
      <w:r>
        <w:t xml:space="preserve"> </w:t>
      </w:r>
      <w:r>
        <w:t xml:space="preserve">- Insurance availability and cost escalating in catastrophe-prone markets</w:t>
      </w:r>
    </w:p>
    <w:bookmarkEnd w:id="51"/>
    <w:bookmarkStart w:id="52" w:name="X19534bbe307570b43722743f0ef122110c463dc"/>
    <w:p>
      <w:pPr>
        <w:pStyle w:val="Heading3"/>
      </w:pPr>
      <w:r>
        <w:rPr>
          <w:b/>
          <w:bCs/>
        </w:rPr>
        <w:t xml:space="preserve">Short-Seller Reports and Bearish Research</w:t>
      </w:r>
    </w:p>
    <w:p>
      <w:pPr>
        <w:pStyle w:val="FirstParagraph"/>
      </w:pPr>
      <w:r>
        <w:rPr>
          <w:b/>
          <w:bCs/>
        </w:rPr>
        <w:t xml:space="preserve">No major short-seller campaigns identified</w:t>
      </w:r>
      <w:r>
        <w:t xml:space="preserve">, but general bear case from traditional analysts:</w:t>
      </w:r>
    </w:p>
    <w:p>
      <w:pPr>
        <w:pStyle w:val="BodyText"/>
      </w:pPr>
      <w:r>
        <w:rPr>
          <w:b/>
          <w:bCs/>
        </w:rPr>
        <w:t xml:space="preserve">Bearish Arguments:</w:t>
      </w:r>
      <w:r>
        <w:t xml:space="preserve"> </w:t>
      </w:r>
      <w:r>
        <w:t xml:space="preserve">1.</w:t>
      </w:r>
      <w:r>
        <w:t xml:space="preserve"> </w:t>
      </w:r>
      <w:r>
        <w:rPr>
          <w:b/>
          <w:bCs/>
        </w:rPr>
        <w:t xml:space="preserve">Affordability crisis:</w:t>
      </w:r>
      <w:r>
        <w:t xml:space="preserve"> </w:t>
      </w:r>
      <w:r>
        <w:t xml:space="preserve">median home price-to-income ratio at 40-year highs; unsustainable</w:t>
      </w:r>
      <w:r>
        <w:t xml:space="preserve"> </w:t>
      </w:r>
      <w:r>
        <w:t xml:space="preserve">2.</w:t>
      </w:r>
      <w:r>
        <w:t xml:space="preserve"> </w:t>
      </w:r>
      <w:r>
        <w:rPr>
          <w:b/>
          <w:bCs/>
        </w:rPr>
        <w:t xml:space="preserve">Rate lock-in effect:</w:t>
      </w:r>
      <w:r>
        <w:t xml:space="preserve"> </w:t>
      </w:r>
      <w:r>
        <w:t xml:space="preserve">existing homeowners with 3% mortgages won’t move, limiting resale inventory but also constraining new-home move-up buyers</w:t>
      </w:r>
      <w:r>
        <w:t xml:space="preserve"> </w:t>
      </w:r>
      <w:r>
        <w:t xml:space="preserve">3.</w:t>
      </w:r>
      <w:r>
        <w:t xml:space="preserve"> </w:t>
      </w:r>
      <w:r>
        <w:rPr>
          <w:b/>
          <w:bCs/>
        </w:rPr>
        <w:t xml:space="preserve">Speculative excess:</w:t>
      </w:r>
      <w:r>
        <w:t xml:space="preserve"> </w:t>
      </w:r>
      <w:r>
        <w:t xml:space="preserve">investor/second-home purchases represented 25%+ of 2021-2022 demand; that bid gone</w:t>
      </w:r>
      <w:r>
        <w:t xml:space="preserve"> </w:t>
      </w:r>
      <w:r>
        <w:t xml:space="preserve">4.</w:t>
      </w:r>
      <w:r>
        <w:t xml:space="preserve"> </w:t>
      </w:r>
      <w:r>
        <w:rPr>
          <w:b/>
          <w:bCs/>
        </w:rPr>
        <w:t xml:space="preserve">Incentive trap:</w:t>
      </w:r>
      <w:r>
        <w:t xml:space="preserve"> </w:t>
      </w:r>
      <w:r>
        <w:t xml:space="preserve">14% incentives erode margins; any cut kills volume</w:t>
      </w:r>
      <w:r>
        <w:t xml:space="preserve"> </w:t>
      </w:r>
      <w:r>
        <w:t xml:space="preserve">5.</w:t>
      </w:r>
      <w:r>
        <w:t xml:space="preserve"> </w:t>
      </w:r>
      <w:r>
        <w:rPr>
          <w:b/>
          <w:bCs/>
        </w:rPr>
        <w:t xml:space="preserve">ROIC destruction:</w:t>
      </w:r>
      <w:r>
        <w:t xml:space="preserve"> </w:t>
      </w:r>
      <w:r>
        <w:t xml:space="preserve">building homes below cost of capital destroys shareholder value</w:t>
      </w:r>
      <w:r>
        <w:t xml:space="preserve"> </w:t>
      </w:r>
      <w:r>
        <w:t xml:space="preserve">6.</w:t>
      </w:r>
      <w:r>
        <w:t xml:space="preserve"> </w:t>
      </w:r>
      <w:r>
        <w:rPr>
          <w:b/>
          <w:bCs/>
        </w:rPr>
        <w:t xml:space="preserve">Recession risk:</w:t>
      </w:r>
      <w:r>
        <w:t xml:space="preserve"> </w:t>
      </w:r>
      <w:r>
        <w:t xml:space="preserve">even mild recession could crater demand; Lennar margins already at trough before recession</w:t>
      </w:r>
    </w:p>
    <w:bookmarkEnd w:id="52"/>
    <w:bookmarkStart w:id="53" w:name="product-launches-and-innovation"/>
    <w:p>
      <w:pPr>
        <w:pStyle w:val="Heading3"/>
      </w:pPr>
      <w:r>
        <w:rPr>
          <w:b/>
          <w:bCs/>
        </w:rPr>
        <w:t xml:space="preserve">Product Launches and Innovation</w:t>
      </w:r>
    </w:p>
    <w:p>
      <w:pPr>
        <w:pStyle w:val="FirstParagraph"/>
      </w:pPr>
      <w:r>
        <w:rPr>
          <w:b/>
          <w:bCs/>
        </w:rPr>
        <w:t xml:space="preserve">Recent Product Initiatives:</w:t>
      </w:r>
      <w:r>
        <w:t xml:space="preserve"> </w:t>
      </w:r>
      <w:r>
        <w:t xml:space="preserve">- Expansion of Next Gen® floor plans to new markets</w:t>
      </w:r>
      <w:r>
        <w:t xml:space="preserve"> </w:t>
      </w:r>
      <w:r>
        <w:t xml:space="preserve">- Enhanced Everything’s Included® packages with upgraded smart-home tech (Wi-Fi 6, solar-ready electrical panels)</w:t>
      </w:r>
      <w:r>
        <w:t xml:space="preserve"> </w:t>
      </w:r>
      <w:r>
        <w:t xml:space="preserve">- Smaller floor plans targeting affordability (1,500-1,800 sq ft entry homes vs. prior 2,000+ sq ft)</w:t>
      </w:r>
    </w:p>
    <w:bookmarkEnd w:id="53"/>
    <w:bookmarkStart w:id="54" w:name="supply-chain-developments"/>
    <w:p>
      <w:pPr>
        <w:pStyle w:val="Heading3"/>
      </w:pPr>
      <w:r>
        <w:rPr>
          <w:b/>
          <w:bCs/>
        </w:rPr>
        <w:t xml:space="preserve">Supply Chain Developments</w:t>
      </w:r>
    </w:p>
    <w:p>
      <w:pPr>
        <w:pStyle w:val="FirstParagraph"/>
      </w:pPr>
      <w:r>
        <w:rPr>
          <w:b/>
          <w:bCs/>
        </w:rPr>
        <w:t xml:space="preserve">Post-Pandemic Normalization (2024-2025):</w:t>
      </w:r>
      <w:r>
        <w:t xml:space="preserve"> </w:t>
      </w:r>
      <w:r>
        <w:t xml:space="preserve">- Lumber prices stabilized in $400-500 range (off 2021-2022 peaks above $1,000)</w:t>
      </w:r>
      <w:r>
        <w:t xml:space="preserve"> </w:t>
      </w:r>
      <w:r>
        <w:t xml:space="preserve">- Appliance lead times normalized to 4-6 weeks from 16-20 week peak delays</w:t>
      </w:r>
      <w:r>
        <w:t xml:space="preserve"> </w:t>
      </w:r>
      <w:r>
        <w:t xml:space="preserve">- Labor remains constrained; wage inflation moderating but still 3-5% annually</w:t>
      </w:r>
      <w:r>
        <w:t xml:space="preserve"> </w:t>
      </w:r>
      <w:r>
        <w:t xml:space="preserve">- Lennar benefiting from scale advantage and direct manufacturer relationships</w:t>
      </w:r>
    </w:p>
    <w:bookmarkEnd w:id="54"/>
    <w:bookmarkStart w:id="55" w:name="major-customer-wins-partnerships"/>
    <w:p>
      <w:pPr>
        <w:pStyle w:val="Heading3"/>
      </w:pPr>
      <w:r>
        <w:rPr>
          <w:b/>
          <w:bCs/>
        </w:rPr>
        <w:t xml:space="preserve">Major Customer Wins / Partnerships</w:t>
      </w:r>
    </w:p>
    <w:p>
      <w:pPr>
        <w:pStyle w:val="FirstParagraph"/>
      </w:pPr>
      <w:r>
        <w:rPr>
          <w:b/>
          <w:bCs/>
        </w:rPr>
        <w:t xml:space="preserve">Bulk Sales to Institutional Buyers:</w:t>
      </w:r>
      <w:r>
        <w:t xml:space="preserve"> </w:t>
      </w:r>
      <w:r>
        <w:t xml:space="preserve">- Single-family rental (SFR) operators represented estimated 5-10% of Lennar closings in 2024-2025</w:t>
      </w:r>
      <w:r>
        <w:t xml:space="preserve"> </w:t>
      </w:r>
      <w:r>
        <w:t xml:space="preserve">- Invitation Homes, American Homes 4 Rent, and other REITs buying completed homes</w:t>
      </w:r>
      <w:r>
        <w:t xml:space="preserve"> </w:t>
      </w:r>
      <w:r>
        <w:t xml:space="preserve">- Provides volume certainty but at discounted pricing (~5-10% below retail)</w:t>
      </w:r>
    </w:p>
    <w:bookmarkEnd w:id="55"/>
    <w:bookmarkStart w:id="56" w:name="X41869df236d9f28ab9d67adfa103071bf8b3c00"/>
    <w:p>
      <w:pPr>
        <w:pStyle w:val="Heading3"/>
      </w:pPr>
      <w:r>
        <w:rPr>
          <w:b/>
          <w:bCs/>
        </w:rPr>
        <w:t xml:space="preserve">Insider Trading and Institutional Activity</w:t>
      </w:r>
    </w:p>
    <w:p>
      <w:pPr>
        <w:pStyle w:val="FirstParagraph"/>
      </w:pPr>
      <w:r>
        <w:rPr>
          <w:b/>
          <w:bCs/>
        </w:rPr>
        <w:t xml:space="preserve">Insider Activity:</w:t>
      </w:r>
      <w:r>
        <w:t xml:space="preserve"> </w:t>
      </w:r>
      <w:r>
        <w:t xml:space="preserve">- Stuart Miller: minimal open-market trading; compensation-driven equity increases</w:t>
      </w:r>
      <w:r>
        <w:t xml:space="preserve"> </w:t>
      </w:r>
      <w:r>
        <w:t xml:space="preserve">- C-suite executives: some modest sales post-vesting (tax-related); no unusual patterns</w:t>
      </w:r>
    </w:p>
    <w:p>
      <w:pPr>
        <w:pStyle w:val="BodyText"/>
      </w:pPr>
      <w:r>
        <w:rPr>
          <w:b/>
          <w:bCs/>
        </w:rPr>
        <w:t xml:space="preserve">Institutional Ownership Changes:</w:t>
      </w:r>
      <w:r>
        <w:t xml:space="preserve"> </w:t>
      </w:r>
      <w:r>
        <w:t xml:space="preserve">- Vanguard, BlackRock maintaining large passive stakes</w:t>
      </w:r>
      <w:r>
        <w:t xml:space="preserve"> </w:t>
      </w:r>
      <w:r>
        <w:t xml:space="preserve">- Some active managers trimmed positions in 2024 (likely Fidelity, T. Rowe Price) as earnings outlook dimmed</w:t>
      </w:r>
      <w:r>
        <w:t xml:space="preserve"> </w:t>
      </w:r>
      <w:r>
        <w:t xml:space="preserve">- No major activist stakes or 13D filings</w:t>
      </w:r>
    </w:p>
    <w:bookmarkEnd w:id="56"/>
    <w:bookmarkStart w:id="57" w:name="ma-speculation"/>
    <w:p>
      <w:pPr>
        <w:pStyle w:val="Heading3"/>
      </w:pPr>
      <w:r>
        <w:rPr>
          <w:b/>
          <w:bCs/>
        </w:rPr>
        <w:t xml:space="preserve">M&amp;A Speculation</w:t>
      </w:r>
    </w:p>
    <w:p>
      <w:pPr>
        <w:pStyle w:val="FirstParagraph"/>
      </w:pPr>
      <w:r>
        <w:rPr>
          <w:b/>
          <w:bCs/>
        </w:rPr>
        <w:t xml:space="preserve">Lennar as Acquirer:</w:t>
      </w:r>
      <w:r>
        <w:t xml:space="preserve"> </w:t>
      </w:r>
      <w:r>
        <w:t xml:space="preserve">- History of regional builder acquisitions (Rausch Coleman 2025 example)</w:t>
      </w:r>
      <w:r>
        <w:t xml:space="preserve"> </w:t>
      </w:r>
      <w:r>
        <w:t xml:space="preserve">- Likely to pursue opportunistic tuck-in deals in target markets</w:t>
      </w:r>
      <w:r>
        <w:t xml:space="preserve"> </w:t>
      </w:r>
      <w:r>
        <w:t xml:space="preserve">- Large transformational deals (à la CalAtlantic 2018) unlikely given integration focus and margin pressure</w:t>
      </w:r>
    </w:p>
    <w:p>
      <w:pPr>
        <w:pStyle w:val="BodyText"/>
      </w:pPr>
      <w:r>
        <w:rPr>
          <w:b/>
          <w:bCs/>
        </w:rPr>
        <w:t xml:space="preserve">Lennar as Target:</w:t>
      </w:r>
      <w:r>
        <w:t xml:space="preserve"> </w:t>
      </w:r>
      <w:r>
        <w:t xml:space="preserve">- Highly unlikely; $29B market cap too large for most acquirers</w:t>
      </w:r>
      <w:r>
        <w:t xml:space="preserve"> </w:t>
      </w:r>
      <w:r>
        <w:t xml:space="preserve">- Private equity takeout math doesn’t work at 1.34x book</w:t>
      </w:r>
      <w:r>
        <w:t xml:space="preserve"> </w:t>
      </w:r>
      <w:r>
        <w:t xml:space="preserve">- Strategic buyer (D.R. Horton?) would face antitrust scrutiny in overlapping markets</w:t>
      </w:r>
    </w:p>
    <w:p>
      <w:pPr>
        <w:pStyle w:val="BodyText"/>
      </w:pPr>
      <w:r>
        <w:rPr>
          <w:b/>
          <w:bCs/>
        </w:rPr>
        <w:t xml:space="preserve">Industry Consolidation Outlook:</w:t>
      </w:r>
      <w:r>
        <w:t xml:space="preserve"> </w:t>
      </w:r>
      <w:r>
        <w:t xml:space="preserve">- Large public builders likely to gain share from small privates who can’t access capital in downturn</w:t>
      </w:r>
      <w:r>
        <w:t xml:space="preserve"> </w:t>
      </w:r>
      <w:r>
        <w:t xml:space="preserve">- Lennar positioned to acquire distressed regional competitors in 2026-2027 if cycle deepens</w:t>
      </w:r>
    </w:p>
    <w:bookmarkEnd w:id="57"/>
    <w:bookmarkStart w:id="58" w:name="key-themes-and-trends"/>
    <w:p>
      <w:pPr>
        <w:pStyle w:val="Heading3"/>
      </w:pPr>
      <w:r>
        <w:rPr>
          <w:b/>
          <w:bCs/>
        </w:rPr>
        <w:t xml:space="preserve">Key Themes and Trends</w:t>
      </w:r>
    </w:p>
    <w:p>
      <w:pPr>
        <w:pStyle w:val="FirstParagraph"/>
      </w:pPr>
      <w:r>
        <w:rPr>
          <w:b/>
          <w:bCs/>
        </w:rPr>
        <w:t xml:space="preserve">1. Structural Housing Shortage vs. Cyclical Affordability Crisis:</w:t>
      </w:r>
      <w:r>
        <w:t xml:space="preserve"> </w:t>
      </w:r>
      <w:r>
        <w:t xml:space="preserve">- Secular bull case: U.S. 3-5M units undersupplied; Millennials/Gen Z household formation provides decade+ tailwind</w:t>
      </w:r>
      <w:r>
        <w:t xml:space="preserve"> </w:t>
      </w:r>
      <w:r>
        <w:t xml:space="preserve">- Cyclical bear case: 30-year mortgage rates at 6.5-7.0% make monthly payments unaffordable for median buyer; demand destruction overrides shortage</w:t>
      </w:r>
    </w:p>
    <w:p>
      <w:pPr>
        <w:pStyle w:val="BodyText"/>
      </w:pPr>
      <w:r>
        <w:rPr>
          <w:b/>
          <w:bCs/>
        </w:rPr>
        <w:t xml:space="preserve">2. Volume vs. Margin Trade-off:</w:t>
      </w:r>
      <w:r>
        <w:t xml:space="preserve"> </w:t>
      </w:r>
      <w:r>
        <w:t xml:space="preserve">- Lennar explicitly choosing volume/share gains over near-term profitability</w:t>
      </w:r>
      <w:r>
        <w:t xml:space="preserve"> </w:t>
      </w:r>
      <w:r>
        <w:t xml:space="preserve">- Bet: maintain operational capacity and market position through cycle trough, harvest margins in recovery</w:t>
      </w:r>
      <w:r>
        <w:t xml:space="preserve"> </w:t>
      </w:r>
      <w:r>
        <w:t xml:space="preserve">- Risk: If recovery delayed to 2027+, sustained ROIC &lt; WACC destroys cumulative shareholder value</w:t>
      </w:r>
    </w:p>
    <w:p>
      <w:pPr>
        <w:pStyle w:val="BodyText"/>
      </w:pPr>
      <w:r>
        <w:rPr>
          <w:b/>
          <w:bCs/>
        </w:rPr>
        <w:t xml:space="preserve">3. Land-Light Transition:</w:t>
      </w:r>
      <w:r>
        <w:t xml:space="preserve"> </w:t>
      </w:r>
      <w:r>
        <w:t xml:space="preserve">- Shift from land ownership to options reduces balance sheet intensity and downside risk</w:t>
      </w:r>
      <w:r>
        <w:t xml:space="preserve"> </w:t>
      </w:r>
      <w:r>
        <w:t xml:space="preserve">- Challenge: In seller’s market for land, options may be costlier or unavailable</w:t>
      </w:r>
      <w:r>
        <w:t xml:space="preserve"> </w:t>
      </w:r>
      <w:r>
        <w:t xml:space="preserve">- Progress: Lennar targeting 50%+ optioned (up from 30-40% historically)</w:t>
      </w:r>
    </w:p>
    <w:p>
      <w:pPr>
        <w:pStyle w:val="BodyText"/>
      </w:pPr>
      <w:r>
        <w:rPr>
          <w:b/>
          <w:bCs/>
        </w:rPr>
        <w:t xml:space="preserve">4. Technology as Differentiator:</w:t>
      </w:r>
      <w:r>
        <w:t xml:space="preserve"> </w:t>
      </w:r>
      <w:r>
        <w:t xml:space="preserve">- Lenˣ positioning Lennar as</w:t>
      </w:r>
      <w:r>
        <w:t xml:space="preserve"> </w:t>
      </w:r>
      <w:r>
        <w:t xml:space="preserve">“tech-forward”</w:t>
      </w:r>
      <w:r>
        <w:t xml:space="preserve"> </w:t>
      </w:r>
      <w:r>
        <w:t xml:space="preserve">builder</w:t>
      </w:r>
      <w:r>
        <w:t xml:space="preserve"> </w:t>
      </w:r>
      <w:r>
        <w:t xml:space="preserve">- Skepticism: Home buyers prioritize price and location over smart-home gadgets</w:t>
      </w:r>
      <w:r>
        <w:t xml:space="preserve"> </w:t>
      </w:r>
      <w:r>
        <w:t xml:space="preserve">- Venture portfolio upside speculative; downside risk if marks written down</w:t>
      </w:r>
    </w:p>
    <w:p>
      <w:pPr>
        <w:pStyle w:val="BodyText"/>
      </w:pPr>
      <w:r>
        <w:rPr>
          <w:b/>
          <w:bCs/>
        </w:rPr>
        <w:t xml:space="preserve">5. Demographic and Geographic Tailwinds:</w:t>
      </w:r>
      <w:r>
        <w:t xml:space="preserve"> </w:t>
      </w:r>
      <w:r>
        <w:t xml:space="preserve">- Sunbelt markets (Lennar’s core) continue to gain population/jobs vs. Rust Belt and Northeast</w:t>
      </w:r>
      <w:r>
        <w:t xml:space="preserve"> </w:t>
      </w:r>
      <w:r>
        <w:t xml:space="preserve">- Remote work sustaining demand for single-family housing vs. urban apartments</w:t>
      </w:r>
      <w:r>
        <w:t xml:space="preserve"> </w:t>
      </w:r>
      <w:r>
        <w:t xml:space="preserve">- Affordability-driven migration from California to Texas, Arizona, Florida</w:t>
      </w:r>
    </w:p>
    <w:bookmarkEnd w:id="58"/>
    <w:bookmarkStart w:id="59" w:name="critical-risk-factors"/>
    <w:p>
      <w:pPr>
        <w:pStyle w:val="Heading3"/>
      </w:pPr>
      <w:r>
        <w:rPr>
          <w:b/>
          <w:bCs/>
        </w:rPr>
        <w:t xml:space="preserve">Critical Risk Factors</w:t>
      </w:r>
    </w:p>
    <w:p>
      <w:pPr>
        <w:pStyle w:val="FirstParagraph"/>
      </w:pPr>
      <w:r>
        <w:rPr>
          <w:b/>
          <w:bCs/>
        </w:rPr>
        <w:t xml:space="preserve">Near-Term (0-18 months):</w:t>
      </w:r>
      <w:r>
        <w:t xml:space="preserve"> </w:t>
      </w:r>
      <w:r>
        <w:t xml:space="preserve">1.</w:t>
      </w:r>
      <w:r>
        <w:t xml:space="preserve"> </w:t>
      </w:r>
      <w:r>
        <w:rPr>
          <w:b/>
          <w:bCs/>
        </w:rPr>
        <w:t xml:space="preserve">Mortgage rate persistence:</w:t>
      </w:r>
      <w:r>
        <w:t xml:space="preserve"> </w:t>
      </w:r>
      <w:r>
        <w:t xml:space="preserve">Rates staying &gt;6.5% extends affordability crisis</w:t>
      </w:r>
      <w:r>
        <w:t xml:space="preserve"> </w:t>
      </w:r>
      <w:r>
        <w:t xml:space="preserve">2.</w:t>
      </w:r>
      <w:r>
        <w:t xml:space="preserve"> </w:t>
      </w:r>
      <w:r>
        <w:rPr>
          <w:b/>
          <w:bCs/>
        </w:rPr>
        <w:t xml:space="preserve">Recession:</w:t>
      </w:r>
      <w:r>
        <w:t xml:space="preserve"> </w:t>
      </w:r>
      <w:r>
        <w:t xml:space="preserve">Even mild recession causes job losses, demand destruction, margin collapse</w:t>
      </w:r>
      <w:r>
        <w:t xml:space="preserve"> </w:t>
      </w:r>
      <w:r>
        <w:t xml:space="preserve">3.</w:t>
      </w:r>
      <w:r>
        <w:t xml:space="preserve"> </w:t>
      </w:r>
      <w:r>
        <w:rPr>
          <w:b/>
          <w:bCs/>
        </w:rPr>
        <w:t xml:space="preserve">Inventory surge:</w:t>
      </w:r>
      <w:r>
        <w:t xml:space="preserve"> </w:t>
      </w:r>
      <w:r>
        <w:t xml:space="preserve">If existing homeowners break rate lock-in, resale supply floods market</w:t>
      </w:r>
    </w:p>
    <w:p>
      <w:pPr>
        <w:pStyle w:val="BodyText"/>
      </w:pPr>
      <w:r>
        <w:rPr>
          <w:b/>
          <w:bCs/>
        </w:rPr>
        <w:t xml:space="preserve">Medium-Term (1-3 years):</w:t>
      </w:r>
      <w:r>
        <w:t xml:space="preserve"> </w:t>
      </w:r>
      <w:r>
        <w:t xml:space="preserve">1.</w:t>
      </w:r>
      <w:r>
        <w:t xml:space="preserve"> </w:t>
      </w:r>
      <w:r>
        <w:rPr>
          <w:b/>
          <w:bCs/>
        </w:rPr>
        <w:t xml:space="preserve">Margin recovery timing:</w:t>
      </w:r>
      <w:r>
        <w:t xml:space="preserve"> </w:t>
      </w:r>
      <w:r>
        <w:t xml:space="preserve">If incentives required through 2026-2027, cumulative ROIC destruction</w:t>
      </w:r>
      <w:r>
        <w:t xml:space="preserve"> </w:t>
      </w:r>
      <w:r>
        <w:t xml:space="preserve">2.</w:t>
      </w:r>
      <w:r>
        <w:t xml:space="preserve"> </w:t>
      </w:r>
      <w:r>
        <w:rPr>
          <w:b/>
          <w:bCs/>
        </w:rPr>
        <w:t xml:space="preserve">Land write-downs:</w:t>
      </w:r>
      <w:r>
        <w:t xml:space="preserve"> </w:t>
      </w:r>
      <w:r>
        <w:t xml:space="preserve">Owned land purchased at peak valuations may require impairments</w:t>
      </w:r>
      <w:r>
        <w:t xml:space="preserve"> </w:t>
      </w:r>
      <w:r>
        <w:t xml:space="preserve">3.</w:t>
      </w:r>
      <w:r>
        <w:t xml:space="preserve"> </w:t>
      </w:r>
      <w:r>
        <w:rPr>
          <w:b/>
          <w:bCs/>
        </w:rPr>
        <w:t xml:space="preserve">Competition:</w:t>
      </w:r>
      <w:r>
        <w:t xml:space="preserve"> </w:t>
      </w:r>
      <w:r>
        <w:t xml:space="preserve">Peers gaining share via superior execution or financial strength</w:t>
      </w:r>
    </w:p>
    <w:p>
      <w:pPr>
        <w:pStyle w:val="BodyText"/>
      </w:pPr>
      <w:r>
        <w:rPr>
          <w:b/>
          <w:bCs/>
        </w:rPr>
        <w:t xml:space="preserve">Long-Term (3+ years):</w:t>
      </w:r>
      <w:r>
        <w:t xml:space="preserve"> </w:t>
      </w:r>
      <w:r>
        <w:t xml:space="preserve">1.</w:t>
      </w:r>
      <w:r>
        <w:t xml:space="preserve"> </w:t>
      </w:r>
      <w:r>
        <w:rPr>
          <w:b/>
          <w:bCs/>
        </w:rPr>
        <w:t xml:space="preserve">Climate risk:</w:t>
      </w:r>
      <w:r>
        <w:t xml:space="preserve"> </w:t>
      </w:r>
      <w:r>
        <w:t xml:space="preserve">Florida hurricane exposure, California wildfire risk threaten key markets</w:t>
      </w:r>
      <w:r>
        <w:t xml:space="preserve"> </w:t>
      </w:r>
      <w:r>
        <w:t xml:space="preserve">2.</w:t>
      </w:r>
      <w:r>
        <w:t xml:space="preserve"> </w:t>
      </w:r>
      <w:r>
        <w:rPr>
          <w:b/>
          <w:bCs/>
        </w:rPr>
        <w:t xml:space="preserve">Structural demand shift:</w:t>
      </w:r>
      <w:r>
        <w:t xml:space="preserve"> </w:t>
      </w:r>
      <w:r>
        <w:t xml:space="preserve">Remote work reverses, urban return reduces single-family demand</w:t>
      </w:r>
      <w:r>
        <w:t xml:space="preserve"> </w:t>
      </w:r>
      <w:r>
        <w:t xml:space="preserve">3.</w:t>
      </w:r>
      <w:r>
        <w:t xml:space="preserve"> </w:t>
      </w:r>
      <w:r>
        <w:rPr>
          <w:b/>
          <w:bCs/>
        </w:rPr>
        <w:t xml:space="preserve">Technological disruption:</w:t>
      </w:r>
      <w:r>
        <w:t xml:space="preserve"> </w:t>
      </w:r>
      <w:r>
        <w:t xml:space="preserve">Modular/manufactured housing at scale competes on price</w:t>
      </w:r>
    </w:p>
    <w:p>
      <w:r>
        <w:pict>
          <v:rect style="width:0;height:1.5pt" o:hralign="center" o:hrstd="t" o:hr="t"/>
        </w:pict>
      </w:r>
    </w:p>
    <w:bookmarkEnd w:id="59"/>
    <w:bookmarkEnd w:id="60"/>
    <w:bookmarkStart w:id="83" w:name="conclusion"/>
    <w:p>
      <w:pPr>
        <w:pStyle w:val="Heading2"/>
      </w:pPr>
      <w:r>
        <w:rPr>
          <w:b/>
          <w:bCs/>
        </w:rPr>
        <w:t xml:space="preserve">9. CONCLUSION</w:t>
      </w:r>
    </w:p>
    <w:bookmarkStart w:id="61" w:name="strategic-position-summary"/>
    <w:p>
      <w:pPr>
        <w:pStyle w:val="Heading3"/>
      </w:pPr>
      <w:r>
        <w:rPr>
          <w:b/>
          <w:bCs/>
        </w:rPr>
        <w:t xml:space="preserve">Strategic Position Summary</w:t>
      </w:r>
    </w:p>
    <w:p>
      <w:pPr>
        <w:pStyle w:val="FirstParagraph"/>
      </w:pPr>
      <w:r>
        <w:t xml:space="preserve">Lennar Corporation stands as America’s second-largest homebuilder by revenue, with a $28.9 billion market capitalization and 70-year operating history. The company has systematically built scale advantages through strategic M&amp;A (CalAtlantic 2018), vertical integration (Lennar Mortgage, Lennar Title), and national footprint expansion concentrated in high-growth Sunbelt markets.</w:t>
      </w:r>
    </w:p>
    <w:p>
      <w:pPr>
        <w:pStyle w:val="BodyText"/>
      </w:pPr>
      <w:r>
        <w:t xml:space="preserve">However,</w:t>
      </w:r>
      <w:r>
        <w:t xml:space="preserve"> </w:t>
      </w:r>
      <w:r>
        <w:rPr>
          <w:b/>
          <w:bCs/>
        </w:rPr>
        <w:t xml:space="preserve">FY 2025 results reveal acute near-term distress</w:t>
      </w:r>
      <w:r>
        <w:t xml:space="preserve">: net earnings collapsed 45% to $2.1 billion despite 3% volume growth, as aggressive incentives (14% of sales price) necessary to maintain absorption in a 6.5-7.0% mortgage rate environment crushed margins. The company’s deliberate</w:t>
      </w:r>
      <w:r>
        <w:t xml:space="preserve"> </w:t>
      </w:r>
      <w:r>
        <w:rPr>
          <w:b/>
          <w:bCs/>
        </w:rPr>
        <w:t xml:space="preserve">volume-over-margin strategy</w:t>
      </w:r>
      <w:r>
        <w:t xml:space="preserve"> </w:t>
      </w:r>
      <w:r>
        <w:t xml:space="preserve">gained market share but destroyed returns—ROIC fell below WACC, making Lennar a value-destructive enterprise at current pricing and cost structures.</w:t>
      </w:r>
    </w:p>
    <w:p>
      <w:pPr>
        <w:pStyle w:val="BodyText"/>
      </w:pPr>
      <w:r>
        <w:t xml:space="preserve">Management’s strategic response—</w:t>
      </w:r>
      <w:r>
        <w:rPr>
          <w:b/>
          <w:bCs/>
        </w:rPr>
        <w:t xml:space="preserve">Millrose land spin-off</w:t>
      </w:r>
      <w:r>
        <w:t xml:space="preserve"> </w:t>
      </w:r>
      <w:r>
        <w:t xml:space="preserve">(capital recycling),</w:t>
      </w:r>
      <w:r>
        <w:t xml:space="preserve"> </w:t>
      </w:r>
      <w:r>
        <w:rPr>
          <w:b/>
          <w:bCs/>
        </w:rPr>
        <w:t xml:space="preserve">Rausch Coleman acquisition</w:t>
      </w:r>
      <w:r>
        <w:t xml:space="preserve"> </w:t>
      </w:r>
      <w:r>
        <w:t xml:space="preserve">(entry-level expansion),</w:t>
      </w:r>
      <w:r>
        <w:t xml:space="preserve"> </w:t>
      </w:r>
      <w:r>
        <w:rPr>
          <w:b/>
          <w:bCs/>
        </w:rPr>
        <w:t xml:space="preserve">Quarterra divestiture to TPG</w:t>
      </w:r>
      <w:r>
        <w:t xml:space="preserve"> </w:t>
      </w:r>
      <w:r>
        <w:t xml:space="preserve">(exiting loss-making multifamily), and</w:t>
      </w:r>
      <w:r>
        <w:t xml:space="preserve"> </w:t>
      </w:r>
      <w:r>
        <w:rPr>
          <w:b/>
          <w:bCs/>
        </w:rPr>
        <w:t xml:space="preserve">$2.7B share repurchases</w:t>
      </w:r>
      <w:r>
        <w:t xml:space="preserve">—demonstrates capital allocation activity but raises questions about discipline (buying back shares when ROIC &lt; WACC).</w:t>
      </w:r>
    </w:p>
    <w:p>
      <w:pPr>
        <w:pStyle w:val="BodyText"/>
      </w:pPr>
      <w:r>
        <w:t xml:space="preserve">The</w:t>
      </w:r>
      <w:r>
        <w:t xml:space="preserve"> </w:t>
      </w:r>
      <w:r>
        <w:rPr>
          <w:b/>
          <w:bCs/>
        </w:rPr>
        <w:t xml:space="preserve">investment case hinges on cycle timing</w:t>
      </w:r>
      <w:r>
        <w:t xml:space="preserve">: Lennar’s scale, land positions, and integrated platform position it to generate 15-18% ROE in a normalized environment (22-24% gross margins, 12-15% operating margins), implying $15-18 earnings power—but recovery timing is uncertain and may not materialize until late 2026 or beyond.</w:t>
      </w:r>
    </w:p>
    <w:bookmarkEnd w:id="61"/>
    <w:bookmarkStart w:id="66" w:name="swot-analysis"/>
    <w:p>
      <w:pPr>
        <w:pStyle w:val="Heading3"/>
      </w:pPr>
      <w:r>
        <w:rPr>
          <w:b/>
          <w:bCs/>
        </w:rPr>
        <w:t xml:space="preserve">SWOT Analysis</w:t>
      </w:r>
    </w:p>
    <w:bookmarkStart w:id="62" w:name="strengths"/>
    <w:p>
      <w:pPr>
        <w:pStyle w:val="Heading4"/>
      </w:pPr>
      <w:r>
        <w:rPr>
          <w:b/>
          <w:bCs/>
        </w:rPr>
        <w:t xml:space="preserve">STRENGTHS</w:t>
      </w:r>
    </w:p>
    <w:p>
      <w:pPr>
        <w:pStyle w:val="Compact"/>
        <w:numPr>
          <w:ilvl w:val="0"/>
          <w:numId w:val="1004"/>
        </w:numPr>
      </w:pPr>
      <w:r>
        <w:rPr>
          <w:b/>
          <w:bCs/>
        </w:rPr>
        <w:t xml:space="preserve">Scale &amp; Market Position:</w:t>
      </w:r>
      <w:r>
        <w:t xml:space="preserve"> </w:t>
      </w:r>
      <w:r>
        <w:t xml:space="preserve">#2 U.S. homebuilder with 82,000+ annual closings provides purchasing power, overhead absorption, and capital access</w:t>
      </w:r>
    </w:p>
    <w:p>
      <w:pPr>
        <w:pStyle w:val="Compact"/>
        <w:numPr>
          <w:ilvl w:val="0"/>
          <w:numId w:val="1004"/>
        </w:numPr>
      </w:pPr>
      <w:r>
        <w:rPr>
          <w:b/>
          <w:bCs/>
        </w:rPr>
        <w:t xml:space="preserve">Geographic Diversification:</w:t>
      </w:r>
      <w:r>
        <w:t xml:space="preserve"> </w:t>
      </w:r>
      <w:r>
        <w:t xml:space="preserve">National footprint across 20+ states with concentration in high-growth Sunbelt markets (Florida, Texas, Arizona, Carolinas)</w:t>
      </w:r>
    </w:p>
    <w:p>
      <w:pPr>
        <w:pStyle w:val="Compact"/>
        <w:numPr>
          <w:ilvl w:val="0"/>
          <w:numId w:val="1004"/>
        </w:numPr>
      </w:pPr>
      <w:r>
        <w:rPr>
          <w:b/>
          <w:bCs/>
        </w:rPr>
        <w:t xml:space="preserve">Integrated Platform:</w:t>
      </w:r>
      <w:r>
        <w:t xml:space="preserve"> </w:t>
      </w:r>
      <w:r>
        <w:t xml:space="preserve">Vertically integrated mortgage (80% attach rate) and title services capture additional margin and control customer experience</w:t>
      </w:r>
    </w:p>
    <w:p>
      <w:pPr>
        <w:pStyle w:val="Compact"/>
        <w:numPr>
          <w:ilvl w:val="0"/>
          <w:numId w:val="1004"/>
        </w:numPr>
      </w:pPr>
      <w:r>
        <w:rPr>
          <w:b/>
          <w:bCs/>
        </w:rPr>
        <w:t xml:space="preserve">Brand Differentiation:</w:t>
      </w:r>
      <w:r>
        <w:t xml:space="preserve"> </w:t>
      </w:r>
      <w:r>
        <w:t xml:space="preserve">Everything’s Included®, Next Gen®, and Lenˣ technology provide marketing differentiation in commoditized industry</w:t>
      </w:r>
    </w:p>
    <w:p>
      <w:pPr>
        <w:pStyle w:val="Compact"/>
        <w:numPr>
          <w:ilvl w:val="0"/>
          <w:numId w:val="1004"/>
        </w:numPr>
      </w:pPr>
      <w:r>
        <w:rPr>
          <w:b/>
          <w:bCs/>
        </w:rPr>
        <w:t xml:space="preserve">Land-Light Strategy:</w:t>
      </w:r>
      <w:r>
        <w:t xml:space="preserve"> </w:t>
      </w:r>
      <w:r>
        <w:t xml:space="preserve">Shift toward lot optioning (targeting 50%+) reduces balance sheet intensity and downside risk</w:t>
      </w:r>
    </w:p>
    <w:p>
      <w:pPr>
        <w:pStyle w:val="Compact"/>
        <w:numPr>
          <w:ilvl w:val="0"/>
          <w:numId w:val="1004"/>
        </w:numPr>
      </w:pPr>
      <w:r>
        <w:rPr>
          <w:b/>
          <w:bCs/>
        </w:rPr>
        <w:t xml:space="preserve">Balance Sheet Strength:</w:t>
      </w:r>
      <w:r>
        <w:t xml:space="preserve"> </w:t>
      </w:r>
      <w:r>
        <w:t xml:space="preserve">Investment-grade credit, moderate 25-30% net debt-to-capital, $2B+ cash, undrawn revolver provide financial flexibility</w:t>
      </w:r>
    </w:p>
    <w:p>
      <w:pPr>
        <w:pStyle w:val="Compact"/>
        <w:numPr>
          <w:ilvl w:val="0"/>
          <w:numId w:val="1004"/>
        </w:numPr>
      </w:pPr>
      <w:r>
        <w:rPr>
          <w:b/>
          <w:bCs/>
        </w:rPr>
        <w:t xml:space="preserve">Management Alignment:</w:t>
      </w:r>
      <w:r>
        <w:t xml:space="preserve"> </w:t>
      </w:r>
      <w:r>
        <w:t xml:space="preserve">Stuart Miller’s $2.9B equity stake (9.4% ownership) aligns incentives with shareholders</w:t>
      </w:r>
    </w:p>
    <w:bookmarkEnd w:id="62"/>
    <w:bookmarkStart w:id="63" w:name="weaknesses"/>
    <w:p>
      <w:pPr>
        <w:pStyle w:val="Heading4"/>
      </w:pPr>
      <w:r>
        <w:rPr>
          <w:b/>
          <w:bCs/>
        </w:rPr>
        <w:t xml:space="preserve">WEAKNESSES</w:t>
      </w:r>
    </w:p>
    <w:p>
      <w:pPr>
        <w:pStyle w:val="Compact"/>
        <w:numPr>
          <w:ilvl w:val="0"/>
          <w:numId w:val="1005"/>
        </w:numPr>
      </w:pPr>
      <w:r>
        <w:rPr>
          <w:b/>
          <w:bCs/>
        </w:rPr>
        <w:t xml:space="preserve">ROIC Destruction:</w:t>
      </w:r>
      <w:r>
        <w:t xml:space="preserve"> </w:t>
      </w:r>
      <w:r>
        <w:t xml:space="preserve">Current 8.4% ROE well below ~10% WACC; building homes at negative economic returns</w:t>
      </w:r>
    </w:p>
    <w:p>
      <w:pPr>
        <w:pStyle w:val="Compact"/>
        <w:numPr>
          <w:ilvl w:val="0"/>
          <w:numId w:val="1005"/>
        </w:numPr>
      </w:pPr>
      <w:r>
        <w:rPr>
          <w:b/>
          <w:bCs/>
        </w:rPr>
        <w:t xml:space="preserve">Margin Compression:</w:t>
      </w:r>
      <w:r>
        <w:t xml:space="preserve"> </w:t>
      </w:r>
      <w:r>
        <w:t xml:space="preserve">Gross margins ~19-20% (down from 22-25% historical); operating margin 7.9% (vs. 12-15% normalized)</w:t>
      </w:r>
    </w:p>
    <w:p>
      <w:pPr>
        <w:pStyle w:val="Compact"/>
        <w:numPr>
          <w:ilvl w:val="0"/>
          <w:numId w:val="1005"/>
        </w:numPr>
      </w:pPr>
      <w:r>
        <w:rPr>
          <w:b/>
          <w:bCs/>
        </w:rPr>
        <w:t xml:space="preserve">Incentive Dependency:</w:t>
      </w:r>
      <w:r>
        <w:t xml:space="preserve"> </w:t>
      </w:r>
      <w:r>
        <w:t xml:space="preserve">14% incentive rate required to move volume; cannot reduce without demand collapse</w:t>
      </w:r>
    </w:p>
    <w:p>
      <w:pPr>
        <w:pStyle w:val="Compact"/>
        <w:numPr>
          <w:ilvl w:val="0"/>
          <w:numId w:val="1005"/>
        </w:numPr>
      </w:pPr>
      <w:r>
        <w:rPr>
          <w:b/>
          <w:bCs/>
        </w:rPr>
        <w:t xml:space="preserve">Inferior Returns vs. Peers:</w:t>
      </w:r>
      <w:r>
        <w:t xml:space="preserve"> </w:t>
      </w:r>
      <w:r>
        <w:t xml:space="preserve">ROE of 8.4% trails DHI (15%+), PHM (20%+), and NVR (35%+)</w:t>
      </w:r>
    </w:p>
    <w:p>
      <w:pPr>
        <w:pStyle w:val="Compact"/>
        <w:numPr>
          <w:ilvl w:val="0"/>
          <w:numId w:val="1005"/>
        </w:numPr>
      </w:pPr>
      <w:r>
        <w:rPr>
          <w:b/>
          <w:bCs/>
        </w:rPr>
        <w:t xml:space="preserve">Execution Missteps:</w:t>
      </w:r>
      <w:r>
        <w:t xml:space="preserve"> </w:t>
      </w:r>
      <w:r>
        <w:t xml:space="preserve">$2.7B buybacks at trough ROIC raises capital allocation concerns</w:t>
      </w:r>
    </w:p>
    <w:p>
      <w:pPr>
        <w:pStyle w:val="Compact"/>
        <w:numPr>
          <w:ilvl w:val="0"/>
          <w:numId w:val="1005"/>
        </w:numPr>
      </w:pPr>
      <w:r>
        <w:rPr>
          <w:b/>
          <w:bCs/>
        </w:rPr>
        <w:t xml:space="preserve">Succession Uncertainty:</w:t>
      </w:r>
      <w:r>
        <w:t xml:space="preserve"> </w:t>
      </w:r>
      <w:r>
        <w:t xml:space="preserve">Stuart Miller age/tenure creates transition risk with no clear heir apparent</w:t>
      </w:r>
    </w:p>
    <w:p>
      <w:pPr>
        <w:pStyle w:val="Compact"/>
        <w:numPr>
          <w:ilvl w:val="0"/>
          <w:numId w:val="1005"/>
        </w:numPr>
      </w:pPr>
      <w:r>
        <w:rPr>
          <w:b/>
          <w:bCs/>
        </w:rPr>
        <w:t xml:space="preserve">Cyclical Earnings Volatility:</w:t>
      </w:r>
      <w:r>
        <w:t xml:space="preserve"> </w:t>
      </w:r>
      <w:r>
        <w:t xml:space="preserve">Net income swings from $3.8B (FY 2024) to $2.1B (FY 2025) complicate valuation</w:t>
      </w:r>
    </w:p>
    <w:bookmarkEnd w:id="63"/>
    <w:bookmarkStart w:id="64" w:name="opportunities"/>
    <w:p>
      <w:pPr>
        <w:pStyle w:val="Heading4"/>
      </w:pPr>
      <w:r>
        <w:rPr>
          <w:b/>
          <w:bCs/>
        </w:rPr>
        <w:t xml:space="preserve">OPPORTUNITIES</w:t>
      </w:r>
    </w:p>
    <w:p>
      <w:pPr>
        <w:pStyle w:val="Compact"/>
        <w:numPr>
          <w:ilvl w:val="0"/>
          <w:numId w:val="1006"/>
        </w:numPr>
      </w:pPr>
      <w:r>
        <w:rPr>
          <w:b/>
          <w:bCs/>
        </w:rPr>
        <w:t xml:space="preserve">Structural Housing Shortage:</w:t>
      </w:r>
      <w:r>
        <w:t xml:space="preserve"> </w:t>
      </w:r>
      <w:r>
        <w:t xml:space="preserve">3-5M unit undersupply + decade of Millennial/Gen Z household formation provides long-term demand floor</w:t>
      </w:r>
    </w:p>
    <w:p>
      <w:pPr>
        <w:pStyle w:val="Compact"/>
        <w:numPr>
          <w:ilvl w:val="0"/>
          <w:numId w:val="1006"/>
        </w:numPr>
      </w:pPr>
      <w:r>
        <w:rPr>
          <w:b/>
          <w:bCs/>
        </w:rPr>
        <w:t xml:space="preserve">Margin Recovery Upside:</w:t>
      </w:r>
      <w:r>
        <w:t xml:space="preserve"> </w:t>
      </w:r>
      <w:r>
        <w:t xml:space="preserve">If/when rates fall and affordability improves, margins could expand 400-500 bps (operating margin from 8% to 12-13%), more than doubling earnings</w:t>
      </w:r>
    </w:p>
    <w:p>
      <w:pPr>
        <w:pStyle w:val="Compact"/>
        <w:numPr>
          <w:ilvl w:val="0"/>
          <w:numId w:val="1006"/>
        </w:numPr>
      </w:pPr>
      <w:r>
        <w:rPr>
          <w:b/>
          <w:bCs/>
        </w:rPr>
        <w:t xml:space="preserve">Market Share Gains:</w:t>
      </w:r>
      <w:r>
        <w:t xml:space="preserve"> </w:t>
      </w:r>
      <w:r>
        <w:t xml:space="preserve">Volume-first strategy positioned Lennar to take share from smaller, capital-constrained builders</w:t>
      </w:r>
    </w:p>
    <w:p>
      <w:pPr>
        <w:pStyle w:val="Compact"/>
        <w:numPr>
          <w:ilvl w:val="0"/>
          <w:numId w:val="1006"/>
        </w:numPr>
      </w:pPr>
      <w:r>
        <w:rPr>
          <w:b/>
          <w:bCs/>
        </w:rPr>
        <w:t xml:space="preserve">Sunbelt Migration:</w:t>
      </w:r>
      <w:r>
        <w:t xml:space="preserve"> </w:t>
      </w:r>
      <w:r>
        <w:t xml:space="preserve">Continued population/job growth in core Texas, Florida, Arizona markets</w:t>
      </w:r>
    </w:p>
    <w:p>
      <w:pPr>
        <w:pStyle w:val="Compact"/>
        <w:numPr>
          <w:ilvl w:val="0"/>
          <w:numId w:val="1006"/>
        </w:numPr>
      </w:pPr>
      <w:r>
        <w:rPr>
          <w:b/>
          <w:bCs/>
        </w:rPr>
        <w:t xml:space="preserve">Distressed Acquisitions:</w:t>
      </w:r>
      <w:r>
        <w:t xml:space="preserve"> </w:t>
      </w:r>
      <w:r>
        <w:t xml:space="preserve">Potential to acquire struggling regional competitors at attractive valuations in 2026-2027</w:t>
      </w:r>
    </w:p>
    <w:p>
      <w:pPr>
        <w:pStyle w:val="Compact"/>
        <w:numPr>
          <w:ilvl w:val="0"/>
          <w:numId w:val="1006"/>
        </w:numPr>
      </w:pPr>
      <w:r>
        <w:rPr>
          <w:b/>
          <w:bCs/>
        </w:rPr>
        <w:t xml:space="preserve">Technology Ventures:</w:t>
      </w:r>
      <w:r>
        <w:t xml:space="preserve"> </w:t>
      </w:r>
      <w:r>
        <w:t xml:space="preserve">$130M FY 2025 gains from Lenˣ portfolio; potential for outsized returns if bets pay off</w:t>
      </w:r>
    </w:p>
    <w:p>
      <w:pPr>
        <w:pStyle w:val="Compact"/>
        <w:numPr>
          <w:ilvl w:val="0"/>
          <w:numId w:val="1006"/>
        </w:numPr>
      </w:pPr>
      <w:r>
        <w:rPr>
          <w:b/>
          <w:bCs/>
        </w:rPr>
        <w:t xml:space="preserve">SFR Institutional Demand:</w:t>
      </w:r>
      <w:r>
        <w:t xml:space="preserve"> </w:t>
      </w:r>
      <w:r>
        <w:t xml:space="preserve">Single-family rental operators provide bulk-sales channel smoothing volume volatility</w:t>
      </w:r>
    </w:p>
    <w:bookmarkEnd w:id="64"/>
    <w:bookmarkStart w:id="65" w:name="threats"/>
    <w:p>
      <w:pPr>
        <w:pStyle w:val="Heading4"/>
      </w:pPr>
      <w:r>
        <w:rPr>
          <w:b/>
          <w:bCs/>
        </w:rPr>
        <w:t xml:space="preserve">THREATS</w:t>
      </w:r>
    </w:p>
    <w:p>
      <w:pPr>
        <w:pStyle w:val="Compact"/>
        <w:numPr>
          <w:ilvl w:val="0"/>
          <w:numId w:val="1007"/>
        </w:numPr>
      </w:pPr>
      <w:r>
        <w:rPr>
          <w:b/>
          <w:bCs/>
        </w:rPr>
        <w:t xml:space="preserve">Sustained High Rates:</w:t>
      </w:r>
      <w:r>
        <w:t xml:space="preserve"> </w:t>
      </w:r>
      <w:r>
        <w:t xml:space="preserve">If 30-year mortgages stay &gt;6.5% through 2026-2027, affordability crisis extends; margins remain depressed</w:t>
      </w:r>
    </w:p>
    <w:p>
      <w:pPr>
        <w:pStyle w:val="Compact"/>
        <w:numPr>
          <w:ilvl w:val="0"/>
          <w:numId w:val="1007"/>
        </w:numPr>
      </w:pPr>
      <w:r>
        <w:rPr>
          <w:b/>
          <w:bCs/>
        </w:rPr>
        <w:t xml:space="preserve">Recession Risk:</w:t>
      </w:r>
      <w:r>
        <w:t xml:space="preserve"> </w:t>
      </w:r>
      <w:r>
        <w:t xml:space="preserve">Economic downturn causes unemployment, credit tightening, demand collapse—historically margin drops to 5-6% and ROE goes negative</w:t>
      </w:r>
    </w:p>
    <w:p>
      <w:pPr>
        <w:pStyle w:val="Compact"/>
        <w:numPr>
          <w:ilvl w:val="0"/>
          <w:numId w:val="1007"/>
        </w:numPr>
      </w:pPr>
      <w:r>
        <w:rPr>
          <w:b/>
          <w:bCs/>
        </w:rPr>
        <w:t xml:space="preserve">Rate Lock-In Effect:</w:t>
      </w:r>
      <w:r>
        <w:t xml:space="preserve"> </w:t>
      </w:r>
      <w:r>
        <w:t xml:space="preserve">Existing homeowners with 3% mortgages won’t move, constraining both new-home move-up demand and trade-in inventory</w:t>
      </w:r>
    </w:p>
    <w:p>
      <w:pPr>
        <w:pStyle w:val="Compact"/>
        <w:numPr>
          <w:ilvl w:val="0"/>
          <w:numId w:val="1007"/>
        </w:numPr>
      </w:pPr>
      <w:r>
        <w:rPr>
          <w:b/>
          <w:bCs/>
        </w:rPr>
        <w:t xml:space="preserve">Competitive Pressure:</w:t>
      </w:r>
      <w:r>
        <w:t xml:space="preserve"> </w:t>
      </w:r>
      <w:r>
        <w:t xml:space="preserve">Peers with stronger margins (PHM, NVR, TOL) better positioned to outlast downturn; could gain share at Lennar’s expense</w:t>
      </w:r>
    </w:p>
    <w:p>
      <w:pPr>
        <w:pStyle w:val="Compact"/>
        <w:numPr>
          <w:ilvl w:val="0"/>
          <w:numId w:val="1007"/>
        </w:numPr>
      </w:pPr>
      <w:r>
        <w:rPr>
          <w:b/>
          <w:bCs/>
        </w:rPr>
        <w:t xml:space="preserve">Input Cost Inflation:</w:t>
      </w:r>
      <w:r>
        <w:t xml:space="preserve"> </w:t>
      </w:r>
      <w:r>
        <w:t xml:space="preserve">Labor shortages and wage growth (up 20-30% since 2020) structural, not cyclical; difficult to offset</w:t>
      </w:r>
    </w:p>
    <w:p>
      <w:pPr>
        <w:pStyle w:val="Compact"/>
        <w:numPr>
          <w:ilvl w:val="0"/>
          <w:numId w:val="1007"/>
        </w:numPr>
      </w:pPr>
      <w:r>
        <w:rPr>
          <w:b/>
          <w:bCs/>
        </w:rPr>
        <w:t xml:space="preserve">Climate Risk:</w:t>
      </w:r>
      <w:r>
        <w:t xml:space="preserve"> </w:t>
      </w:r>
      <w:r>
        <w:t xml:space="preserve">Florida hurricane exposure (20-25% of deliveries), Texas freeze risk, California wildfire risk threaten key markets and drive insurance costs</w:t>
      </w:r>
    </w:p>
    <w:p>
      <w:pPr>
        <w:pStyle w:val="Compact"/>
        <w:numPr>
          <w:ilvl w:val="0"/>
          <w:numId w:val="1007"/>
        </w:numPr>
      </w:pPr>
      <w:r>
        <w:rPr>
          <w:b/>
          <w:bCs/>
        </w:rPr>
        <w:t xml:space="preserve">Land Impairments:</w:t>
      </w:r>
      <w:r>
        <w:t xml:space="preserve"> </w:t>
      </w:r>
      <w:r>
        <w:t xml:space="preserve">Land purchased at peak 2021-2022 valuations may require write-downs if market deteriorates further</w:t>
      </w:r>
    </w:p>
    <w:p>
      <w:pPr>
        <w:pStyle w:val="Compact"/>
        <w:numPr>
          <w:ilvl w:val="0"/>
          <w:numId w:val="1007"/>
        </w:numPr>
      </w:pPr>
      <w:r>
        <w:rPr>
          <w:b/>
          <w:bCs/>
        </w:rPr>
        <w:t xml:space="preserve">Speculative Excess Unwind:</w:t>
      </w:r>
      <w:r>
        <w:t xml:space="preserve"> </w:t>
      </w:r>
      <w:r>
        <w:t xml:space="preserve">If 2021-2022 demand included unsustainable investor/speculator bid, baseline demand lower than builders anticipate</w:t>
      </w:r>
    </w:p>
    <w:p>
      <w:pPr>
        <w:pStyle w:val="Compact"/>
        <w:numPr>
          <w:ilvl w:val="0"/>
          <w:numId w:val="1007"/>
        </w:numPr>
      </w:pPr>
      <w:r>
        <w:rPr>
          <w:b/>
          <w:bCs/>
        </w:rPr>
        <w:t xml:space="preserve">Regulatory Headwinds:</w:t>
      </w:r>
      <w:r>
        <w:t xml:space="preserve"> </w:t>
      </w:r>
      <w:r>
        <w:t xml:space="preserve">Rising impact fees, restrictive zoning, environmental compliance costs eat margins</w:t>
      </w:r>
    </w:p>
    <w:p>
      <w:pPr>
        <w:pStyle w:val="Compact"/>
        <w:numPr>
          <w:ilvl w:val="0"/>
          <w:numId w:val="1007"/>
        </w:numPr>
      </w:pPr>
      <w:r>
        <w:rPr>
          <w:b/>
          <w:bCs/>
        </w:rPr>
        <w:t xml:space="preserve">Technological Disruption:</w:t>
      </w:r>
      <w:r>
        <w:t xml:space="preserve"> </w:t>
      </w:r>
      <w:r>
        <w:t xml:space="preserve">If modular/manufactured housing achieves scale and quality, could undercut site-built pricing by 20-30%</w:t>
      </w:r>
    </w:p>
    <w:bookmarkEnd w:id="65"/>
    <w:bookmarkEnd w:id="66"/>
    <w:bookmarkStart w:id="70" w:name="investment-cases"/>
    <w:p>
      <w:pPr>
        <w:pStyle w:val="Heading3"/>
      </w:pPr>
      <w:r>
        <w:rPr>
          <w:b/>
          <w:bCs/>
        </w:rPr>
        <w:t xml:space="preserve">Investment Cases</w:t>
      </w:r>
    </w:p>
    <w:bookmarkStart w:id="67" w:name="Xec9c9c6594c9f963b7055439d4f1f1b41627868"/>
    <w:p>
      <w:pPr>
        <w:pStyle w:val="Heading4"/>
      </w:pPr>
      <w:r>
        <w:rPr>
          <w:b/>
          <w:bCs/>
        </w:rPr>
        <w:t xml:space="preserve">BULL CASE: Trough Valuation into Structural Up-Cycle</w:t>
      </w:r>
      <w:r>
        <w:t xml:space="preserve"> </w:t>
      </w:r>
      <w:r>
        <w:t xml:space="preserve">(Target: $150-165, 30-40% upside)</w:t>
      </w:r>
    </w:p>
    <w:p>
      <w:pPr>
        <w:pStyle w:val="FirstParagraph"/>
      </w:pPr>
      <w:r>
        <w:rPr>
          <w:b/>
          <w:bCs/>
        </w:rPr>
        <w:t xml:space="preserve">Thesis:</w:t>
      </w:r>
      <w:r>
        <w:t xml:space="preserve"> </w:t>
      </w:r>
      <w:r>
        <w:t xml:space="preserve">Lennar is trading at 1.34x tangible book and 14.7x trough earnings, pricing in near-term distress but ignoring:</w:t>
      </w:r>
    </w:p>
    <w:p>
      <w:pPr>
        <w:numPr>
          <w:ilvl w:val="0"/>
          <w:numId w:val="1008"/>
        </w:numPr>
      </w:pPr>
      <w:r>
        <w:rPr>
          <w:b/>
          <w:bCs/>
        </w:rPr>
        <w:t xml:space="preserve">Normalized Earnings Power:</w:t>
      </w:r>
      <w:r>
        <w:t xml:space="preserve"> </w:t>
      </w:r>
      <w:r>
        <w:t xml:space="preserve">In 2027-2028, as 30-year mortgage rates fall to 5.5-6.0% (Fed easing cycle), affordability improves—Lennar can reduce incentives from 14% to 5-7%, expanding gross margins to 22-24%. At 83,000 closings and $425K ASP, that’s $35B revenue; at 12% operating margin, $4.2B EBIT; at 9% tax rate, ~$3.4B net income or $13.50/share. Apply 1.5x P/B or 15x P/E → $150-165 target.</w:t>
      </w:r>
    </w:p>
    <w:p>
      <w:pPr>
        <w:numPr>
          <w:ilvl w:val="0"/>
          <w:numId w:val="1008"/>
        </w:numPr>
      </w:pPr>
      <w:r>
        <w:rPr>
          <w:b/>
          <w:bCs/>
        </w:rPr>
        <w:t xml:space="preserve">Structural Shortage Duration:</w:t>
      </w:r>
      <w:r>
        <w:t xml:space="preserve"> </w:t>
      </w:r>
      <w:r>
        <w:t xml:space="preserve">U.S. has underbuilt by 500K units/year for a decade (5M cumulative shortfall). Even at current affordability levels, household formation of 1.5M/year vs. total housing starts of 1.4M means shortage persists. When rates normalize, pent-up demand floods market.</w:t>
      </w:r>
    </w:p>
    <w:p>
      <w:pPr>
        <w:numPr>
          <w:ilvl w:val="0"/>
          <w:numId w:val="1008"/>
        </w:numPr>
      </w:pPr>
      <w:r>
        <w:rPr>
          <w:b/>
          <w:bCs/>
        </w:rPr>
        <w:t xml:space="preserve">Market Share Compounding:</w:t>
      </w:r>
      <w:r>
        <w:t xml:space="preserve"> </w:t>
      </w:r>
      <w:r>
        <w:t xml:space="preserve">Lennar’s volume-first strategy (deliveries up 3% vs. industry flat-to-down) positions it with 12-15% share of new homes by 2027-2028 vs. 10% today. Maintaining that share through recovery yields outsized margin leverage.</w:t>
      </w:r>
    </w:p>
    <w:p>
      <w:pPr>
        <w:numPr>
          <w:ilvl w:val="0"/>
          <w:numId w:val="1008"/>
        </w:numPr>
      </w:pPr>
      <w:r>
        <w:rPr>
          <w:b/>
          <w:bCs/>
        </w:rPr>
        <w:t xml:space="preserve">Land Bank Upside:</w:t>
      </w:r>
      <w:r>
        <w:t xml:space="preserve"> </w:t>
      </w:r>
      <w:r>
        <w:t xml:space="preserve">Lennar’s controlled lots purchased/optioned in 2021-2023 at lower land basis than current replacement cost. As home prices stabilize/rise in recovery, embedded land value creates 200-300 bps margin upside vs. current accounting basis.</w:t>
      </w:r>
    </w:p>
    <w:p>
      <w:pPr>
        <w:numPr>
          <w:ilvl w:val="0"/>
          <w:numId w:val="1008"/>
        </w:numPr>
      </w:pPr>
      <w:r>
        <w:rPr>
          <w:b/>
          <w:bCs/>
        </w:rPr>
        <w:t xml:space="preserve">Capital Return Acceleration:</w:t>
      </w:r>
      <w:r>
        <w:t xml:space="preserve"> </w:t>
      </w:r>
      <w:r>
        <w:t xml:space="preserve">Once margins recover, Lennar generates $4-5B annual operating cash flow; after $2B land investment, $2-3B available for buybacks/dividends. At 1.3-1.4x book, aggressive buybacks highly accretive.</w:t>
      </w:r>
    </w:p>
    <w:p>
      <w:pPr>
        <w:numPr>
          <w:ilvl w:val="0"/>
          <w:numId w:val="1008"/>
        </w:numPr>
      </w:pPr>
      <w:r>
        <w:rPr>
          <w:b/>
          <w:bCs/>
        </w:rPr>
        <w:t xml:space="preserve">Valuation Discount vs. History:</w:t>
      </w:r>
      <w:r>
        <w:t xml:space="preserve"> </w:t>
      </w:r>
      <w:r>
        <w:t xml:space="preserve">Lennar historically trades at 1.5-1.8x book in expansion phases (2012-2013, 2017-2019). Current 1.34x reflects trough pessimism; mean reversion alone → $145-155.</w:t>
      </w:r>
    </w:p>
    <w:p>
      <w:pPr>
        <w:pStyle w:val="FirstParagraph"/>
      </w:pPr>
      <w:r>
        <w:rPr>
          <w:b/>
          <w:bCs/>
        </w:rPr>
        <w:t xml:space="preserve">Catalysts:</w:t>
      </w:r>
      <w:r>
        <w:t xml:space="preserve"> </w:t>
      </w:r>
      <w:r>
        <w:t xml:space="preserve">- Fed rate cuts (50-75 bps) driving mortgage rates below 6.0%</w:t>
      </w:r>
      <w:r>
        <w:t xml:space="preserve"> </w:t>
      </w:r>
      <w:r>
        <w:t xml:space="preserve">- Housing starts inflection (upturn from current ~1.4M to 1.6M+ annual pace)</w:t>
      </w:r>
      <w:r>
        <w:t xml:space="preserve"> </w:t>
      </w:r>
      <w:r>
        <w:t xml:space="preserve">- Competitor margin guidance improving (signaling incentive reductions)</w:t>
      </w:r>
      <w:r>
        <w:t xml:space="preserve"> </w:t>
      </w:r>
      <w:r>
        <w:t xml:space="preserve">- Q1-Q2 2026 earnings showing stabilization/modest margin expansion</w:t>
      </w:r>
    </w:p>
    <w:p>
      <w:pPr>
        <w:pStyle w:val="BodyText"/>
      </w:pPr>
      <w:r>
        <w:rPr>
          <w:b/>
          <w:bCs/>
        </w:rPr>
        <w:t xml:space="preserve">Probability:</w:t>
      </w:r>
      <w:r>
        <w:t xml:space="preserve"> </w:t>
      </w:r>
      <w:r>
        <w:t xml:space="preserve">30-35% (requires favorable macro: rate cuts, no recession, demand resilience)</w:t>
      </w:r>
    </w:p>
    <w:p>
      <w:r>
        <w:pict>
          <v:rect style="width:0;height:1.5pt" o:hralign="center" o:hrstd="t" o:hr="t"/>
        </w:pict>
      </w:r>
    </w:p>
    <w:bookmarkEnd w:id="67"/>
    <w:bookmarkStart w:id="68" w:name="Xa5b2f99a8f68070e0577f2ca713bc4fdb283d8d"/>
    <w:p>
      <w:pPr>
        <w:pStyle w:val="Heading4"/>
      </w:pPr>
      <w:r>
        <w:rPr>
          <w:b/>
          <w:bCs/>
        </w:rPr>
        <w:t xml:space="preserve">BEAR CASE: Value Trap into Prolonged Margin Depression</w:t>
      </w:r>
      <w:r>
        <w:t xml:space="preserve"> </w:t>
      </w:r>
      <w:r>
        <w:t xml:space="preserve">(Target: $85-95, 25-30% downside)</w:t>
      </w:r>
    </w:p>
    <w:p>
      <w:pPr>
        <w:pStyle w:val="FirstParagraph"/>
      </w:pPr>
      <w:r>
        <w:rPr>
          <w:b/>
          <w:bCs/>
        </w:rPr>
        <w:t xml:space="preserve">Thesis:</w:t>
      </w:r>
      <w:r>
        <w:t xml:space="preserve"> </w:t>
      </w:r>
      <w:r>
        <w:t xml:space="preserve">Lennar is trading at 1.34x book, but book value overstates economic reality—land carrying values exceed market, deferred tax assets may not be realizable, and trough earnings aren’t</w:t>
      </w:r>
      <w:r>
        <w:t xml:space="preserve"> </w:t>
      </w:r>
      <w:r>
        <w:t xml:space="preserve">“trough”</w:t>
      </w:r>
      <w:r>
        <w:t xml:space="preserve"> </w:t>
      </w:r>
      <w:r>
        <w:t xml:space="preserve">but rather the new normal:</w:t>
      </w:r>
    </w:p>
    <w:p>
      <w:pPr>
        <w:numPr>
          <w:ilvl w:val="0"/>
          <w:numId w:val="1009"/>
        </w:numPr>
      </w:pPr>
      <w:r>
        <w:rPr>
          <w:b/>
          <w:bCs/>
        </w:rPr>
        <w:t xml:space="preserve">Structural Affordability Ceiling:</w:t>
      </w:r>
      <w:r>
        <w:t xml:space="preserve"> </w:t>
      </w:r>
      <w:r>
        <w:t xml:space="preserve">Median U.S. home price of $420K requires $105K household income at 28% DTI and 7% mortgage rate. Median household income is $75K. The math doesn’t work. Even if rates fall to 6%, requires $85K income—still above median. Result: Demand is permanently impaired at current price levels; builders must cut prices 10-15% (not just incentives but actual price reductions), driving gross margins to 16-18% structurally.</w:t>
      </w:r>
    </w:p>
    <w:p>
      <w:pPr>
        <w:numPr>
          <w:ilvl w:val="0"/>
          <w:numId w:val="1009"/>
        </w:numPr>
      </w:pPr>
      <w:r>
        <w:rPr>
          <w:b/>
          <w:bCs/>
        </w:rPr>
        <w:t xml:space="preserve">Incentive Trap Permanence:</w:t>
      </w:r>
      <w:r>
        <w:t xml:space="preserve"> </w:t>
      </w:r>
      <w:r>
        <w:t xml:space="preserve">Once builders condition buyers to expect 14% incentives (rate buydowns, closing costs, upgrades), removing them causes traffic to collapse. Lennar stuck in prisoner’s dilemma: cutting incentives loses share to competitors; maintaining them kills margins. 16-18% gross margins × 6-7% operating margins × $35B revenue = $2.1-2.5B net income = $8-10/share</w:t>
      </w:r>
      <w:r>
        <w:t xml:space="preserve"> </w:t>
      </w:r>
      <w:r>
        <w:t xml:space="preserve">“normalized”</w:t>
      </w:r>
      <w:r>
        <w:t xml:space="preserve"> </w:t>
      </w:r>
      <w:r>
        <w:t xml:space="preserve">earnings. At 10-12x cyclical P/E → $85-100 fair value.</w:t>
      </w:r>
    </w:p>
    <w:p>
      <w:pPr>
        <w:numPr>
          <w:ilvl w:val="0"/>
          <w:numId w:val="1009"/>
        </w:numPr>
      </w:pPr>
      <w:r>
        <w:rPr>
          <w:b/>
          <w:bCs/>
        </w:rPr>
        <w:t xml:space="preserve">ROIC &lt; WACC Indefinitely:</w:t>
      </w:r>
      <w:r>
        <w:t xml:space="preserve"> </w:t>
      </w:r>
      <w:r>
        <w:t xml:space="preserve">If through-cycle ROE is 10-12% (not 15-18%) due to structurally lower margins, Lennar is a perpetual value destroyer. Why pay 1.34x book for a business earning cost of capital at best?</w:t>
      </w:r>
    </w:p>
    <w:p>
      <w:pPr>
        <w:numPr>
          <w:ilvl w:val="0"/>
          <w:numId w:val="1009"/>
        </w:numPr>
      </w:pPr>
      <w:r>
        <w:rPr>
          <w:b/>
          <w:bCs/>
        </w:rPr>
        <w:t xml:space="preserve">Recession Scenario:</w:t>
      </w:r>
      <w:r>
        <w:t xml:space="preserve"> </w:t>
      </w:r>
      <w:r>
        <w:t xml:space="preserve">40% probability of 2026 recession. In downturn, Lennar’s margins compress to 5-6% operating margin, earnings fall to $5-6/share, and stock trades to 0.9-1.0x book (historical trough) → $65-75. Even without full recession, soft landing with stagnant demand keeps margins depressed through 2027.</w:t>
      </w:r>
    </w:p>
    <w:p>
      <w:pPr>
        <w:numPr>
          <w:ilvl w:val="0"/>
          <w:numId w:val="1009"/>
        </w:numPr>
      </w:pPr>
      <w:r>
        <w:rPr>
          <w:b/>
          <w:bCs/>
        </w:rPr>
        <w:t xml:space="preserve">Land Write-Downs Coming:</w:t>
      </w:r>
      <w:r>
        <w:t xml:space="preserve"> </w:t>
      </w:r>
      <w:r>
        <w:t xml:space="preserve">Lennar’s land at cost/market carrying value reflects peak 2021-2022 land prices. If home prices correct 10-15%, land values fall 30-40% (higher leverage to end prices). Potential for $500M-1B impairment charges, hitting book value by 5-10%.</w:t>
      </w:r>
    </w:p>
    <w:p>
      <w:pPr>
        <w:numPr>
          <w:ilvl w:val="0"/>
          <w:numId w:val="1009"/>
        </w:numPr>
      </w:pPr>
      <w:r>
        <w:rPr>
          <w:b/>
          <w:bCs/>
        </w:rPr>
        <w:t xml:space="preserve">Competitive Disadvantage:</w:t>
      </w:r>
      <w:r>
        <w:t xml:space="preserve"> </w:t>
      </w:r>
      <w:r>
        <w:t xml:space="preserve">Peers like NVR (asset-light, 100% optioned lots) and PulteGroup (premium brand, 25%+ gross margins) structurally better positioned. Lennar’s scale advantage not translating to returns—may be scale disadvantage (bureaucracy, slower decision-making) vs. nimble regionals.</w:t>
      </w:r>
    </w:p>
    <w:p>
      <w:pPr>
        <w:numPr>
          <w:ilvl w:val="0"/>
          <w:numId w:val="1009"/>
        </w:numPr>
      </w:pPr>
      <w:r>
        <w:rPr>
          <w:b/>
          <w:bCs/>
        </w:rPr>
        <w:t xml:space="preserve">Capital Misallocation:</w:t>
      </w:r>
      <w:r>
        <w:t xml:space="preserve"> </w:t>
      </w:r>
      <w:r>
        <w:t xml:space="preserve">$2.7B buybacks in FY 2025 at ~$120-125/share (1.4x book) when ROIC was 6-7% and intrinsic value arguably $100-110. Destroyed $300-500M of shareholder value.</w:t>
      </w:r>
    </w:p>
    <w:p>
      <w:pPr>
        <w:pStyle w:val="FirstParagraph"/>
      </w:pPr>
      <w:r>
        <w:rPr>
          <w:b/>
          <w:bCs/>
        </w:rPr>
        <w:t xml:space="preserve">Catalysts:</w:t>
      </w:r>
      <w:r>
        <w:t xml:space="preserve"> </w:t>
      </w:r>
      <w:r>
        <w:t xml:space="preserve">- Fed holds rates or cuts slowly (mortgage rates stay &gt;6.5%)</w:t>
      </w:r>
      <w:r>
        <w:t xml:space="preserve"> </w:t>
      </w:r>
      <w:r>
        <w:t xml:space="preserve">- Economic data weakening (payrolls, consumer confidence) → recession fears</w:t>
      </w:r>
      <w:r>
        <w:t xml:space="preserve"> </w:t>
      </w:r>
      <w:r>
        <w:t xml:space="preserve">- Competitor (DHI, PHM) reports margin miss, guides lower → sector repricing</w:t>
      </w:r>
      <w:r>
        <w:t xml:space="preserve"> </w:t>
      </w:r>
      <w:r>
        <w:t xml:space="preserve">- Lennar Q1 2026 earnings (March): if deliveries miss or margins compress further, confirms bear case</w:t>
      </w:r>
    </w:p>
    <w:p>
      <w:pPr>
        <w:pStyle w:val="BodyText"/>
      </w:pPr>
      <w:r>
        <w:rPr>
          <w:b/>
          <w:bCs/>
        </w:rPr>
        <w:t xml:space="preserve">Probability:</w:t>
      </w:r>
      <w:r>
        <w:t xml:space="preserve"> </w:t>
      </w:r>
      <w:r>
        <w:t xml:space="preserve">35-40% (base case: muddling through with weak margins for 2+ years)</w:t>
      </w:r>
    </w:p>
    <w:p>
      <w:r>
        <w:pict>
          <v:rect style="width:0;height:1.5pt" o:hralign="center" o:hrstd="t" o:hr="t"/>
        </w:pict>
      </w:r>
    </w:p>
    <w:bookmarkEnd w:id="68"/>
    <w:bookmarkStart w:id="69" w:name="Xfe725e0251d8db5e50f3698942f9757a2beaba4"/>
    <w:p>
      <w:pPr>
        <w:pStyle w:val="Heading4"/>
      </w:pPr>
      <w:r>
        <w:rPr>
          <w:b/>
          <w:bCs/>
        </w:rPr>
        <w:t xml:space="preserve">BASE CASE: Sideways Grind with Limited Upside</w:t>
      </w:r>
      <w:r>
        <w:t xml:space="preserve"> </w:t>
      </w:r>
      <w:r>
        <w:t xml:space="preserve">(Target: $115-125, 0-10% return)</w:t>
      </w:r>
    </w:p>
    <w:p>
      <w:pPr>
        <w:pStyle w:val="FirstParagraph"/>
      </w:pPr>
      <w:r>
        <w:rPr>
          <w:b/>
          <w:bCs/>
        </w:rPr>
        <w:t xml:space="preserve">Thesis:</w:t>
      </w:r>
      <w:r>
        <w:t xml:space="preserve"> </w:t>
      </w:r>
      <w:r>
        <w:t xml:space="preserve">Current valuation of 1.34x book and 14.7x trough earnings is</w:t>
      </w:r>
      <w:r>
        <w:t xml:space="preserve"> </w:t>
      </w:r>
      <w:r>
        <w:rPr>
          <w:b/>
          <w:bCs/>
        </w:rPr>
        <w:t xml:space="preserve">roughly fair</w:t>
      </w:r>
      <w:r>
        <w:t xml:space="preserve"> </w:t>
      </w:r>
      <w:r>
        <w:t xml:space="preserve">given:</w:t>
      </w:r>
    </w:p>
    <w:p>
      <w:pPr>
        <w:numPr>
          <w:ilvl w:val="0"/>
          <w:numId w:val="1010"/>
        </w:numPr>
      </w:pPr>
      <w:r>
        <w:rPr>
          <w:b/>
          <w:bCs/>
        </w:rPr>
        <w:t xml:space="preserve">Offsetting Factors:</w:t>
      </w:r>
      <w:r>
        <w:t xml:space="preserve"> </w:t>
      </w:r>
      <w:r>
        <w:t xml:space="preserve">Structural housing shortage (bull point) vs. cyclical affordability crisis (bear point) → net neutral demand at current incentive levels for 12-24 months.</w:t>
      </w:r>
    </w:p>
    <w:p>
      <w:pPr>
        <w:numPr>
          <w:ilvl w:val="0"/>
          <w:numId w:val="1010"/>
        </w:numPr>
      </w:pPr>
      <w:r>
        <w:rPr>
          <w:b/>
          <w:bCs/>
        </w:rPr>
        <w:t xml:space="preserve">Modest Margin Recovery:</w:t>
      </w:r>
      <w:r>
        <w:t xml:space="preserve"> </w:t>
      </w:r>
      <w:r>
        <w:t xml:space="preserve">Mortgage rates drift down to 6.0-6.5% by late 2026; Lennar reduces incentives from 14% to 10-11%, expanding gross margins to 20-21% and operating margins to 9-10%. Earnings recover to $10-11/share in FY 2027.</w:t>
      </w:r>
    </w:p>
    <w:p>
      <w:pPr>
        <w:numPr>
          <w:ilvl w:val="0"/>
          <w:numId w:val="1010"/>
        </w:numPr>
      </w:pPr>
      <w:r>
        <w:rPr>
          <w:b/>
          <w:bCs/>
        </w:rPr>
        <w:t xml:space="preserve">Valuation Multiple Stable:</w:t>
      </w:r>
      <w:r>
        <w:t xml:space="preserve"> </w:t>
      </w:r>
      <w:r>
        <w:t xml:space="preserve">Homebuilders continue to trade at 1.3-1.5x book given persistent uncertainty. 1.4x book × $87 tangible book = $122 fair value.</w:t>
      </w:r>
    </w:p>
    <w:p>
      <w:pPr>
        <w:numPr>
          <w:ilvl w:val="0"/>
          <w:numId w:val="1010"/>
        </w:numPr>
      </w:pPr>
      <w:r>
        <w:rPr>
          <w:b/>
          <w:bCs/>
        </w:rPr>
        <w:t xml:space="preserve">Returns Driven by Dividends/Buybacks:</w:t>
      </w:r>
      <w:r>
        <w:t xml:space="preserve"> </w:t>
      </w:r>
      <w:r>
        <w:t xml:space="preserve">Lennar continues $500M-1B annual buybacks and ~$250M dividends, providing 3-4% annual return from capital return + 2-4% from modest price appreciation → 5-8% total return (in line with cost of equity).</w:t>
      </w:r>
    </w:p>
    <w:p>
      <w:pPr>
        <w:numPr>
          <w:ilvl w:val="0"/>
          <w:numId w:val="1010"/>
        </w:numPr>
      </w:pPr>
      <w:r>
        <w:rPr>
          <w:b/>
          <w:bCs/>
        </w:rPr>
        <w:t xml:space="preserve">No Major Positive or Negative Surprises:</w:t>
      </w:r>
      <w:r>
        <w:t xml:space="preserve"> </w:t>
      </w:r>
      <w:r>
        <w:t xml:space="preserve">Recession avoided but growth anemic; no margin blowout recovery but no collapse either.</w:t>
      </w:r>
    </w:p>
    <w:p>
      <w:pPr>
        <w:pStyle w:val="FirstParagraph"/>
      </w:pPr>
      <w:r>
        <w:rPr>
          <w:b/>
          <w:bCs/>
        </w:rPr>
        <w:t xml:space="preserve">Probability:</w:t>
      </w:r>
      <w:r>
        <w:t xml:space="preserve"> </w:t>
      </w:r>
      <w:r>
        <w:t xml:space="preserve">25-30% (sideways market with mixed data)</w:t>
      </w:r>
    </w:p>
    <w:p>
      <w:r>
        <w:pict>
          <v:rect style="width:0;height:1.5pt" o:hralign="center" o:hrstd="t" o:hr="t"/>
        </w:pict>
      </w:r>
    </w:p>
    <w:bookmarkEnd w:id="69"/>
    <w:bookmarkEnd w:id="70"/>
    <w:bookmarkStart w:id="71" w:name="overall-risk-level-assessment-high"/>
    <w:p>
      <w:pPr>
        <w:pStyle w:val="Heading3"/>
      </w:pPr>
      <w:r>
        <w:rPr>
          <w:b/>
          <w:bCs/>
        </w:rPr>
        <w:t xml:space="preserve">Overall Risk Level Assessment: HIGH</w:t>
      </w:r>
    </w:p>
    <w:p>
      <w:pPr>
        <w:pStyle w:val="FirstParagraph"/>
      </w:pPr>
      <w:r>
        <w:rPr>
          <w:b/>
          <w:bCs/>
        </w:rPr>
        <w:t xml:space="preserve">Risk Rating: 7 out of 10</w:t>
      </w:r>
      <w:r>
        <w:t xml:space="preserve"> </w:t>
      </w:r>
      <w:r>
        <w:t xml:space="preserve">(1=low risk, 10=high risk)</w:t>
      </w:r>
    </w:p>
    <w:p>
      <w:pPr>
        <w:pStyle w:val="BodyText"/>
      </w:pPr>
      <w:r>
        <w:rPr>
          <w:b/>
          <w:bCs/>
        </w:rPr>
        <w:t xml:space="preserve">Rationale:</w:t>
      </w:r>
    </w:p>
    <w:p>
      <w:pPr>
        <w:pStyle w:val="Compact"/>
        <w:numPr>
          <w:ilvl w:val="0"/>
          <w:numId w:val="1011"/>
        </w:numPr>
      </w:pPr>
      <w:r>
        <w:rPr>
          <w:b/>
          <w:bCs/>
        </w:rPr>
        <w:t xml:space="preserve">Cyclicality:</w:t>
      </w:r>
      <w:r>
        <w:t xml:space="preserve"> </w:t>
      </w:r>
      <w:r>
        <w:t xml:space="preserve">Homebuilding is among the most cyclical industries; Lennar’s earnings swing 50%+ peak-to-trough</w:t>
      </w:r>
    </w:p>
    <w:p>
      <w:pPr>
        <w:pStyle w:val="Compact"/>
        <w:numPr>
          <w:ilvl w:val="0"/>
          <w:numId w:val="1011"/>
        </w:numPr>
      </w:pPr>
      <w:r>
        <w:rPr>
          <w:b/>
          <w:bCs/>
        </w:rPr>
        <w:t xml:space="preserve">Macro Sensitivity:</w:t>
      </w:r>
      <w:r>
        <w:t xml:space="preserve"> </w:t>
      </w:r>
      <w:r>
        <w:t xml:space="preserve">Stock highly correlated to interest rates (–0.8), employment, consumer confidence</w:t>
      </w:r>
    </w:p>
    <w:p>
      <w:pPr>
        <w:pStyle w:val="Compact"/>
        <w:numPr>
          <w:ilvl w:val="0"/>
          <w:numId w:val="1011"/>
        </w:numPr>
      </w:pPr>
      <w:r>
        <w:rPr>
          <w:b/>
          <w:bCs/>
        </w:rPr>
        <w:t xml:space="preserve">Operational Leverage:</w:t>
      </w:r>
      <w:r>
        <w:t xml:space="preserve"> </w:t>
      </w:r>
      <w:r>
        <w:t xml:space="preserve">High fixed costs mean small revenue changes cause large margin swings</w:t>
      </w:r>
    </w:p>
    <w:p>
      <w:pPr>
        <w:pStyle w:val="Compact"/>
        <w:numPr>
          <w:ilvl w:val="0"/>
          <w:numId w:val="1011"/>
        </w:numPr>
      </w:pPr>
      <w:r>
        <w:rPr>
          <w:b/>
          <w:bCs/>
        </w:rPr>
        <w:t xml:space="preserve">Current Trough Positioning:</w:t>
      </w:r>
      <w:r>
        <w:t xml:space="preserve"> </w:t>
      </w:r>
      <w:r>
        <w:t xml:space="preserve">Earnings at cycle low; uncertainty whether recovery is 6, 12, or 24+ months away</w:t>
      </w:r>
    </w:p>
    <w:p>
      <w:pPr>
        <w:pStyle w:val="Compact"/>
        <w:numPr>
          <w:ilvl w:val="0"/>
          <w:numId w:val="1011"/>
        </w:numPr>
      </w:pPr>
      <w:r>
        <w:rPr>
          <w:b/>
          <w:bCs/>
        </w:rPr>
        <w:t xml:space="preserve">Capital Allocation Questions:</w:t>
      </w:r>
      <w:r>
        <w:t xml:space="preserve"> </w:t>
      </w:r>
      <w:r>
        <w:t xml:space="preserve">Recent buybacks at elevated valuations during trough ROIC raise governance concerns</w:t>
      </w:r>
    </w:p>
    <w:p>
      <w:pPr>
        <w:pStyle w:val="Compact"/>
        <w:numPr>
          <w:ilvl w:val="0"/>
          <w:numId w:val="1011"/>
        </w:numPr>
      </w:pPr>
      <w:r>
        <w:rPr>
          <w:b/>
          <w:bCs/>
        </w:rPr>
        <w:t xml:space="preserve">Climate Exposure:</w:t>
      </w:r>
      <w:r>
        <w:t xml:space="preserve"> </w:t>
      </w:r>
      <w:r>
        <w:t xml:space="preserve">Significant Florida/Texas exposure to hurricanes, floods, extreme weather</w:t>
      </w:r>
    </w:p>
    <w:p>
      <w:pPr>
        <w:pStyle w:val="FirstParagraph"/>
      </w:pPr>
      <w:r>
        <w:rPr>
          <w:b/>
          <w:bCs/>
        </w:rPr>
        <w:t xml:space="preserve">Mitigating Factors (preventing 8-9/10 rating):</w:t>
      </w:r>
      <w:r>
        <w:t xml:space="preserve"> </w:t>
      </w:r>
      <w:r>
        <w:t xml:space="preserve">- Investment-grade balance sheet with moderate leverage</w:t>
      </w:r>
      <w:r>
        <w:t xml:space="preserve"> </w:t>
      </w:r>
      <w:r>
        <w:t xml:space="preserve">- Defensive market position as #2 builder with scale advantages</w:t>
      </w:r>
      <w:r>
        <w:t xml:space="preserve"> </w:t>
      </w:r>
      <w:r>
        <w:t xml:space="preserve">- Structural housing shortage provides long-term demand floor</w:t>
      </w:r>
      <w:r>
        <w:t xml:space="preserve"> </w:t>
      </w:r>
      <w:r>
        <w:t xml:space="preserve">- Management’s $2.9B equity stake aligns incentives</w:t>
      </w:r>
    </w:p>
    <w:p>
      <w:pPr>
        <w:pStyle w:val="BodyText"/>
      </w:pPr>
      <w:r>
        <w:rPr>
          <w:b/>
          <w:bCs/>
        </w:rPr>
        <w:t xml:space="preserve">Appropriate Investor Profile:</w:t>
      </w:r>
      <w:r>
        <w:t xml:space="preserve"> </w:t>
      </w:r>
      <w:r>
        <w:t xml:space="preserve">-</w:t>
      </w:r>
      <w:r>
        <w:t xml:space="preserve"> </w:t>
      </w:r>
      <w:r>
        <w:rPr>
          <w:b/>
          <w:bCs/>
        </w:rPr>
        <w:t xml:space="preserve">Value investors</w:t>
      </w:r>
      <w:r>
        <w:t xml:space="preserve"> </w:t>
      </w:r>
      <w:r>
        <w:t xml:space="preserve">with 2-3 year time horizon willing to ride cycle</w:t>
      </w:r>
      <w:r>
        <w:t xml:space="preserve"> </w:t>
      </w:r>
      <w:r>
        <w:t xml:space="preserve">-</w:t>
      </w:r>
      <w:r>
        <w:t xml:space="preserve"> </w:t>
      </w:r>
      <w:r>
        <w:rPr>
          <w:b/>
          <w:bCs/>
        </w:rPr>
        <w:t xml:space="preserve">Cyclical specialists</w:t>
      </w:r>
      <w:r>
        <w:t xml:space="preserve"> </w:t>
      </w:r>
      <w:r>
        <w:t xml:space="preserve">who can time entry/exit based on housing indicators</w:t>
      </w:r>
      <w:r>
        <w:t xml:space="preserve"> </w:t>
      </w:r>
      <w:r>
        <w:t xml:space="preserve">-</w:t>
      </w:r>
      <w:r>
        <w:t xml:space="preserve"> </w:t>
      </w:r>
      <w:r>
        <w:rPr>
          <w:b/>
          <w:bCs/>
        </w:rPr>
        <w:t xml:space="preserve">Dividend/income investors:</w:t>
      </w:r>
      <w:r>
        <w:t xml:space="preserve"> </w:t>
      </w:r>
      <w:r>
        <w:t xml:space="preserve">NOT appropriate (1% yield, no growth)</w:t>
      </w:r>
      <w:r>
        <w:t xml:space="preserve"> </w:t>
      </w:r>
      <w:r>
        <w:t xml:space="preserve">-</w:t>
      </w:r>
      <w:r>
        <w:t xml:space="preserve"> </w:t>
      </w:r>
      <w:r>
        <w:rPr>
          <w:b/>
          <w:bCs/>
        </w:rPr>
        <w:t xml:space="preserve">Growth investors:</w:t>
      </w:r>
      <w:r>
        <w:t xml:space="preserve"> </w:t>
      </w:r>
      <w:r>
        <w:t xml:space="preserve">NOT appropriate (low growth, cyclical, mature industry)</w:t>
      </w:r>
      <w:r>
        <w:t xml:space="preserve"> </w:t>
      </w:r>
      <w:r>
        <w:t xml:space="preserve">-</w:t>
      </w:r>
      <w:r>
        <w:t xml:space="preserve"> </w:t>
      </w:r>
      <w:r>
        <w:rPr>
          <w:b/>
          <w:bCs/>
        </w:rPr>
        <w:t xml:space="preserve">Risk-averse investors:</w:t>
      </w:r>
      <w:r>
        <w:t xml:space="preserve"> </w:t>
      </w:r>
      <w:r>
        <w:t xml:space="preserve">AVOID (high volatility, earnings uncertainty)</w:t>
      </w:r>
    </w:p>
    <w:p>
      <w:r>
        <w:pict>
          <v:rect style="width:0;height:1.5pt" o:hralign="center" o:hrstd="t" o:hr="t"/>
        </w:pict>
      </w:r>
    </w:p>
    <w:bookmarkEnd w:id="71"/>
    <w:bookmarkStart w:id="82" w:name="X2a131b0bb30e4a8aeb1b4fa8a42dd0860342589"/>
    <w:p>
      <w:pPr>
        <w:pStyle w:val="Heading3"/>
      </w:pPr>
      <w:r>
        <w:rPr>
          <w:b/>
          <w:bCs/>
        </w:rPr>
        <w:t xml:space="preserve">Critical Watch Points for Ongoing Monitoring</w:t>
      </w:r>
    </w:p>
    <w:bookmarkStart w:id="72" w:name="mortgage-rate-trajectory-monthly"/>
    <w:p>
      <w:pPr>
        <w:pStyle w:val="Heading4"/>
      </w:pPr>
      <w:r>
        <w:rPr>
          <w:b/>
          <w:bCs/>
        </w:rPr>
        <w:t xml:space="preserve">1. Mortgage Rate Trajectory (Monthly)</w:t>
      </w:r>
    </w:p>
    <w:p>
      <w:pPr>
        <w:pStyle w:val="Compact"/>
        <w:numPr>
          <w:ilvl w:val="0"/>
          <w:numId w:val="1012"/>
        </w:numPr>
      </w:pPr>
      <w:r>
        <w:rPr>
          <w:b/>
          <w:bCs/>
        </w:rPr>
        <w:t xml:space="preserve">Metric:</w:t>
      </w:r>
      <w:r>
        <w:t xml:space="preserve"> </w:t>
      </w:r>
      <w:r>
        <w:t xml:space="preserve">30-year fixed mortgage rate (Freddie Mac weekly survey)</w:t>
      </w:r>
    </w:p>
    <w:p>
      <w:pPr>
        <w:pStyle w:val="Compact"/>
        <w:numPr>
          <w:ilvl w:val="0"/>
          <w:numId w:val="1012"/>
        </w:numPr>
      </w:pPr>
      <w:r>
        <w:rPr>
          <w:b/>
          <w:bCs/>
        </w:rPr>
        <w:t xml:space="preserve">Current:</w:t>
      </w:r>
      <w:r>
        <w:t xml:space="preserve"> </w:t>
      </w:r>
      <w:r>
        <w:t xml:space="preserve">~6.5-7.0%</w:t>
      </w:r>
    </w:p>
    <w:p>
      <w:pPr>
        <w:pStyle w:val="Compact"/>
        <w:numPr>
          <w:ilvl w:val="0"/>
          <w:numId w:val="1012"/>
        </w:numPr>
      </w:pPr>
      <w:r>
        <w:rPr>
          <w:b/>
          <w:bCs/>
        </w:rPr>
        <w:t xml:space="preserve">Key Levels:</w:t>
      </w:r>
    </w:p>
    <w:p>
      <w:pPr>
        <w:pStyle w:val="Compact"/>
        <w:numPr>
          <w:ilvl w:val="1"/>
          <w:numId w:val="1013"/>
        </w:numPr>
      </w:pPr>
      <w:r>
        <w:rPr>
          <w:b/>
          <w:bCs/>
        </w:rPr>
        <w:t xml:space="preserve">&lt;6.0%:</w:t>
      </w:r>
      <w:r>
        <w:t xml:space="preserve"> </w:t>
      </w:r>
      <w:r>
        <w:t xml:space="preserve">Major positive catalyst; affordability improves, incentive pressure eases</w:t>
      </w:r>
    </w:p>
    <w:p>
      <w:pPr>
        <w:pStyle w:val="Compact"/>
        <w:numPr>
          <w:ilvl w:val="1"/>
          <w:numId w:val="1013"/>
        </w:numPr>
      </w:pPr>
      <w:r>
        <w:rPr>
          <w:b/>
          <w:bCs/>
        </w:rPr>
        <w:t xml:space="preserve">6.0-6.5%:</w:t>
      </w:r>
      <w:r>
        <w:t xml:space="preserve"> </w:t>
      </w:r>
      <w:r>
        <w:t xml:space="preserve">Neutral; current stalemate continues</w:t>
      </w:r>
    </w:p>
    <w:p>
      <w:pPr>
        <w:pStyle w:val="Compact"/>
        <w:numPr>
          <w:ilvl w:val="1"/>
          <w:numId w:val="1013"/>
        </w:numPr>
      </w:pPr>
      <w:r>
        <w:rPr>
          <w:b/>
          <w:bCs/>
        </w:rPr>
        <w:t xml:space="preserve">&gt;7.0%:</w:t>
      </w:r>
      <w:r>
        <w:t xml:space="preserve"> </w:t>
      </w:r>
      <w:r>
        <w:t xml:space="preserve">Negative; affordability crisis deepens, margin compression accelerates</w:t>
      </w:r>
    </w:p>
    <w:p>
      <w:pPr>
        <w:pStyle w:val="Compact"/>
        <w:numPr>
          <w:ilvl w:val="0"/>
          <w:numId w:val="1012"/>
        </w:numPr>
      </w:pPr>
      <w:r>
        <w:rPr>
          <w:b/>
          <w:bCs/>
        </w:rPr>
        <w:t xml:space="preserve">Where to Monitor:</w:t>
      </w:r>
      <w:r>
        <w:t xml:space="preserve"> </w:t>
      </w:r>
      <w:r>
        <w:t xml:space="preserve">Freddie Mac, Bloomberg, NAHB housing market index</w:t>
      </w:r>
    </w:p>
    <w:bookmarkEnd w:id="72"/>
    <w:bookmarkStart w:id="73" w:name="Xc6c300426ead3c1da84804b66e358f7403fc9db"/>
    <w:p>
      <w:pPr>
        <w:pStyle w:val="Heading4"/>
      </w:pPr>
      <w:r>
        <w:rPr>
          <w:b/>
          <w:bCs/>
        </w:rPr>
        <w:t xml:space="preserve">2. Lennar Quarterly Results – Margin Trends (Quarterly)</w:t>
      </w:r>
    </w:p>
    <w:p>
      <w:pPr>
        <w:pStyle w:val="Compact"/>
        <w:numPr>
          <w:ilvl w:val="0"/>
          <w:numId w:val="1014"/>
        </w:numPr>
      </w:pPr>
      <w:r>
        <w:rPr>
          <w:b/>
          <w:bCs/>
        </w:rPr>
        <w:t xml:space="preserve">Metrics:</w:t>
      </w:r>
    </w:p>
    <w:p>
      <w:pPr>
        <w:pStyle w:val="Compact"/>
        <w:numPr>
          <w:ilvl w:val="1"/>
          <w:numId w:val="1015"/>
        </w:numPr>
      </w:pPr>
      <w:r>
        <w:t xml:space="preserve">Gross margin (home sales):</w:t>
      </w:r>
      <w:r>
        <w:t xml:space="preserve"> </w:t>
      </w:r>
      <w:r>
        <w:rPr>
          <w:b/>
          <w:bCs/>
        </w:rPr>
        <w:t xml:space="preserve">Target 22-24%</w:t>
      </w:r>
      <w:r>
        <w:t xml:space="preserve"> </w:t>
      </w:r>
      <w:r>
        <w:t xml:space="preserve">(currently ~19-20%)</w:t>
      </w:r>
    </w:p>
    <w:p>
      <w:pPr>
        <w:pStyle w:val="Compact"/>
        <w:numPr>
          <w:ilvl w:val="1"/>
          <w:numId w:val="1015"/>
        </w:numPr>
      </w:pPr>
      <w:r>
        <w:t xml:space="preserve">Incentive rate as % of sales price:</w:t>
      </w:r>
      <w:r>
        <w:t xml:space="preserve"> </w:t>
      </w:r>
      <w:r>
        <w:rPr>
          <w:b/>
          <w:bCs/>
        </w:rPr>
        <w:t xml:space="preserve">Target &lt;10%</w:t>
      </w:r>
      <w:r>
        <w:t xml:space="preserve"> </w:t>
      </w:r>
      <w:r>
        <w:t xml:space="preserve">(currently 14%)</w:t>
      </w:r>
    </w:p>
    <w:p>
      <w:pPr>
        <w:pStyle w:val="Compact"/>
        <w:numPr>
          <w:ilvl w:val="1"/>
          <w:numId w:val="1015"/>
        </w:numPr>
      </w:pPr>
      <w:r>
        <w:t xml:space="preserve">Operating margin:</w:t>
      </w:r>
      <w:r>
        <w:t xml:space="preserve"> </w:t>
      </w:r>
      <w:r>
        <w:rPr>
          <w:b/>
          <w:bCs/>
        </w:rPr>
        <w:t xml:space="preserve">Target 12-15%</w:t>
      </w:r>
      <w:r>
        <w:t xml:space="preserve"> </w:t>
      </w:r>
      <w:r>
        <w:t xml:space="preserve">(currently 7.9%)</w:t>
      </w:r>
    </w:p>
    <w:p>
      <w:pPr>
        <w:pStyle w:val="Compact"/>
        <w:numPr>
          <w:ilvl w:val="1"/>
          <w:numId w:val="1015"/>
        </w:numPr>
      </w:pPr>
      <w:r>
        <w:t xml:space="preserve">Deliveries and backlog conversion</w:t>
      </w:r>
    </w:p>
    <w:p>
      <w:pPr>
        <w:pStyle w:val="Compact"/>
        <w:numPr>
          <w:ilvl w:val="0"/>
          <w:numId w:val="1014"/>
        </w:numPr>
      </w:pPr>
      <w:r>
        <w:rPr>
          <w:b/>
          <w:bCs/>
        </w:rPr>
        <w:t xml:space="preserve">Key Questions for Earnings Calls:</w:t>
      </w:r>
    </w:p>
    <w:p>
      <w:pPr>
        <w:pStyle w:val="Compact"/>
        <w:numPr>
          <w:ilvl w:val="1"/>
          <w:numId w:val="1016"/>
        </w:numPr>
      </w:pPr>
      <w:r>
        <w:t xml:space="preserve">“What percentage of closings used rate buydowns vs. other incentives?”</w:t>
      </w:r>
    </w:p>
    <w:p>
      <w:pPr>
        <w:pStyle w:val="Compact"/>
        <w:numPr>
          <w:ilvl w:val="1"/>
          <w:numId w:val="1016"/>
        </w:numPr>
      </w:pPr>
      <w:r>
        <w:t xml:space="preserve">“Are you seeing any community-level stabilization in pricing/incentives?”</w:t>
      </w:r>
    </w:p>
    <w:p>
      <w:pPr>
        <w:pStyle w:val="Compact"/>
        <w:numPr>
          <w:ilvl w:val="1"/>
          <w:numId w:val="1016"/>
        </w:numPr>
      </w:pPr>
      <w:r>
        <w:t xml:space="preserve">“What is your land option percentage vs. owned lots?”</w:t>
      </w:r>
    </w:p>
    <w:p>
      <w:pPr>
        <w:pStyle w:val="Compact"/>
        <w:numPr>
          <w:ilvl w:val="0"/>
          <w:numId w:val="1014"/>
        </w:numPr>
      </w:pPr>
      <w:r>
        <w:rPr>
          <w:b/>
          <w:bCs/>
        </w:rPr>
        <w:t xml:space="preserve">Where to Monitor:</w:t>
      </w:r>
      <w:r>
        <w:t xml:space="preserve"> </w:t>
      </w:r>
      <w:r>
        <w:t xml:space="preserve">Lennar investor relations, earnings call transcripts, 10-Q filings</w:t>
      </w:r>
    </w:p>
    <w:bookmarkEnd w:id="73"/>
    <w:bookmarkStart w:id="74" w:name="X45e45ab67fb525c8a8eef9882c68887ebed506d"/>
    <w:p>
      <w:pPr>
        <w:pStyle w:val="Heading4"/>
      </w:pPr>
      <w:r>
        <w:rPr>
          <w:b/>
          <w:bCs/>
        </w:rPr>
        <w:t xml:space="preserve">3. Competitor Earnings and Guidance (Quarterly)</w:t>
      </w:r>
    </w:p>
    <w:p>
      <w:pPr>
        <w:pStyle w:val="Compact"/>
        <w:numPr>
          <w:ilvl w:val="0"/>
          <w:numId w:val="1017"/>
        </w:numPr>
      </w:pPr>
      <w:r>
        <w:rPr>
          <w:b/>
          <w:bCs/>
        </w:rPr>
        <w:t xml:space="preserve">Peers to Track:</w:t>
      </w:r>
      <w:r>
        <w:t xml:space="preserve"> </w:t>
      </w:r>
      <w:r>
        <w:t xml:space="preserve">DHI, PHM, NVR, TOL</w:t>
      </w:r>
    </w:p>
    <w:p>
      <w:pPr>
        <w:pStyle w:val="Compact"/>
        <w:numPr>
          <w:ilvl w:val="0"/>
          <w:numId w:val="1017"/>
        </w:numPr>
      </w:pPr>
      <w:r>
        <w:rPr>
          <w:b/>
          <w:bCs/>
        </w:rPr>
        <w:t xml:space="preserve">Comparative Metrics:</w:t>
      </w:r>
    </w:p>
    <w:p>
      <w:pPr>
        <w:pStyle w:val="Compact"/>
        <w:numPr>
          <w:ilvl w:val="1"/>
          <w:numId w:val="1018"/>
        </w:numPr>
      </w:pPr>
      <w:r>
        <w:t xml:space="preserve">Gross margin trends (is Lennar losing ground?)</w:t>
      </w:r>
    </w:p>
    <w:p>
      <w:pPr>
        <w:pStyle w:val="Compact"/>
        <w:numPr>
          <w:ilvl w:val="1"/>
          <w:numId w:val="1018"/>
        </w:numPr>
      </w:pPr>
      <w:r>
        <w:t xml:space="preserve">Order trends and cancellation rates</w:t>
      </w:r>
    </w:p>
    <w:p>
      <w:pPr>
        <w:pStyle w:val="Compact"/>
        <w:numPr>
          <w:ilvl w:val="1"/>
          <w:numId w:val="1018"/>
        </w:numPr>
      </w:pPr>
      <w:r>
        <w:t xml:space="preserve">Incentive levels and pricing commentary</w:t>
      </w:r>
    </w:p>
    <w:p>
      <w:pPr>
        <w:pStyle w:val="Compact"/>
        <w:numPr>
          <w:ilvl w:val="1"/>
          <w:numId w:val="1018"/>
        </w:numPr>
      </w:pPr>
      <w:r>
        <w:t xml:space="preserve">Market share shifts by geography</w:t>
      </w:r>
    </w:p>
    <w:p>
      <w:pPr>
        <w:pStyle w:val="Compact"/>
        <w:numPr>
          <w:ilvl w:val="0"/>
          <w:numId w:val="1017"/>
        </w:numPr>
      </w:pPr>
      <w:r>
        <w:rPr>
          <w:b/>
          <w:bCs/>
        </w:rPr>
        <w:t xml:space="preserve">Red Flag:</w:t>
      </w:r>
      <w:r>
        <w:t xml:space="preserve"> </w:t>
      </w:r>
      <w:r>
        <w:t xml:space="preserve">If competitors report margin expansion while Lennar’s deteriorates → execution problem, not just macro</w:t>
      </w:r>
    </w:p>
    <w:bookmarkEnd w:id="74"/>
    <w:bookmarkStart w:id="75" w:name="housing-market-indicators-monthly"/>
    <w:p>
      <w:pPr>
        <w:pStyle w:val="Heading4"/>
      </w:pPr>
      <w:r>
        <w:rPr>
          <w:b/>
          <w:bCs/>
        </w:rPr>
        <w:t xml:space="preserve">4. Housing Market Indicators (Monthly)</w:t>
      </w:r>
    </w:p>
    <w:p>
      <w:pPr>
        <w:pStyle w:val="Compact"/>
        <w:numPr>
          <w:ilvl w:val="0"/>
          <w:numId w:val="1019"/>
        </w:numPr>
      </w:pPr>
      <w:r>
        <w:rPr>
          <w:b/>
          <w:bCs/>
        </w:rPr>
        <w:t xml:space="preserve">New Home Sales:</w:t>
      </w:r>
      <w:r>
        <w:t xml:space="preserve"> </w:t>
      </w:r>
      <w:r>
        <w:t xml:space="preserve">Census Bureau (monthly, ~20-day lag)</w:t>
      </w:r>
    </w:p>
    <w:p>
      <w:pPr>
        <w:pStyle w:val="Compact"/>
        <w:numPr>
          <w:ilvl w:val="1"/>
          <w:numId w:val="1020"/>
        </w:numPr>
      </w:pPr>
      <w:r>
        <w:t xml:space="preserve">Current: ~650-700K annual pace</w:t>
      </w:r>
    </w:p>
    <w:p>
      <w:pPr>
        <w:pStyle w:val="Compact"/>
        <w:numPr>
          <w:ilvl w:val="1"/>
          <w:numId w:val="1020"/>
        </w:numPr>
      </w:pPr>
      <w:r>
        <w:t xml:space="preserve">Watch for: Acceleration above 750K (positive) or deceleration below 600K (negative)</w:t>
      </w:r>
    </w:p>
    <w:p>
      <w:pPr>
        <w:pStyle w:val="Compact"/>
        <w:numPr>
          <w:ilvl w:val="0"/>
          <w:numId w:val="1019"/>
        </w:numPr>
      </w:pPr>
      <w:r>
        <w:rPr>
          <w:b/>
          <w:bCs/>
        </w:rPr>
        <w:t xml:space="preserve">Housing Starts and Permits:</w:t>
      </w:r>
      <w:r>
        <w:t xml:space="preserve"> </w:t>
      </w:r>
      <w:r>
        <w:t xml:space="preserve">Census Bureau (monthly)</w:t>
      </w:r>
    </w:p>
    <w:p>
      <w:pPr>
        <w:pStyle w:val="Compact"/>
        <w:numPr>
          <w:ilvl w:val="1"/>
          <w:numId w:val="1021"/>
        </w:numPr>
      </w:pPr>
      <w:r>
        <w:t xml:space="preserve">Current: ~1.4M annual pace</w:t>
      </w:r>
    </w:p>
    <w:p>
      <w:pPr>
        <w:pStyle w:val="Compact"/>
        <w:numPr>
          <w:ilvl w:val="1"/>
          <w:numId w:val="1021"/>
        </w:numPr>
      </w:pPr>
      <w:r>
        <w:t xml:space="preserve">Watch for: Trend changes (3-month moving average)</w:t>
      </w:r>
    </w:p>
    <w:p>
      <w:pPr>
        <w:pStyle w:val="Compact"/>
        <w:numPr>
          <w:ilvl w:val="0"/>
          <w:numId w:val="1019"/>
        </w:numPr>
      </w:pPr>
      <w:r>
        <w:rPr>
          <w:b/>
          <w:bCs/>
        </w:rPr>
        <w:t xml:space="preserve">Pending Home Sales Index:</w:t>
      </w:r>
      <w:r>
        <w:t xml:space="preserve"> </w:t>
      </w:r>
      <w:r>
        <w:t xml:space="preserve">NAR (monthly)</w:t>
      </w:r>
    </w:p>
    <w:p>
      <w:pPr>
        <w:pStyle w:val="Compact"/>
        <w:numPr>
          <w:ilvl w:val="1"/>
          <w:numId w:val="1022"/>
        </w:numPr>
      </w:pPr>
      <w:r>
        <w:t xml:space="preserve">Leading indicator; tracks contracts signed</w:t>
      </w:r>
    </w:p>
    <w:p>
      <w:pPr>
        <w:pStyle w:val="Compact"/>
        <w:numPr>
          <w:ilvl w:val="0"/>
          <w:numId w:val="1019"/>
        </w:numPr>
      </w:pPr>
      <w:r>
        <w:rPr>
          <w:b/>
          <w:bCs/>
        </w:rPr>
        <w:t xml:space="preserve">NAHB Housing Market Index:</w:t>
      </w:r>
      <w:r>
        <w:t xml:space="preserve"> </w:t>
      </w:r>
      <w:r>
        <w:t xml:space="preserve">Sentiment survey (monthly)</w:t>
      </w:r>
    </w:p>
    <w:p>
      <w:pPr>
        <w:pStyle w:val="Compact"/>
        <w:numPr>
          <w:ilvl w:val="1"/>
          <w:numId w:val="1023"/>
        </w:numPr>
      </w:pPr>
      <w:r>
        <w:t xml:space="preserve">Current: ~40-45 (below 50 = contraction)</w:t>
      </w:r>
    </w:p>
    <w:p>
      <w:pPr>
        <w:pStyle w:val="Compact"/>
        <w:numPr>
          <w:ilvl w:val="1"/>
          <w:numId w:val="1023"/>
        </w:numPr>
      </w:pPr>
      <w:r>
        <w:t xml:space="preserve">Watch for: Inflection above 50 (positive)</w:t>
      </w:r>
    </w:p>
    <w:bookmarkEnd w:id="75"/>
    <w:bookmarkStart w:id="76" w:name="insider-trading-activity-real-time"/>
    <w:p>
      <w:pPr>
        <w:pStyle w:val="Heading4"/>
      </w:pPr>
      <w:r>
        <w:rPr>
          <w:b/>
          <w:bCs/>
        </w:rPr>
        <w:t xml:space="preserve">5. Insider Trading Activity (Real-Time)</w:t>
      </w:r>
    </w:p>
    <w:p>
      <w:pPr>
        <w:pStyle w:val="Compact"/>
        <w:numPr>
          <w:ilvl w:val="0"/>
          <w:numId w:val="1024"/>
        </w:numPr>
      </w:pPr>
      <w:r>
        <w:rPr>
          <w:b/>
          <w:bCs/>
        </w:rPr>
        <w:t xml:space="preserve">Focus:</w:t>
      </w:r>
      <w:r>
        <w:t xml:space="preserve"> </w:t>
      </w:r>
      <w:r>
        <w:t xml:space="preserve">Stuart Miller and C-suite open-market purchases (not just compensation-driven sales)</w:t>
      </w:r>
    </w:p>
    <w:p>
      <w:pPr>
        <w:pStyle w:val="Compact"/>
        <w:numPr>
          <w:ilvl w:val="0"/>
          <w:numId w:val="1024"/>
        </w:numPr>
      </w:pPr>
      <w:r>
        <w:rPr>
          <w:b/>
          <w:bCs/>
        </w:rPr>
        <w:t xml:space="preserve">Positive Signal:</w:t>
      </w:r>
      <w:r>
        <w:t xml:space="preserve"> </w:t>
      </w:r>
      <w:r>
        <w:t xml:space="preserve">If Miller buying meaningful amounts ($5-10M+) in open market → confidence in recovery</w:t>
      </w:r>
    </w:p>
    <w:p>
      <w:pPr>
        <w:pStyle w:val="Compact"/>
        <w:numPr>
          <w:ilvl w:val="0"/>
          <w:numId w:val="1024"/>
        </w:numPr>
      </w:pPr>
      <w:r>
        <w:rPr>
          <w:b/>
          <w:bCs/>
        </w:rPr>
        <w:t xml:space="preserve">Negative Signal:</w:t>
      </w:r>
      <w:r>
        <w:t xml:space="preserve"> </w:t>
      </w:r>
      <w:r>
        <w:t xml:space="preserve">Accelerated selling by multiple executives → lack of confidence</w:t>
      </w:r>
    </w:p>
    <w:p>
      <w:pPr>
        <w:pStyle w:val="Compact"/>
        <w:numPr>
          <w:ilvl w:val="0"/>
          <w:numId w:val="1024"/>
        </w:numPr>
      </w:pPr>
      <w:r>
        <w:rPr>
          <w:b/>
          <w:bCs/>
        </w:rPr>
        <w:t xml:space="preserve">Where to Monitor:</w:t>
      </w:r>
      <w:r>
        <w:t xml:space="preserve"> </w:t>
      </w:r>
      <w:r>
        <w:t xml:space="preserve">SEC Form 4 filings, InsiderInsights, Bloomberg</w:t>
      </w:r>
    </w:p>
    <w:bookmarkEnd w:id="76"/>
    <w:bookmarkStart w:id="77" w:name="X48d757d6a13ded6010dd65c95c3b0821dfc0f41"/>
    <w:p>
      <w:pPr>
        <w:pStyle w:val="Heading4"/>
      </w:pPr>
      <w:r>
        <w:rPr>
          <w:b/>
          <w:bCs/>
        </w:rPr>
        <w:t xml:space="preserve">6. Analyst Rating Changes and Target Adjustments (Real-Time)</w:t>
      </w:r>
    </w:p>
    <w:p>
      <w:pPr>
        <w:pStyle w:val="Compact"/>
        <w:numPr>
          <w:ilvl w:val="0"/>
          <w:numId w:val="1025"/>
        </w:numPr>
      </w:pPr>
      <w:r>
        <w:rPr>
          <w:b/>
          <w:bCs/>
        </w:rPr>
        <w:t xml:space="preserve">Watch for:</w:t>
      </w:r>
    </w:p>
    <w:p>
      <w:pPr>
        <w:pStyle w:val="Compact"/>
        <w:numPr>
          <w:ilvl w:val="1"/>
          <w:numId w:val="1026"/>
        </w:numPr>
      </w:pPr>
      <w:r>
        <w:rPr>
          <w:b/>
          <w:bCs/>
        </w:rPr>
        <w:t xml:space="preserve">Upgrades by bears</w:t>
      </w:r>
      <w:r>
        <w:t xml:space="preserve"> </w:t>
      </w:r>
      <w:r>
        <w:t xml:space="preserve">(e.g., Goldman moving Neutral→Buy) → capitulation signal, potential bottom</w:t>
      </w:r>
    </w:p>
    <w:p>
      <w:pPr>
        <w:pStyle w:val="Compact"/>
        <w:numPr>
          <w:ilvl w:val="1"/>
          <w:numId w:val="1026"/>
        </w:numPr>
      </w:pPr>
      <w:r>
        <w:rPr>
          <w:b/>
          <w:bCs/>
        </w:rPr>
        <w:t xml:space="preserve">Downgrades by bulls</w:t>
      </w:r>
      <w:r>
        <w:t xml:space="preserve"> </w:t>
      </w:r>
      <w:r>
        <w:t xml:space="preserve">(e.g., JPM moving Buy→Neutral) → deterioration signal</w:t>
      </w:r>
    </w:p>
    <w:p>
      <w:pPr>
        <w:pStyle w:val="Compact"/>
        <w:numPr>
          <w:ilvl w:val="1"/>
          <w:numId w:val="1026"/>
        </w:numPr>
      </w:pPr>
      <w:r>
        <w:rPr>
          <w:b/>
          <w:bCs/>
        </w:rPr>
        <w:t xml:space="preserve">Whisper numbers vs. consensus:</w:t>
      </w:r>
      <w:r>
        <w:t xml:space="preserve"> </w:t>
      </w:r>
      <w:r>
        <w:t xml:space="preserve">If whisper EPS consistently below Street consensus → negative surprise risk</w:t>
      </w:r>
    </w:p>
    <w:p>
      <w:pPr>
        <w:pStyle w:val="Compact"/>
        <w:numPr>
          <w:ilvl w:val="0"/>
          <w:numId w:val="1025"/>
        </w:numPr>
      </w:pPr>
      <w:r>
        <w:rPr>
          <w:b/>
          <w:bCs/>
        </w:rPr>
        <w:t xml:space="preserve">Where to Monitor:</w:t>
      </w:r>
      <w:r>
        <w:t xml:space="preserve"> </w:t>
      </w:r>
      <w:r>
        <w:t xml:space="preserve">Bloomberg, StreetAccount, TheFly.com</w:t>
      </w:r>
    </w:p>
    <w:bookmarkEnd w:id="77"/>
    <w:bookmarkStart w:id="78" w:name="X7efbec61b35c97fac0c416c8ce9a507be84065d"/>
    <w:p>
      <w:pPr>
        <w:pStyle w:val="Heading4"/>
      </w:pPr>
      <w:r>
        <w:rPr>
          <w:b/>
          <w:bCs/>
        </w:rPr>
        <w:t xml:space="preserve">7. Federal Reserve Policy and Economic Data (Monthly/Quarterly)</w:t>
      </w:r>
    </w:p>
    <w:p>
      <w:pPr>
        <w:pStyle w:val="Compact"/>
        <w:numPr>
          <w:ilvl w:val="0"/>
          <w:numId w:val="1027"/>
        </w:numPr>
      </w:pPr>
      <w:r>
        <w:rPr>
          <w:b/>
          <w:bCs/>
        </w:rPr>
        <w:t xml:space="preserve">Fed Funds Rate:</w:t>
      </w:r>
      <w:r>
        <w:t xml:space="preserve"> </w:t>
      </w:r>
      <w:r>
        <w:t xml:space="preserve">Current ~4.5-5.0%; market pricing 50-75 bps cuts in 2026</w:t>
      </w:r>
    </w:p>
    <w:p>
      <w:pPr>
        <w:pStyle w:val="Compact"/>
        <w:numPr>
          <w:ilvl w:val="1"/>
          <w:numId w:val="1028"/>
        </w:numPr>
      </w:pPr>
      <w:r>
        <w:t xml:space="preserve">Watch FOMC statements, dot plots, Powell speeches for rate trajectory</w:t>
      </w:r>
    </w:p>
    <w:p>
      <w:pPr>
        <w:pStyle w:val="Compact"/>
        <w:numPr>
          <w:ilvl w:val="0"/>
          <w:numId w:val="1027"/>
        </w:numPr>
      </w:pPr>
      <w:r>
        <w:rPr>
          <w:b/>
          <w:bCs/>
        </w:rPr>
        <w:t xml:space="preserve">Employment Data:</w:t>
      </w:r>
      <w:r>
        <w:t xml:space="preserve"> </w:t>
      </w:r>
      <w:r>
        <w:t xml:space="preserve">Monthly payrolls, unemployment rate</w:t>
      </w:r>
    </w:p>
    <w:p>
      <w:pPr>
        <w:pStyle w:val="Compact"/>
        <w:numPr>
          <w:ilvl w:val="1"/>
          <w:numId w:val="1029"/>
        </w:numPr>
      </w:pPr>
      <w:r>
        <w:t xml:space="preserve">Unemployment &gt;4.5% → recession risk rising</w:t>
      </w:r>
    </w:p>
    <w:p>
      <w:pPr>
        <w:pStyle w:val="Compact"/>
        <w:numPr>
          <w:ilvl w:val="0"/>
          <w:numId w:val="1027"/>
        </w:numPr>
      </w:pPr>
      <w:r>
        <w:rPr>
          <w:b/>
          <w:bCs/>
        </w:rPr>
        <w:t xml:space="preserve">Consumer Confidence:</w:t>
      </w:r>
      <w:r>
        <w:t xml:space="preserve"> </w:t>
      </w:r>
      <w:r>
        <w:t xml:space="preserve">Conference Board, University of Michigan surveys</w:t>
      </w:r>
    </w:p>
    <w:p>
      <w:pPr>
        <w:pStyle w:val="Compact"/>
        <w:numPr>
          <w:ilvl w:val="1"/>
          <w:numId w:val="1030"/>
        </w:numPr>
      </w:pPr>
      <w:r>
        <w:t xml:space="preserve">Tracks willingness to make major purchases (homes)</w:t>
      </w:r>
    </w:p>
    <w:bookmarkEnd w:id="78"/>
    <w:bookmarkStart w:id="79" w:name="land-market-dynamics-quarterly"/>
    <w:p>
      <w:pPr>
        <w:pStyle w:val="Heading4"/>
      </w:pPr>
      <w:r>
        <w:rPr>
          <w:b/>
          <w:bCs/>
        </w:rPr>
        <w:t xml:space="preserve">8. Land Market Dynamics (Quarterly)</w:t>
      </w:r>
    </w:p>
    <w:p>
      <w:pPr>
        <w:pStyle w:val="Compact"/>
        <w:numPr>
          <w:ilvl w:val="0"/>
          <w:numId w:val="1031"/>
        </w:numPr>
      </w:pPr>
      <w:r>
        <w:rPr>
          <w:b/>
          <w:bCs/>
        </w:rPr>
        <w:t xml:space="preserve">Metrics:</w:t>
      </w:r>
    </w:p>
    <w:p>
      <w:pPr>
        <w:pStyle w:val="Compact"/>
        <w:numPr>
          <w:ilvl w:val="1"/>
          <w:numId w:val="1032"/>
        </w:numPr>
      </w:pPr>
      <w:r>
        <w:t xml:space="preserve">Lennar’s lot option percentage:</w:t>
      </w:r>
      <w:r>
        <w:t xml:space="preserve"> </w:t>
      </w:r>
      <w:r>
        <w:rPr>
          <w:b/>
          <w:bCs/>
        </w:rPr>
        <w:t xml:space="preserve">Target 50%+</w:t>
      </w:r>
      <w:r>
        <w:t xml:space="preserve"> </w:t>
      </w:r>
      <w:r>
        <w:t xml:space="preserve">(currently transitioning)</w:t>
      </w:r>
    </w:p>
    <w:p>
      <w:pPr>
        <w:pStyle w:val="Compact"/>
        <w:numPr>
          <w:ilvl w:val="1"/>
          <w:numId w:val="1032"/>
        </w:numPr>
      </w:pPr>
      <w:r>
        <w:t xml:space="preserve">Land spending as % of revenue</w:t>
      </w:r>
    </w:p>
    <w:p>
      <w:pPr>
        <w:pStyle w:val="Compact"/>
        <w:numPr>
          <w:ilvl w:val="1"/>
          <w:numId w:val="1032"/>
        </w:numPr>
      </w:pPr>
      <w:r>
        <w:t xml:space="preserve">Average lot cost per community</w:t>
      </w:r>
    </w:p>
    <w:p>
      <w:pPr>
        <w:pStyle w:val="Compact"/>
        <w:numPr>
          <w:ilvl w:val="0"/>
          <w:numId w:val="1031"/>
        </w:numPr>
      </w:pPr>
      <w:r>
        <w:rPr>
          <w:b/>
          <w:bCs/>
        </w:rPr>
        <w:t xml:space="preserve">Where to Get Data:</w:t>
      </w:r>
      <w:r>
        <w:t xml:space="preserve"> </w:t>
      </w:r>
      <w:r>
        <w:t xml:space="preserve">Quarterly earnings Q&amp;A, 10-Q disclosures, NAHB surveys</w:t>
      </w:r>
    </w:p>
    <w:p>
      <w:pPr>
        <w:pStyle w:val="Compact"/>
        <w:numPr>
          <w:ilvl w:val="0"/>
          <w:numId w:val="1031"/>
        </w:numPr>
      </w:pPr>
      <w:r>
        <w:rPr>
          <w:b/>
          <w:bCs/>
        </w:rPr>
        <w:t xml:space="preserve">Red Flag:</w:t>
      </w:r>
      <w:r>
        <w:t xml:space="preserve"> </w:t>
      </w:r>
      <w:r>
        <w:t xml:space="preserve">If land costs rising faster than home prices → margin squeeze intensifies</w:t>
      </w:r>
    </w:p>
    <w:bookmarkEnd w:id="79"/>
    <w:bookmarkStart w:id="80" w:name="X55de0b568af5d29a1504f5920b3926b8a389a28"/>
    <w:p>
      <w:pPr>
        <w:pStyle w:val="Heading4"/>
      </w:pPr>
      <w:r>
        <w:rPr>
          <w:b/>
          <w:bCs/>
        </w:rPr>
        <w:t xml:space="preserve">9. Institutional Ownership and Short Interest (Monthly)</w:t>
      </w:r>
    </w:p>
    <w:p>
      <w:pPr>
        <w:pStyle w:val="Compact"/>
        <w:numPr>
          <w:ilvl w:val="0"/>
          <w:numId w:val="1033"/>
        </w:numPr>
      </w:pPr>
      <w:r>
        <w:rPr>
          <w:b/>
          <w:bCs/>
        </w:rPr>
        <w:t xml:space="preserve">Track:</w:t>
      </w:r>
      <w:r>
        <w:t xml:space="preserve"> </w:t>
      </w:r>
      <w:r>
        <w:t xml:space="preserve">13F filings (quarterly), short interest reports (bi-monthly)</w:t>
      </w:r>
    </w:p>
    <w:p>
      <w:pPr>
        <w:pStyle w:val="Compact"/>
        <w:numPr>
          <w:ilvl w:val="0"/>
          <w:numId w:val="1033"/>
        </w:numPr>
      </w:pPr>
      <w:r>
        <w:rPr>
          <w:b/>
          <w:bCs/>
        </w:rPr>
        <w:t xml:space="preserve">Positive Signal:</w:t>
      </w:r>
      <w:r>
        <w:t xml:space="preserve"> </w:t>
      </w:r>
      <w:r>
        <w:t xml:space="preserve">Major value funds (Baupost, Fairholme) adding positions → smart money accumulating</w:t>
      </w:r>
    </w:p>
    <w:p>
      <w:pPr>
        <w:pStyle w:val="Compact"/>
        <w:numPr>
          <w:ilvl w:val="0"/>
          <w:numId w:val="1033"/>
        </w:numPr>
      </w:pPr>
      <w:r>
        <w:rPr>
          <w:b/>
          <w:bCs/>
        </w:rPr>
        <w:t xml:space="preserve">Negative Signal:</w:t>
      </w:r>
      <w:r>
        <w:t xml:space="preserve"> </w:t>
      </w:r>
      <w:r>
        <w:t xml:space="preserve">Short interest rising above 10% of float → growing bearish conviction</w:t>
      </w:r>
    </w:p>
    <w:p>
      <w:pPr>
        <w:pStyle w:val="Compact"/>
        <w:numPr>
          <w:ilvl w:val="0"/>
          <w:numId w:val="1033"/>
        </w:numPr>
      </w:pPr>
      <w:r>
        <w:rPr>
          <w:b/>
          <w:bCs/>
        </w:rPr>
        <w:t xml:space="preserve">Where to Monitor:</w:t>
      </w:r>
      <w:r>
        <w:t xml:space="preserve"> </w:t>
      </w:r>
      <w:r>
        <w:t xml:space="preserve">WhaleWisdom, Fintel, Bloomberg</w:t>
      </w:r>
    </w:p>
    <w:bookmarkEnd w:id="80"/>
    <w:bookmarkStart w:id="81" w:name="regulatory-and-climate-events-ad-hoc"/>
    <w:p>
      <w:pPr>
        <w:pStyle w:val="Heading4"/>
      </w:pPr>
      <w:r>
        <w:rPr>
          <w:b/>
          <w:bCs/>
        </w:rPr>
        <w:t xml:space="preserve">10. Regulatory and Climate Events (Ad Hoc)</w:t>
      </w:r>
    </w:p>
    <w:p>
      <w:pPr>
        <w:pStyle w:val="Compact"/>
        <w:numPr>
          <w:ilvl w:val="0"/>
          <w:numId w:val="1034"/>
        </w:numPr>
      </w:pPr>
      <w:r>
        <w:rPr>
          <w:b/>
          <w:bCs/>
        </w:rPr>
        <w:t xml:space="preserve">Watch For:</w:t>
      </w:r>
    </w:p>
    <w:p>
      <w:pPr>
        <w:pStyle w:val="Compact"/>
        <w:numPr>
          <w:ilvl w:val="1"/>
          <w:numId w:val="1035"/>
        </w:numPr>
      </w:pPr>
      <w:r>
        <w:t xml:space="preserve">Major hurricane strikes in Florida (20-25% of Lennar deliveries)</w:t>
      </w:r>
    </w:p>
    <w:p>
      <w:pPr>
        <w:pStyle w:val="Compact"/>
        <w:numPr>
          <w:ilvl w:val="1"/>
          <w:numId w:val="1035"/>
        </w:numPr>
      </w:pPr>
      <w:r>
        <w:t xml:space="preserve">California wildfire seasons impacting communities</w:t>
      </w:r>
    </w:p>
    <w:p>
      <w:pPr>
        <w:pStyle w:val="Compact"/>
        <w:numPr>
          <w:ilvl w:val="1"/>
          <w:numId w:val="1035"/>
        </w:numPr>
      </w:pPr>
      <w:r>
        <w:t xml:space="preserve">Changes in FHA/VA lending standards (affects first-time buyers)</w:t>
      </w:r>
    </w:p>
    <w:p>
      <w:pPr>
        <w:pStyle w:val="Compact"/>
        <w:numPr>
          <w:ilvl w:val="1"/>
          <w:numId w:val="1035"/>
        </w:numPr>
      </w:pPr>
      <w:r>
        <w:t xml:space="preserve">New environmental regulations (energy codes, stormwater)</w:t>
      </w:r>
    </w:p>
    <w:p>
      <w:pPr>
        <w:pStyle w:val="Compact"/>
        <w:numPr>
          <w:ilvl w:val="1"/>
          <w:numId w:val="1035"/>
        </w:numPr>
      </w:pPr>
      <w:r>
        <w:t xml:space="preserve">Zoning/affordable housing mandates in key markets</w:t>
      </w:r>
    </w:p>
    <w:p>
      <w:pPr>
        <w:pStyle w:val="Compact"/>
        <w:numPr>
          <w:ilvl w:val="0"/>
          <w:numId w:val="1034"/>
        </w:numPr>
      </w:pPr>
      <w:r>
        <w:rPr>
          <w:b/>
          <w:bCs/>
        </w:rPr>
        <w:t xml:space="preserve">Where to Monitor:</w:t>
      </w:r>
      <w:r>
        <w:t xml:space="preserve"> </w:t>
      </w:r>
      <w:r>
        <w:t xml:space="preserve">News wires, trade publications (Builder Magazine, Housing Wire), NAHB policy updates</w:t>
      </w:r>
    </w:p>
    <w:p>
      <w:r>
        <w:pict>
          <v:rect style="width:0;height:1.5pt" o:hralign="center" o:hrstd="t" o:hr="t"/>
        </w:pict>
      </w:r>
    </w:p>
    <w:bookmarkEnd w:id="81"/>
    <w:bookmarkEnd w:id="82"/>
    <w:bookmarkEnd w:id="83"/>
    <w:bookmarkStart w:id="84" w:name="final-assessment"/>
    <w:p>
      <w:pPr>
        <w:pStyle w:val="Heading2"/>
      </w:pPr>
      <w:r>
        <w:rPr>
          <w:b/>
          <w:bCs/>
        </w:rPr>
        <w:t xml:space="preserve">FINAL ASSESSMENT</w:t>
      </w:r>
    </w:p>
    <w:p>
      <w:pPr>
        <w:pStyle w:val="FirstParagraph"/>
      </w:pPr>
      <w:r>
        <w:rPr>
          <w:b/>
          <w:bCs/>
        </w:rPr>
        <w:t xml:space="preserve">Investment Recommendation: HOLD / NEUTRAL</w:t>
      </w:r>
    </w:p>
    <w:p>
      <w:pPr>
        <w:pStyle w:val="BodyText"/>
      </w:pPr>
      <w:r>
        <w:t xml:space="preserve">Lennar Corporation is a</w:t>
      </w:r>
      <w:r>
        <w:t xml:space="preserve"> </w:t>
      </w:r>
      <w:r>
        <w:rPr>
          <w:b/>
          <w:bCs/>
        </w:rPr>
        <w:t xml:space="preserve">high-quality operator in a tough environment</w:t>
      </w:r>
      <w:r>
        <w:t xml:space="preserve">. The company’s scale, integrated platform, and strategic positioning in Sunbelt growth markets provide durable competitive advantages that should drive 15-18% ROE through-cycle returns. However,</w:t>
      </w:r>
      <w:r>
        <w:t xml:space="preserve"> </w:t>
      </w:r>
      <w:r>
        <w:rPr>
          <w:b/>
          <w:bCs/>
        </w:rPr>
        <w:t xml:space="preserve">current cycle timing is highly uncertain</w:t>
      </w:r>
      <w:r>
        <w:t xml:space="preserve">: FY 2025’s 45% earnings collapse and ROIC destruction below WACC demonstrate that even the best operators cannot escape the affordability crisis gripping U.S. housing.</w:t>
      </w:r>
    </w:p>
    <w:p>
      <w:pPr>
        <w:pStyle w:val="BodyText"/>
      </w:pPr>
      <w:r>
        <w:rPr>
          <w:b/>
          <w:bCs/>
        </w:rPr>
        <w:t xml:space="preserve">The bull case—trough valuation into a structural up-cycle—is compelling IF mortgage rates fall to 6% or below within 12-18 months</w:t>
      </w:r>
      <w:r>
        <w:t xml:space="preserve">, allowing Lennar to reduce incentives and expand margins by 400-500 bps. The structural housing shortage and demographic tailwinds support this scenario, and 1.34x book value provides downside cushion.</w:t>
      </w:r>
    </w:p>
    <w:p>
      <w:pPr>
        <w:pStyle w:val="BodyText"/>
      </w:pPr>
      <w:r>
        <w:rPr>
          <w:b/>
          <w:bCs/>
        </w:rPr>
        <w:t xml:space="preserve">The bear case—value trap into prolonged margin depression—is equally plausible IF rates remain elevated</w:t>
      </w:r>
      <w:r>
        <w:t xml:space="preserve">, affordability does not improve, or recession hits. In that scenario, current</w:t>
      </w:r>
      <w:r>
        <w:t xml:space="preserve"> </w:t>
      </w:r>
      <w:r>
        <w:t xml:space="preserve">“trough”</w:t>
      </w:r>
      <w:r>
        <w:t xml:space="preserve"> </w:t>
      </w:r>
      <w:r>
        <w:t xml:space="preserve">earnings of $8/share may be the new normal, making 14.7x P/E expensive rather than cheap, and book value could be written down via land impairments.</w:t>
      </w:r>
    </w:p>
    <w:p>
      <w:pPr>
        <w:pStyle w:val="BodyText"/>
      </w:pPr>
      <w:r>
        <w:rPr>
          <w:b/>
          <w:bCs/>
        </w:rPr>
        <w:t xml:space="preserve">The base case—sideways grind with limited upside—seems most probable</w:t>
      </w:r>
      <w:r>
        <w:t xml:space="preserve"> </w:t>
      </w:r>
      <w:r>
        <w:t xml:space="preserve">given mixed macro signals: Fed likely to cut rates modestly but slowly, keeping mortgage rates in 6.0-6.5% range through 2026; demand remains tepid but avoids collapse; margins improve gradually but don’t snap back to normalized levels until 2027+.</w:t>
      </w:r>
    </w:p>
    <w:p>
      <w:pPr>
        <w:pStyle w:val="BodyText"/>
      </w:pPr>
      <w:r>
        <w:rPr>
          <w:b/>
          <w:bCs/>
        </w:rPr>
        <w:t xml:space="preserve">For most investors, current valuation is neither compelling enough to aggressively buy nor problematic enough to sell/short.</w:t>
      </w:r>
      <w:r>
        <w:t xml:space="preserve"> </w:t>
      </w:r>
      <w:r>
        <w:t xml:space="preserve">The risk/reward is roughly balanced at $117, with 25-30% upside to bull case ($150-165) offset by similar downside to bear case ($85-95), and extended sideways movement the most likely path.</w:t>
      </w:r>
    </w:p>
    <w:p>
      <w:pPr>
        <w:pStyle w:val="BodyText"/>
      </w:pPr>
      <w:r>
        <w:rPr>
          <w:b/>
          <w:bCs/>
        </w:rPr>
        <w:t xml:space="preserve">Actionable Positioning:</w:t>
      </w:r>
      <w:r>
        <w:t xml:space="preserve"> </w:t>
      </w:r>
      <w:r>
        <w:t xml:space="preserve">-</w:t>
      </w:r>
      <w:r>
        <w:t xml:space="preserve"> </w:t>
      </w:r>
      <w:r>
        <w:rPr>
          <w:b/>
          <w:bCs/>
        </w:rPr>
        <w:t xml:space="preserve">Current holders:</w:t>
      </w:r>
      <w:r>
        <w:t xml:space="preserve"> </w:t>
      </w:r>
      <w:r>
        <w:t xml:space="preserve">HOLD for now; consider trimming if stock rallies above $130 (1.5x book) before margins recover</w:t>
      </w:r>
      <w:r>
        <w:t xml:space="preserve"> </w:t>
      </w:r>
      <w:r>
        <w:t xml:space="preserve">-</w:t>
      </w:r>
      <w:r>
        <w:t xml:space="preserve"> </w:t>
      </w:r>
      <w:r>
        <w:rPr>
          <w:b/>
          <w:bCs/>
        </w:rPr>
        <w:t xml:space="preserve">Value buyers:</w:t>
      </w:r>
      <w:r>
        <w:t xml:space="preserve"> </w:t>
      </w:r>
      <w:r>
        <w:t xml:space="preserve">Consider initiating small position at $110-115 (1.25-1.3x book); add more aggressively if stock falls to $100-105 (&lt;1.2x book) or on clear margin recovery catalysts</w:t>
      </w:r>
      <w:r>
        <w:t xml:space="preserve"> </w:t>
      </w:r>
      <w:r>
        <w:t xml:space="preserve">-</w:t>
      </w:r>
      <w:r>
        <w:t xml:space="preserve"> </w:t>
      </w:r>
      <w:r>
        <w:rPr>
          <w:b/>
          <w:bCs/>
        </w:rPr>
        <w:t xml:space="preserve">Traders:</w:t>
      </w:r>
      <w:r>
        <w:t xml:space="preserve"> </w:t>
      </w:r>
      <w:r>
        <w:t xml:space="preserve">Range-bound $105-130 likely for 6-12 months; fade extremes</w:t>
      </w:r>
      <w:r>
        <w:t xml:space="preserve"> </w:t>
      </w:r>
      <w:r>
        <w:t xml:space="preserve">-</w:t>
      </w:r>
      <w:r>
        <w:t xml:space="preserve"> </w:t>
      </w:r>
      <w:r>
        <w:rPr>
          <w:b/>
          <w:bCs/>
        </w:rPr>
        <w:t xml:space="preserve">Risk-averse investors:</w:t>
      </w:r>
      <w:r>
        <w:t xml:space="preserve"> </w:t>
      </w:r>
      <w:r>
        <w:t xml:space="preserve">AVOID until margin recovery confirmed (2-3 quarters of gross margin expansion)</w:t>
      </w:r>
    </w:p>
    <w:p>
      <w:pPr>
        <w:pStyle w:val="BodyText"/>
      </w:pPr>
      <w:r>
        <w:rPr>
          <w:b/>
          <w:bCs/>
        </w:rPr>
        <w:t xml:space="preserve">The key watchpoint is simple: monitor gross margin and incentive rates quarter-by-quarter.</w:t>
      </w:r>
      <w:r>
        <w:t xml:space="preserve"> </w:t>
      </w:r>
      <w:r>
        <w:t xml:space="preserve">When Lennar reports gross margins expanding back toward 22%+ and incentives declining below 10%, that is the signal that cycle has turned and it’s time to add aggressively. Until then, patience is warranted.</w:t>
      </w:r>
    </w:p>
    <w:p>
      <w:r>
        <w:pict>
          <v:rect style="width:0;height:1.5pt" o:hralign="center" o:hrstd="t" o:hr="t"/>
        </w:pict>
      </w:r>
    </w:p>
    <w:p>
      <w:pPr>
        <w:pStyle w:val="FirstParagraph"/>
      </w:pPr>
      <w:r>
        <w:rPr>
          <w:b/>
          <w:bCs/>
        </w:rPr>
        <w:t xml:space="preserve">End of Report</w:t>
      </w:r>
    </w:p>
    <w:p>
      <w:r>
        <w:pict>
          <v:rect style="width:0;height:1.5pt" o:hralign="center" o:hrstd="t" o:hr="t"/>
        </w:pict>
      </w:r>
    </w:p>
    <w:p>
      <w:pPr>
        <w:pStyle w:val="FirstParagraph"/>
      </w:pPr>
      <w:r>
        <w:rPr>
          <w:b/>
          <w:bCs/>
        </w:rPr>
        <w:t xml:space="preserve">Sources:</w:t>
      </w:r>
    </w:p>
    <w:p>
      <w:pPr>
        <w:pStyle w:val="BodyText"/>
      </w:pPr>
      <w:r>
        <w:t xml:space="preserve">Based on comprehensive research report provided, supplemented by standard Wall Street equity research methodology and frameworks. Key data sources include:</w:t>
      </w:r>
      <w:r>
        <w:t xml:space="preserve"> </w:t>
      </w:r>
      <w:r>
        <w:t xml:space="preserve">- Lennar Corporation SEC filings (10-K, 10-Q, proxy statements)</w:t>
      </w:r>
      <w:r>
        <w:t xml:space="preserve"> </w:t>
      </w:r>
      <w:r>
        <w:t xml:space="preserve">- Company earnings releases and investor presentations</w:t>
      </w:r>
      <w:r>
        <w:t xml:space="preserve"> </w:t>
      </w:r>
      <w:r>
        <w:t xml:space="preserve">- Third-party financial data (yfinance, OpenBB, FMP)</w:t>
      </w:r>
      <w:r>
        <w:t xml:space="preserve"> </w:t>
      </w:r>
      <w:r>
        <w:t xml:space="preserve">- News aggregation and deep research (Perplexity AI, industry publications)</w:t>
      </w:r>
      <w:r>
        <w:t xml:space="preserve"> </w:t>
      </w:r>
      <w:r>
        <w:t xml:space="preserve">- Peer company filings and analyst reports</w:t>
      </w:r>
      <w:r>
        <w:t xml:space="preserve"> </w:t>
      </w:r>
      <w:r>
        <w:t xml:space="preserve">- U.S. Census Bureau (housing starts, new home sales)</w:t>
      </w:r>
      <w:r>
        <w:t xml:space="preserve"> </w:t>
      </w:r>
      <w:r>
        <w:t xml:space="preserve">- Federal Reserve and mortgage rate data</w:t>
      </w:r>
      <w:r>
        <w:t xml:space="preserve"> </w:t>
      </w:r>
      <w:r>
        <w:t xml:space="preserve">- NAHB (National Association of Home Builders) market indices</w:t>
      </w:r>
    </w:p>
    <w:p>
      <w:pPr>
        <w:pStyle w:val="BodyText"/>
      </w:pPr>
      <w:r>
        <w:rPr>
          <w:i/>
          <w:iCs/>
        </w:rPr>
        <w:t xml:space="preserve">Disclaimer: This report is for informational and educational purposes only and does not constitute investment advice. The author may or may not hold positions in securities discussed. Investors should conduct their own due diligence and consult with qualified financial advisors before making investment decisions. Past performance does not guarantee future results. All forward-looking statements involve risks and uncertainties.</w:t>
      </w:r>
    </w:p>
    <w:p>
      <w:r>
        <w:pict>
          <v:rect style="width:0;height:1.5pt" o:hralign="center" o:hrstd="t" o:hr="t"/>
        </w:pict>
      </w:r>
    </w:p>
    <w:bookmarkEnd w:id="84"/>
    <w:bookmarkStart w:id="87" w:name="investment-conclusion"/>
    <w:p>
      <w:pPr>
        <w:pStyle w:val="Heading2"/>
      </w:pPr>
      <w:r>
        <w:t xml:space="preserve">Investment Conclusion</w:t>
      </w:r>
    </w:p>
    <w:bookmarkStart w:id="85" w:name="strategic-position"/>
    <w:p>
      <w:pPr>
        <w:pStyle w:val="Heading3"/>
      </w:pPr>
      <w:r>
        <w:t xml:space="preserve">Strategic Position</w:t>
      </w:r>
    </w:p>
    <w:p>
      <w:pPr>
        <w:pStyle w:val="FirstParagraph"/>
      </w:pPr>
      <w:r>
        <w:t xml:space="preserve">Lennar Corporation operates in the Residential Construction sector with a market capitalization of $28,877,078,528.</w:t>
      </w:r>
    </w:p>
    <w:p>
      <w:pPr>
        <w:pStyle w:val="BodyText"/>
      </w:pPr>
      <w:r>
        <w:rPr>
          <w:b/>
          <w:bCs/>
        </w:rPr>
        <w:t xml:space="preserve">Technical Outlook:</w:t>
      </w:r>
    </w:p>
    <w:p>
      <w:pPr>
        <w:pStyle w:val="Compact"/>
        <w:numPr>
          <w:ilvl w:val="0"/>
          <w:numId w:val="1036"/>
        </w:numPr>
      </w:pPr>
      <w:r>
        <w:t xml:space="preserve">The stock is in a long-term downtrend, trading below its 200-day moving average</w:t>
      </w:r>
    </w:p>
    <w:p>
      <w:pPr>
        <w:pStyle w:val="Compact"/>
        <w:numPr>
          <w:ilvl w:val="0"/>
          <w:numId w:val="1036"/>
        </w:numPr>
      </w:pPr>
      <w:r>
        <w:t xml:space="preserve">Technical indicators suggest caution</w:t>
      </w:r>
    </w:p>
    <w:p>
      <w:pPr>
        <w:pStyle w:val="FirstParagraph"/>
      </w:pPr>
      <w:r>
        <w:rPr>
          <w:b/>
          <w:bCs/>
        </w:rPr>
        <w:t xml:space="preserve">Competitive Position:</w:t>
      </w:r>
      <w:r>
        <w:t xml:space="preserve"> </w:t>
      </w:r>
      <w:r>
        <w:t xml:space="preserve">- Analyzed against 10 industry peers</w:t>
      </w:r>
      <w:r>
        <w:t xml:space="preserve"> </w:t>
      </w:r>
      <w:r>
        <w:t xml:space="preserve">- Relative valuation multiples (P/E: 14.65) indicate discount positioning</w:t>
      </w:r>
    </w:p>
    <w:bookmarkEnd w:id="85"/>
    <w:bookmarkStart w:id="86" w:name="key-considerations"/>
    <w:p>
      <w:pPr>
        <w:pStyle w:val="Heading3"/>
      </w:pPr>
      <w:r>
        <w:t xml:space="preserve">Key Considerations</w:t>
      </w:r>
    </w:p>
    <w:p>
      <w:pPr>
        <w:pStyle w:val="FirstParagraph"/>
      </w:pPr>
      <w:r>
        <w:rPr>
          <w:b/>
          <w:bCs/>
        </w:rPr>
        <w:t xml:space="preserve">Strengths:</w:t>
      </w:r>
      <w:r>
        <w:t xml:space="preserve"> </w:t>
      </w:r>
      <w:r>
        <w:t xml:space="preserve">- Market position in Residential Construction</w:t>
      </w:r>
    </w:p>
    <w:p>
      <w:pPr>
        <w:pStyle w:val="BodyText"/>
      </w:pPr>
      <w:r>
        <w:rPr>
          <w:b/>
          <w:bCs/>
        </w:rPr>
        <w:t xml:space="preserve">Risks:</w:t>
      </w:r>
      <w:r>
        <w:t xml:space="preserve"> </w:t>
      </w:r>
      <w:r>
        <w:t xml:space="preserve">- Competitive pressures in Residential Construction</w:t>
      </w:r>
      <w:r>
        <w:t xml:space="preserve"> </w:t>
      </w:r>
      <w:r>
        <w:t xml:space="preserve">- Market volatility and sector-specific risks</w:t>
      </w:r>
      <w:r>
        <w:t xml:space="preserve"> </w:t>
      </w:r>
      <w:r>
        <w:t xml:space="preserve">- Execution and operational challenges</w:t>
      </w:r>
    </w:p>
    <w:p>
      <w:pPr>
        <w:pStyle w:val="BodyText"/>
      </w:pPr>
      <w:r>
        <w:rPr>
          <w:b/>
          <w:bCs/>
        </w:rPr>
        <w:t xml:space="preserve">Watch Points:</w:t>
      </w:r>
      <w:r>
        <w:t xml:space="preserve"> </w:t>
      </w:r>
      <w:r>
        <w:t xml:space="preserve">1. Quarterly earnings and guidance</w:t>
      </w:r>
      <w:r>
        <w:t xml:space="preserve"> </w:t>
      </w:r>
      <w:r>
        <w:t xml:space="preserve">2. Competitive developments and market share trends</w:t>
      </w:r>
      <w:r>
        <w:t xml:space="preserve"> </w:t>
      </w:r>
      <w:r>
        <w:t xml:space="preserve">3. Regulatory changes affecting Residential Construction</w:t>
      </w:r>
      <w:r>
        <w:t xml:space="preserve"> </w:t>
      </w:r>
      <w:r>
        <w:t xml:space="preserve">4. Management commentary and strategic direction</w:t>
      </w:r>
      <w:r>
        <w:t xml:space="preserve"> </w:t>
      </w:r>
      <w:r>
        <w:t xml:space="preserve">5. Analyst rating changes and target price revisions</w:t>
      </w:r>
    </w:p>
    <w:p>
      <w:r>
        <w:pict>
          <v:rect style="width:0;height:1.5pt" o:hralign="center" o:hrstd="t" o:hr="t"/>
        </w:pict>
      </w:r>
    </w:p>
    <w:p>
      <w:pPr>
        <w:pStyle w:val="FirstParagraph"/>
      </w:pPr>
      <w:r>
        <w:rPr>
          <w:b/>
          <w:bCs/>
        </w:rPr>
        <w:t xml:space="preserve">Report Generation Details:</w:t>
      </w:r>
    </w:p>
    <w:p>
      <w:pPr>
        <w:pStyle w:val="Compact"/>
        <w:numPr>
          <w:ilvl w:val="0"/>
          <w:numId w:val="1037"/>
        </w:numPr>
      </w:pPr>
      <w:r>
        <w:rPr>
          <w:b/>
          <w:bCs/>
        </w:rPr>
        <w:t xml:space="preserve">Technical Data:</w:t>
      </w:r>
      <w:r>
        <w:t xml:space="preserve"> </w:t>
      </w:r>
      <w:r>
        <w:t xml:space="preserve">yfinance, TA-Lib</w:t>
      </w:r>
    </w:p>
    <w:p>
      <w:pPr>
        <w:pStyle w:val="Compact"/>
        <w:numPr>
          <w:ilvl w:val="0"/>
          <w:numId w:val="1037"/>
        </w:numPr>
      </w:pPr>
      <w:r>
        <w:rPr>
          <w:b/>
          <w:bCs/>
        </w:rPr>
        <w:t xml:space="preserve">Fundamental Data:</w:t>
      </w:r>
      <w:r>
        <w:t xml:space="preserve"> </w:t>
      </w:r>
      <w:r>
        <w:t xml:space="preserve">yfinance, OpenBB (Financial Modeling Prep provider)</w:t>
      </w:r>
    </w:p>
    <w:p>
      <w:pPr>
        <w:pStyle w:val="Compact"/>
        <w:numPr>
          <w:ilvl w:val="0"/>
          <w:numId w:val="1037"/>
        </w:numPr>
      </w:pPr>
      <w:r>
        <w:rPr>
          <w:b/>
          <w:bCs/>
        </w:rPr>
        <w:t xml:space="preserve">Deep Research:</w:t>
      </w:r>
      <w:r>
        <w:t xml:space="preserve"> </w:t>
      </w:r>
      <w:r>
        <w:t xml:space="preserve">Claude Sonnet 4.5 with Extended Thinking</w:t>
      </w:r>
    </w:p>
    <w:p>
      <w:pPr>
        <w:pStyle w:val="Compact"/>
        <w:numPr>
          <w:ilvl w:val="0"/>
          <w:numId w:val="1037"/>
        </w:numPr>
      </w:pPr>
      <w:r>
        <w:rPr>
          <w:b/>
          <w:bCs/>
        </w:rPr>
        <w:t xml:space="preserve">SEC Filings:</w:t>
      </w:r>
      <w:r>
        <w:t xml:space="preserve"> </w:t>
      </w:r>
      <w:r>
        <w:t xml:space="preserve">SEC EDGAR</w:t>
      </w:r>
    </w:p>
    <w:p>
      <w:pPr>
        <w:pStyle w:val="Compact"/>
        <w:numPr>
          <w:ilvl w:val="0"/>
          <w:numId w:val="1037"/>
        </w:numPr>
      </w:pPr>
      <w:r>
        <w:rPr>
          <w:b/>
          <w:bCs/>
        </w:rPr>
        <w:t xml:space="preserve">Generated:</w:t>
      </w:r>
      <w:r>
        <w:t xml:space="preserve"> </w:t>
      </w:r>
      <w:r>
        <w:t xml:space="preserve">2026-01-09 12:26:03</w:t>
      </w:r>
    </w:p>
    <w:p>
      <w:r>
        <w:pict>
          <v:rect style="width:0;height:1.5pt" o:hralign="center" o:hrstd="t" o:hr="t"/>
        </w:pict>
      </w:r>
    </w:p>
    <w:p>
      <w:pPr>
        <w:pStyle w:val="FirstParagraph"/>
      </w:pPr>
      <w:r>
        <w:rPr>
          <w:i/>
          <w:iCs/>
        </w:rPr>
        <w:t xml:space="preserve">This report is for informational purposes only and does not constitute investment advice. Conduct your own due diligence and consult financial professionals before making investment decisions. Past performance does not guarantee future results.</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2026-01-09T17:26:03Z</dcterms:created>
  <dcterms:modified xsi:type="dcterms:W3CDTF">2026-01-09T17:26:03Z</dcterms:modified>
</cp:coreProperties>
</file>

<file path=docProps/custom.xml><?xml version="1.0" encoding="utf-8"?>
<Properties xmlns="http://schemas.openxmlformats.org/officeDocument/2006/custom-properties" xmlns:vt="http://schemas.openxmlformats.org/officeDocument/2006/docPropsVTypes"/>
</file>