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fd168c7139f6d2339108a777ab24869e3db76a"/>
    <w:p>
      <w:pPr>
        <w:pStyle w:val="Heading1"/>
      </w:pPr>
      <w:r>
        <w:t xml:space="preserve">Corrección del</w:t>
      </w:r>
      <w:r>
        <w:t xml:space="preserve"> </w:t>
      </w:r>
      <w:r>
        <w:t xml:space="preserve">“</w:t>
      </w:r>
      <w:r>
        <w:t xml:space="preserve">% del techo</w:t>
      </w:r>
      <w:r>
        <w:t xml:space="preserve">”</w:t>
      </w:r>
      <w:r>
        <w:t xml:space="preserve"> </w:t>
      </w:r>
      <w:r>
        <w:t xml:space="preserve">global — cifras definitivas para el paper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2026-08-21 ·</w:t>
      </w:r>
      <w:r>
        <w:t xml:space="preserve"> </w:t>
      </w:r>
      <w:r>
        <w:rPr>
          <w:bCs/>
          <w:b/>
        </w:rPr>
        <w:t xml:space="preserve">Sin API.</w:t>
      </w:r>
      <w:r>
        <w:t xml:space="preserve"> </w:t>
      </w:r>
      <w:r>
        <w:t xml:space="preserve">Sustituye a la afirmación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 panel alcanza el 65 % del techo</w:t>
      </w:r>
      <w:r>
        <w:rPr>
          <w:iCs/>
          <w:i/>
        </w:rPr>
        <w:t xml:space="preserve">”</w:t>
      </w:r>
      <w:r>
        <w:t xml:space="preserve"> </w:t>
      </w:r>
      <w:r>
        <w:t xml:space="preserve">que circula en</w:t>
      </w:r>
      <w:r>
        <w:t xml:space="preserve"> </w:t>
      </w:r>
      <w:r>
        <w:rPr>
          <w:rStyle w:val="VerbatimChar"/>
        </w:rPr>
        <w:t xml:space="preserve">bitacora.md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desde el 20-jul-2026.</w:t>
      </w:r>
    </w:p>
    <w:p>
      <w:r>
        <w:pict>
          <v:rect style="width:0;height:1.5pt" o:hralign="center" o:hrstd="t" o:hr="t"/>
        </w:pict>
      </w:r>
    </w:p>
    <w:bookmarkStart w:id="20" w:name="Xe9ca5bed82d1ad6a3a0e073a22c9322c1daf9ac"/>
    <w:p>
      <w:pPr>
        <w:pStyle w:val="Heading2"/>
      </w:pPr>
      <w:r>
        <w:t xml:space="preserve">La cifra antigua estaba mal por tres motivos acumulados</w:t>
      </w:r>
    </w:p>
    <w:p>
      <w:pPr>
        <w:pStyle w:val="FirstParagraph"/>
      </w:pPr>
      <w:r>
        <w:t xml:space="preserve">El 65 % salía de dividir</w:t>
      </w:r>
      <w:r>
        <w:t xml:space="preserve"> </w:t>
      </w:r>
      <w:r>
        <w:rPr>
          <w:bCs/>
          <w:b/>
        </w:rPr>
        <w:t xml:space="preserve">0,15</w:t>
      </w:r>
      <w:r>
        <w:t xml:space="preserve"> </w:t>
      </w:r>
      <w:r>
        <w:t xml:space="preserve">(Spearman medio de las escalas 0-10) entre</w:t>
      </w:r>
      <w:r>
        <w:t xml:space="preserve"> </w:t>
      </w:r>
      <w:r>
        <w:rPr>
          <w:bCs/>
          <w:b/>
        </w:rPr>
        <w:t xml:space="preserve">0,24</w:t>
      </w:r>
      <w:r>
        <w:t xml:space="preserve"> </w:t>
      </w:r>
      <w:r>
        <w:t xml:space="preserve">(techo).</w:t>
      </w:r>
      <w:r>
        <w:t xml:space="preserve"> </w:t>
      </w:r>
      <w:r>
        <w:t xml:space="preserve">Los tres errores: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Métricas distintas.</w:t>
            </w:r>
            <w:r>
              <w:t xml:space="preserve"> </w:t>
            </w:r>
            <w:r>
              <w:rPr>
                <w:rStyle w:val="VerbatimChar"/>
              </w:rPr>
              <w:t xml:space="preserve">corr_max = √R²</w:t>
            </w:r>
            <w:r>
              <w:t xml:space="preserve"> </w:t>
            </w:r>
            <w:r>
              <w:t xml:space="preserve">acota la correlación de</w:t>
            </w:r>
            <w:r>
              <w:t xml:space="preserve"> </w:t>
            </w:r>
            <w:r>
              <w:rPr>
                <w:bCs/>
                <w:b/>
              </w:rPr>
              <w:t xml:space="preserve">Pearson</w:t>
            </w:r>
            <w:r>
              <w:t xml:space="preserve">; el numerador era</w:t>
            </w:r>
            <w:r>
              <w:t xml:space="preserve"> </w:t>
            </w:r>
            <w:r>
              <w:rPr>
                <w:bCs/>
                <w:b/>
              </w:rPr>
              <w:t xml:space="preserve">Spearman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 el ratio de forma impredecible; en ítems muy asimétricos, hasta lo absurdo (367 % en el bloque de retrenchment).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Ítems circulares en el numerador.</w:t>
            </w:r>
            <w:r>
              <w:t xml:space="preserve"> </w:t>
            </w:r>
            <w:r>
              <w:t xml:space="preserve">Los 54 ítems de escala incluían</w:t>
            </w:r>
            <w:r>
              <w:t xml:space="preserve"> </w:t>
            </w:r>
            <w:r>
              <w:rPr>
                <w:bCs/>
                <w:b/>
              </w:rPr>
              <w:t xml:space="preserve">p36 (ideología, Spearman 0,83)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p38 (nacionalismo, 0,97)</w:t>
            </w:r>
            <w:r>
              <w:t xml:space="preserve">, que son</w:t>
            </w:r>
            <w:r>
              <w:t xml:space="preserve"> </w:t>
            </w:r>
            <w:r>
              <w:rPr>
                <w:bCs/>
                <w:b/>
              </w:rPr>
              <w:t xml:space="preserve">predictores inyectados en el prompt</w:t>
            </w:r>
            <w:r>
              <w:t xml:space="preserve">. Excluyéndolos, la media cae de</w:t>
            </w:r>
            <w:r>
              <w:t xml:space="preserve"> </w:t>
            </w:r>
            <w:r>
              <w:rPr>
                <w:bCs/>
                <w:b/>
              </w:rPr>
              <w:t xml:space="preserve">0,152 a 0,123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 el numerador un 24 %.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Techo mal estimado.</w:t>
            </w:r>
            <w:r>
              <w:t xml:space="preserve"> </w:t>
            </w:r>
            <w:r>
              <w:t xml:space="preserve">Bug de mapeo (</w:t>
            </w:r>
            <w:r>
              <w:rPr>
                <w:rStyle w:val="VerbatimChar"/>
              </w:rPr>
              <w:t xml:space="preserve">incidencia_mapeo_idx_real.md</w:t>
            </w:r>
            <w:r>
              <w:t xml:space="preserve">) y estimador lineal.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0,240 →</w:t>
            </w:r>
            <w:r>
              <w:t xml:space="preserve"> </w:t>
            </w:r>
            <w:r>
              <w:rPr>
                <w:bCs/>
                <w:b/>
              </w:rPr>
              <w:t xml:space="preserve">0,225</w:t>
            </w:r>
            <w:r>
              <w:t xml:space="preserve"> </w:t>
            </w:r>
            <w:r>
              <w:t xml:space="preserve">lineal →</w:t>
            </w:r>
            <w:r>
              <w:t xml:space="preserve"> </w:t>
            </w:r>
            <w:r>
              <w:rPr>
                <w:bCs/>
                <w:b/>
              </w:rPr>
              <w:t xml:space="preserve">0,271</w:t>
            </w:r>
            <w:r>
              <w:t xml:space="preserve"> </w:t>
            </w:r>
            <w:r>
              <w:t xml:space="preserve">no lineal.</w:t>
            </w:r>
          </w:p>
        </w:tc>
      </w:tr>
    </w:tbl>
    <w:p>
      <w:pPr>
        <w:pStyle w:val="BodyText"/>
      </w:pPr>
      <w:r>
        <w:t xml:space="preserve">▸ El error 2 es el más embarazoso ante un revisor: la propia bitácora dice que los ítems circulares</w:t>
      </w:r>
      <w:r>
        <w:t xml:space="preserve"> </w:t>
      </w:r>
      <w:r>
        <w:t xml:space="preserve">“</w:t>
      </w:r>
      <w:r>
        <w:t xml:space="preserve">validan el motor, no cuentan</w:t>
      </w:r>
      <w:r>
        <w:t xml:space="preserve">”</w:t>
      </w:r>
      <w:r>
        <w:t xml:space="preserve">, pero la media publicada los incluía.</w:t>
      </w:r>
    </w:p>
    <w:p>
      <w:r>
        <w:pict>
          <v:rect style="width:0;height:1.5pt" o:hralign="center" o:hrstd="t" o:hr="t"/>
        </w:pict>
      </w:r>
    </w:p>
    <w:bookmarkEnd w:id="20"/>
    <w:bookmarkStart w:id="22" w:name="cifras-corregidas"/>
    <w:p>
      <w:pPr>
        <w:pStyle w:val="Heading2"/>
      </w:pPr>
      <w:r>
        <w:t xml:space="preserve">Cifras corregidas</w:t>
      </w:r>
    </w:p>
    <w:p>
      <w:pPr>
        <w:pStyle w:val="FirstParagraph"/>
      </w:pPr>
      <w:r>
        <w:t xml:space="preserve">Todo con</w:t>
      </w:r>
      <w:r>
        <w:t xml:space="preserve"> </w:t>
      </w:r>
      <w:r>
        <w:rPr>
          <w:bCs/>
          <w:b/>
        </w:rPr>
        <w:t xml:space="preserve">Pearson</w:t>
      </w:r>
      <w:r>
        <w:t xml:space="preserve"> </w:t>
      </w:r>
      <w:r>
        <w:t xml:space="preserve">en numerador y denominador,</w:t>
      </w:r>
      <w:r>
        <w:t xml:space="preserve"> </w:t>
      </w:r>
      <w:r>
        <w:rPr>
          <w:bCs/>
          <w:b/>
        </w:rPr>
        <w:t xml:space="preserve">excluidos los ítems circulares</w:t>
      </w:r>
      <w:r>
        <w:t xml:space="preserve"> </w:t>
      </w:r>
      <w:r>
        <w:t xml:space="preserve">(p36, p38,</w:t>
      </w:r>
      <w:r>
        <w:t xml:space="preserve"> </w:t>
      </w:r>
      <w:r>
        <w:t xml:space="preserve">p40-p46), techo con</w:t>
      </w:r>
      <w:r>
        <w:t xml:space="preserve"> </w:t>
      </w:r>
      <w:r>
        <w:rPr>
          <w:bCs/>
          <w:b/>
        </w:rPr>
        <w:t xml:space="preserve">CV 5-fold repetida</w:t>
      </w:r>
      <w:r>
        <w:t xml:space="preserve"> </w:t>
      </w:r>
      <w:r>
        <w:t xml:space="preserve">y semilla por ítem.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conjunto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ítems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techo lineal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techo 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alcanzado (Pearson)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techo lineal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techo GBM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Todas las escalas + ordinales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0,271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Sólo escalas 0-10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Sólo categóricas ordinales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(referencia)</w:t>
            </w:r>
            <w:r>
              <w:t xml:space="preserve"> </w:t>
            </w:r>
            <w:r>
              <w:t xml:space="preserve">subcorpus de marketing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54 %</w:t>
            </w:r>
          </w:p>
        </w:tc>
      </w:tr>
    </w:tbl>
    <w:bookmarkStart w:id="21" w:name="cifra-de-titular-recomendada"/>
    <w:p>
      <w:pPr>
        <w:pStyle w:val="Heading3"/>
      </w:pPr>
      <w:r>
        <w:t xml:space="preserve">Cifra de titular recomendada</w:t>
      </w:r>
    </w:p>
    <w:p>
      <w:pPr>
        <w:pStyle w:val="BlockText"/>
      </w:pPr>
      <w:r>
        <w:rPr>
          <w:bCs/>
          <w:b/>
        </w:rPr>
        <w:t xml:space="preserve">El panel alcanza aproximadamente la mitad del techo de información: 0,137 de 0,271 (51 %).</w:t>
      </w:r>
    </w:p>
    <w:p>
      <w:pPr>
        <w:pStyle w:val="FirstParagraph"/>
      </w:pPr>
      <w:r>
        <w:t xml:space="preserve">Es la más defendible: cubre los 100 ítems de escala y ordinales, usa la misma métrica arriba y</w:t>
      </w:r>
      <w:r>
        <w:t xml:space="preserve"> </w:t>
      </w:r>
      <w:r>
        <w:t xml:space="preserve">abajo, excluye la circularidad y contrasta contra el techo</w:t>
      </w:r>
      <w:r>
        <w:t xml:space="preserve"> </w:t>
      </w:r>
      <w:r>
        <w:rPr>
          <w:bCs/>
          <w:b/>
        </w:rPr>
        <w:t xml:space="preserve">no lineal</w:t>
      </w:r>
      <w:r>
        <w:t xml:space="preserve">, que es el más exigente</w:t>
      </w:r>
      <w:r>
        <w:t xml:space="preserve"> </w:t>
      </w:r>
      <w:r>
        <w:t xml:space="preserve">para nuestra propia tesis.</w:t>
      </w:r>
    </w:p>
    <w:p>
      <w:pPr>
        <w:pStyle w:val="BodyText"/>
      </w:pPr>
      <w:r>
        <w:t xml:space="preserve">▸</w:t>
      </w:r>
      <w:r>
        <w:t xml:space="preserve"> </w:t>
      </w:r>
      <w:r>
        <w:rPr>
          <w:bCs/>
          <w:b/>
        </w:rPr>
        <w:t xml:space="preserve">Ojo con el mensaje.</w:t>
      </w:r>
      <w:r>
        <w:t xml:space="preserve"> </w:t>
      </w:r>
      <w:r>
        <w:t xml:space="preserve">El 65 % antiguo se usaba para decir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 pipeline no está roto, choca</w:t>
      </w:r>
      <w:r>
        <w:rPr>
          <w:iCs/>
          <w:i/>
        </w:rPr>
        <w:t xml:space="preserve"> </w:t>
      </w:r>
      <w:r>
        <w:rPr>
          <w:iCs/>
          <w:i/>
        </w:rPr>
        <w:t xml:space="preserve">contra el límite</w:t>
      </w:r>
      <w:r>
        <w:rPr>
          <w:iCs/>
          <w:i/>
        </w:rPr>
        <w:t xml:space="preserve">”</w:t>
      </w:r>
      <w:r>
        <w:t xml:space="preserve">. Ese argumento</w:t>
      </w:r>
      <w:r>
        <w:t xml:space="preserve"> </w:t>
      </w:r>
      <w:r>
        <w:rPr>
          <w:bCs/>
          <w:b/>
        </w:rPr>
        <w:t xml:space="preserve">se mantiene y hasta se refuerza</w:t>
      </w:r>
      <w:r>
        <w:t xml:space="preserve">: con el techo en 0,27 y lo</w:t>
      </w:r>
      <w:r>
        <w:t xml:space="preserve"> </w:t>
      </w:r>
      <w:r>
        <w:t xml:space="preserve">alcanzado en 0,14, sigue siendo cierto que aunque el panel fuera perfecto el margen sería mínimo,</w:t>
      </w:r>
      <w:r>
        <w:t xml:space="preserve"> </w:t>
      </w:r>
      <w:r>
        <w:t xml:space="preserve">porque el techo mismo es bajísimo. Lo que cambia es que ya no podemos decir que el panel</w:t>
      </w:r>
      <w:r>
        <w:t xml:space="preserve"> </w:t>
      </w:r>
      <w:r>
        <w:t xml:space="preserve">“</w:t>
      </w:r>
      <w:r>
        <w:t xml:space="preserve">casi</w:t>
      </w:r>
      <w:r>
        <w:t xml:space="preserve"> </w:t>
      </w:r>
      <w:r>
        <w:t xml:space="preserve">agota</w:t>
      </w:r>
      <w:r>
        <w:t xml:space="preserve">”</w:t>
      </w:r>
      <w:r>
        <w:t xml:space="preserve"> </w:t>
      </w:r>
      <w:r>
        <w:t xml:space="preserve">el techo: le queda la mitad, y esa mitad es justo lo que documenta la Proposición 2</w:t>
      </w:r>
      <w:r>
        <w:t xml:space="preserve"> </w:t>
      </w:r>
      <w:r>
        <w:t xml:space="preserve">(colapso de varianza).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cisión-qué-techo-reporta-el-paper"/>
    <w:p>
      <w:pPr>
        <w:pStyle w:val="Heading2"/>
      </w:pPr>
      <w:r>
        <w:t xml:space="preserve">Decisión: ¿qué techo reporta el paper?</w:t>
      </w:r>
    </w:p>
    <w:p>
      <w:pPr>
        <w:pStyle w:val="FirstParagraph"/>
      </w:pPr>
      <w:r>
        <w:rPr>
          <w:bCs/>
          <w:b/>
        </w:rPr>
        <w:t xml:space="preserve">Recomendación: los dos, con el GBM como cota operativa.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lineal</w:t>
      </w:r>
      <w:r>
        <w:t xml:space="preserve"> </w:t>
      </w:r>
      <w:r>
        <w:t xml:space="preserve">es la referencia conservadora y el que un lector puede replicar con una regresión</w:t>
      </w:r>
      <w:r>
        <w:t xml:space="preserve"> </w:t>
      </w:r>
      <w:r>
        <w:t xml:space="preserve">en cualquier paquete estadístico. Es lo que hace transportable el diagnóstico.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GBM</w:t>
      </w:r>
      <w:r>
        <w:t xml:space="preserve"> </w:t>
      </w:r>
      <w:r>
        <w:t xml:space="preserve">es el que cierra la objeción</w:t>
      </w:r>
      <w:r>
        <w:t xml:space="preserve"> </w:t>
      </w:r>
      <w:r>
        <w:t xml:space="preserve">“</w:t>
      </w:r>
      <w:r>
        <w:t xml:space="preserve">vuestro techo infraestima porque la relación no es</w:t>
      </w:r>
      <w:r>
        <w:t xml:space="preserve"> </w:t>
      </w:r>
      <w:r>
        <w:t xml:space="preserve">lineal</w:t>
      </w:r>
      <w:r>
        <w:t xml:space="preserve">”</w:t>
      </w:r>
      <w:r>
        <w:t xml:space="preserve">, que un revisor de IJRM planteará. Y es</w:t>
      </w:r>
      <w:r>
        <w:t xml:space="preserve"> </w:t>
      </w:r>
      <w:r>
        <w:rPr>
          <w:bCs/>
          <w:b/>
        </w:rPr>
        <w:t xml:space="preserve">más alto</w:t>
      </w:r>
      <w:r>
        <w:t xml:space="preserve">, es decir, más exigente con</w:t>
      </w:r>
      <w:r>
        <w:t xml:space="preserve"> </w:t>
      </w:r>
      <w:r>
        <w:t xml:space="preserve">nosotros: reportar sólo el lineal sería quedarnos con el número que nos favorece.</w:t>
      </w:r>
    </w:p>
    <w:p>
      <w:pPr>
        <w:pStyle w:val="FirstParagraph"/>
      </w:pPr>
      <w:r>
        <w:t xml:space="preserve">Diferencia global: 0,225 vs 0,271. Por bloque, el GBM sube el techo sobre todo en satisfacción de</w:t>
      </w:r>
      <w:r>
        <w:t xml:space="preserve"> </w:t>
      </w:r>
      <w:r>
        <w:t xml:space="preserve">servicio (0,228 → 0,254) y confianza institucional (0,326 → 0,351 en marca, 0,354 → 0,399 en</w:t>
      </w:r>
      <w:r>
        <w:t xml:space="preserve"> </w:t>
      </w:r>
      <w:r>
        <w:t xml:space="preserve">política), y lo baja ligeramente en decisión de viaje (0,175 → 0,137, donde n es pequeño y el GBM</w:t>
      </w:r>
      <w:r>
        <w:t xml:space="preserve"> </w:t>
      </w:r>
      <w:r>
        <w:t xml:space="preserve">sobreajusta menos que el ridge regularizado).</w:t>
      </w:r>
    </w:p>
    <w:p>
      <w:pPr>
        <w:pStyle w:val="BodyText"/>
      </w:pPr>
      <w:r>
        <w:t xml:space="preserve">▸ Redacción propuesta para el paper: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report both a regularised linear and a gradient boosting</w:t>
      </w:r>
      <w:r>
        <w:rPr>
          <w:iCs/>
          <w:i/>
        </w:rPr>
        <w:t xml:space="preserve"> </w:t>
      </w:r>
      <w:r>
        <w:rPr>
          <w:iCs/>
          <w:i/>
        </w:rPr>
        <w:t xml:space="preserve">estimate of the ceiling and treat the larger as the operative bound.</w:t>
      </w:r>
      <w:r>
        <w:rPr>
          <w:iCs/>
          <w:i/>
        </w:rPr>
        <w:t xml:space="preserve">”</w:t>
      </w:r>
      <w:r>
        <w:t xml:space="preserve"> </w:t>
      </w:r>
      <w:r>
        <w:t xml:space="preserve">Ya está en</w:t>
      </w:r>
      <w:r>
        <w:t xml:space="preserve"> </w:t>
      </w:r>
      <w:r>
        <w:rPr>
          <w:rStyle w:val="VerbatimChar"/>
        </w:rPr>
        <w:t xml:space="preserve">seccion3_marco_teorico.md</w:t>
      </w:r>
      <w:r>
        <w:t xml:space="preserve"> </w:t>
      </w:r>
      <w:r>
        <w:t xml:space="preserve">§3.2.</w:t>
      </w:r>
    </w:p>
    <w:p>
      <w:r>
        <w:pict>
          <v:rect style="width:0;height:1.5pt" o:hralign="center" o:hrstd="t" o:hr="t"/>
        </w:pict>
      </w:r>
    </w:p>
    <w:bookmarkEnd w:id="23"/>
    <w:bookmarkStart w:id="24" w:name="qué-hay-que-corregir-en-los-documentos"/>
    <w:p>
      <w:pPr>
        <w:pStyle w:val="Heading2"/>
      </w:pPr>
      <w:r>
        <w:t xml:space="preserve">Qué hay que corregir en los documentos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decir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  <w:r>
              <w:t xml:space="preserve">, estado del 20-jul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panel alcanza ~65% del techo (0,15 de 0,24)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panel alcanza ~51 % del techo (0,137 de 0,271)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bitacora.md</w:t>
            </w:r>
            <w:r>
              <w:t xml:space="preserve">, 12ª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ídem, con nota de remisión a este fichero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paper/esquema_paper_IJRM.md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panel alcanza ~65% del techo (0,15 de 0,24)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piloto_ppi/acuerdo_individual.md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Escalas 0-10 (54): Spearman medio 0.15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que 2 de los 54 son circulares y que sin ellos es 0,123</w:t>
            </w:r>
          </w:p>
        </w:tc>
      </w:tr>
    </w:tbl>
    <w:p>
      <w:pPr>
        <w:pStyle w:val="BodyText"/>
      </w:pPr>
      <w:r>
        <w:t xml:space="preserve">▸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hay que corregir el kappa ponderado de ordinales (0,100): no cambia al excluir circulares.</w:t>
      </w:r>
    </w:p>
    <w:p>
      <w:r>
        <w:pict>
          <v:rect style="width:0;height:1.5pt" o:hralign="center" o:hrstd="t" o:hr="t"/>
        </w:pict>
      </w:r>
    </w:p>
    <w:bookmarkEnd w:id="24"/>
    <w:bookmarkStart w:id="25" w:name="reproducibilidad"/>
    <w:p>
      <w:pPr>
        <w:pStyle w:val="Heading2"/>
      </w:pPr>
      <w:r>
        <w:t xml:space="preserve">Reproducibilidad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piloto_ppi/techo_v2.py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 lineal con semilla por ítem y CV repetida 20×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paper/techo_gbm_global.py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 no lineal sobre las 100 escalas + ordinales;</w:t>
            </w:r>
            <w:r>
              <w:t xml:space="preserve"> </w:t>
            </w:r>
            <w:r>
              <w:rPr>
                <w:bCs/>
                <w:b/>
              </w:rPr>
              <w:t xml:space="preserve">reanudable</w:t>
            </w:r>
            <w:r>
              <w:t xml:space="preserve"> </w:t>
            </w:r>
            <w:r>
              <w:t xml:space="preserve">por tramos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paper/pearson_alcanzado.py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panel↔real con la codificación del techo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techo_gbm_global.py</w:t>
      </w:r>
      <w:r>
        <w:t xml:space="preserve"> </w:t>
      </w:r>
      <w:r>
        <w:t xml:space="preserve">guarda cada ítem según lo calcula y se puede relanzar tantas veces como haga</w:t>
      </w:r>
      <w:r>
        <w:t xml:space="preserve"> </w:t>
      </w:r>
      <w:r>
        <w:t xml:space="preserve">falta: continúa donde lo dejó. Se hizo así porque el cálculo completo excede el tiempo de una</w:t>
      </w:r>
      <w:r>
        <w:t xml:space="preserve"> </w:t>
      </w:r>
      <w:r>
        <w:t xml:space="preserve">sesión de sandbox.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2026-08-21T21:03:25Z</dcterms:created>
  <dcterms:modified xsi:type="dcterms:W3CDTF">2026-08-21T21:03:25Z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