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4c803eb37dbbbcfe4b98361042ad11dceb5eb1a"/>
    <w:p>
      <w:pPr>
        <w:pStyle w:val="Heading1"/>
      </w:pPr>
      <w:r>
        <w:t xml:space="preserve">Incidencia — bug de mapeo en</w:t>
      </w:r>
      <w:r>
        <w:t xml:space="preserve"> </w:t>
      </w:r>
      <w:r>
        <w:rPr>
          <w:rStyle w:val="VerbatimChar"/>
        </w:rPr>
        <w:t xml:space="preserve">_idx_real</w:t>
      </w:r>
      <w:r>
        <w:t xml:space="preserve"> </w:t>
      </w:r>
      <w:r>
        <w:t xml:space="preserve">y su efecto sobre el techo predictivo</w:t>
      </w:r>
    </w:p>
    <w:p>
      <w:pPr>
        <w:pStyle w:val="FirstParagraph"/>
      </w:pPr>
      <w:r>
        <w:rPr>
          <w:bCs/>
          <w:b/>
        </w:rPr>
        <w:t xml:space="preserve">Detectado:</w:t>
      </w:r>
      <w:r>
        <w:t xml:space="preserve"> </w:t>
      </w:r>
      <w:r>
        <w:t xml:space="preserve">2026-08-21, al depurar el</w:t>
      </w:r>
      <w:r>
        <w:t xml:space="preserve"> </w:t>
      </w:r>
      <w:r>
        <w:rPr>
          <w:rStyle w:val="VerbatimChar"/>
        </w:rPr>
        <w:t xml:space="preserve">R² = nan</w:t>
      </w:r>
      <w:r>
        <w:t xml:space="preserve"> </w:t>
      </w:r>
      <w:r>
        <w:t xml:space="preserve">de los 13 ítems de p6.</w:t>
      </w:r>
      <w:r>
        <w:t xml:space="preserve"> </w:t>
      </w:r>
      <w:r>
        <w:rPr>
          <w:bCs/>
          <w:b/>
        </w:rPr>
        <w:t xml:space="preserve">Alcance:</w:t>
      </w:r>
      <w:r>
        <w:t xml:space="preserve"> </w:t>
      </w:r>
      <w:r>
        <w:rPr>
          <w:rStyle w:val="VerbatimChar"/>
        </w:rPr>
        <w:t xml:space="preserve">piloto_ppi/techo_predictivo.md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.</w:t>
      </w:r>
      <w:r>
        <w:t xml:space="preserve"> </w:t>
      </w:r>
      <w:r>
        <w:rPr>
          <w:bCs/>
          <w:b/>
        </w:rPr>
        <w:t xml:space="preserve">Nada más.</w:t>
      </w:r>
      <w:r>
        <w:t xml:space="preserve"> </w:t>
      </w:r>
      <w:r>
        <w:rPr>
          <w:bCs/>
          <w:b/>
        </w:rPr>
        <w:t xml:space="preserve">Estado:</w:t>
      </w:r>
      <w:r>
        <w:t xml:space="preserve"> </w:t>
      </w:r>
      <w:r>
        <w:t xml:space="preserve">corregido, con contraste antes/después.</w:t>
      </w:r>
    </w:p>
    <w:p>
      <w:r>
        <w:pict>
          <v:rect style="width:0;height:1.5pt" o:hralign="center" o:hrstd="t" o:hr="t"/>
        </w:pict>
      </w:r>
    </w:p>
    <w:bookmarkStart w:id="20" w:name="qué-pasaba"/>
    <w:p>
      <w:pPr>
        <w:pStyle w:val="Heading2"/>
      </w:pPr>
      <w:r>
        <w:t xml:space="preserve">Qué pasaba</w:t>
      </w:r>
    </w:p>
    <w:p>
      <w:pPr>
        <w:pStyle w:val="FirstParagraph"/>
      </w:pPr>
      <w:r>
        <w:rPr>
          <w:rStyle w:val="VerbatimChar"/>
        </w:rPr>
        <w:t xml:space="preserve">true_ppi_full._idx_real()</w:t>
      </w:r>
      <w:r>
        <w:t xml:space="preserve"> </w:t>
      </w:r>
      <w:r>
        <w:t xml:space="preserve">traduce la</w:t>
      </w:r>
      <w:r>
        <w:t xml:space="preserve"> </w:t>
      </w:r>
      <w:r>
        <w:rPr>
          <w:bCs/>
          <w:b/>
        </w:rPr>
        <w:t xml:space="preserve">etiqueta de valor del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.sav</w:t>
      </w:r>
      <w:r>
        <w:t xml:space="preserve"> </w:t>
      </w:r>
      <w:r>
        <w:t xml:space="preserve">al</w:t>
      </w:r>
      <w:r>
        <w:t xml:space="preserve"> </w:t>
      </w:r>
      <w:r>
        <w:rPr>
          <w:bCs/>
          <w:b/>
        </w:rPr>
        <w:t xml:space="preserve">índice de opción de la</w:t>
      </w:r>
      <w:r>
        <w:rPr>
          <w:bCs/>
          <w:b/>
        </w:rPr>
        <w:t xml:space="preserve"> </w:t>
      </w:r>
      <w:r>
        <w:rPr>
          <w:bCs/>
          <w:b/>
        </w:rPr>
        <w:t xml:space="preserve">plantilla</w:t>
      </w:r>
      <w:r>
        <w:t xml:space="preserve">. Lo hacía aceptando cualquier contención de subcadena: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nm(op)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nm(lab)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nm(lab)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nm(op)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nm(op)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nm(lab):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</w:t>
      </w:r>
    </w:p>
    <w:p>
      <w:pPr>
        <w:pStyle w:val="FirstParagraph"/>
      </w:pPr>
      <w:r>
        <w:t xml:space="preserve">Con las opciones de p6 esto es catastrófico: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Etiqueta del</w:t>
            </w:r>
            <w:r>
              <w:t xml:space="preserve"> </w:t>
            </w:r>
            <w:r>
              <w:rPr>
                <w:rStyle w:val="VerbatimChar"/>
              </w:rPr>
              <w:t xml:space="preserve">.sav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Iba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Debía ir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he hecho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 he hecho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 he hecho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he pensado hacer, pero no lo he hecho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Lo he hecho</w:t>
            </w:r>
            <w:r>
              <w:t xml:space="preserve"> </w:t>
            </w: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 he pensado hacer…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lo he hecho, ni lo he pensado hacer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Lo he hecho</w:t>
            </w:r>
            <w:r>
              <w:t xml:space="preserve"> </w:t>
            </w: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 lo he hecho…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Prefiero no contestar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Prefiero no contestar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"lo he hecho"</w:t>
      </w:r>
      <w:r>
        <w:t xml:space="preserve"> </w:t>
      </w:r>
      <w:r>
        <w:t xml:space="preserve">es subcadena de las otras dos etiquetas, así que</w:t>
      </w:r>
      <w:r>
        <w:t xml:space="preserve"> </w:t>
      </w:r>
      <w:r>
        <w:rPr>
          <w:bCs/>
          <w:b/>
        </w:rPr>
        <w:t xml:space="preserve">los códigos 1, 2 y 3 colapsaban</w:t>
      </w:r>
      <w:r>
        <w:rPr>
          <w:bCs/>
          <w:b/>
        </w:rPr>
        <w:t xml:space="preserve"> </w:t>
      </w:r>
      <w:r>
        <w:rPr>
          <w:bCs/>
          <w:b/>
        </w:rPr>
        <w:t xml:space="preserve">en la misma categoría</w:t>
      </w:r>
      <w:r>
        <w:t xml:space="preserve">. Tras eliminar el NS/NC quedaba un vector constante →</w:t>
      </w:r>
      <w:r>
        <w:t xml:space="preserve"> </w:t>
      </w:r>
      <w:r>
        <w:rPr>
          <w:rStyle w:val="VerbatimChar"/>
        </w:rPr>
        <w:t xml:space="preserve">y.std() ==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r2_oos</w:t>
      </w:r>
      <w:r>
        <w:t xml:space="preserve"> </w:t>
      </w:r>
      <w:r>
        <w:t xml:space="preserve">devolvía</w:t>
      </w:r>
      <w:r>
        <w:t xml:space="preserve"> </w:t>
      </w:r>
      <w:r>
        <w:rPr>
          <w:rStyle w:val="VerbatimChar"/>
        </w:rPr>
        <w:t xml:space="preserve">nan</w:t>
      </w:r>
      <w:r>
        <w:t xml:space="preserve">. El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no era el problema: era el</w:t>
      </w:r>
      <w:r>
        <w:t xml:space="preserve"> </w:t>
      </w:r>
      <w:r>
        <w:rPr>
          <w:bCs/>
          <w:b/>
        </w:rPr>
        <w:t xml:space="preserve">síntoma</w:t>
      </w:r>
      <w:r>
        <w:t xml:space="preserve">.</w:t>
      </w:r>
    </w:p>
    <w:p>
      <w:pPr>
        <w:pStyle w:val="BodyText"/>
      </w:pPr>
      <w:r>
        <w:t xml:space="preserve">El mismo patrón afectaba a: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p2</w:t>
      </w:r>
      <w:r>
        <w:t xml:space="preserve"> </w:t>
      </w:r>
      <w:r>
        <w:t xml:space="preserve">(</w:t>
      </w:r>
      <w:r>
        <w:rPr>
          <w:rStyle w:val="VerbatimChar"/>
        </w:rPr>
        <w:t xml:space="preserve">Buena</w:t>
      </w:r>
      <w:r>
        <w:t xml:space="preserve"> </w:t>
      </w:r>
      <w:r>
        <w:t xml:space="preserve">⊂</w:t>
      </w:r>
      <w:r>
        <w:t xml:space="preserve"> </w:t>
      </w:r>
      <w:r>
        <w:rPr>
          <w:rStyle w:val="VerbatimChar"/>
        </w:rPr>
        <w:t xml:space="preserve">Muy buena</w:t>
      </w:r>
      <w:r>
        <w:t xml:space="preserve">,</w:t>
      </w:r>
      <w:r>
        <w:t xml:space="preserve"> </w:t>
      </w:r>
      <w:r>
        <w:rPr>
          <w:rStyle w:val="VerbatimChar"/>
        </w:rPr>
        <w:t xml:space="preserve">Mala</w:t>
      </w:r>
      <w:r>
        <w:t xml:space="preserve"> </w:t>
      </w:r>
      <w:r>
        <w:t xml:space="preserve">⊂</w:t>
      </w:r>
      <w:r>
        <w:t xml:space="preserve"> </w:t>
      </w:r>
      <w:r>
        <w:rPr>
          <w:rStyle w:val="VerbatimChar"/>
        </w:rPr>
        <w:t xml:space="preserve">Muy mala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p18</w:t>
      </w:r>
      <w:r>
        <w:t xml:space="preserve"> </w:t>
      </w:r>
      <w:r>
        <w:t xml:space="preserve">(ídem)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p30_1 … p30_14</w:t>
      </w:r>
      <w:r>
        <w:t xml:space="preserve"> </w:t>
      </w:r>
      <w:r>
        <w:t xml:space="preserve">(</w:t>
      </w:r>
      <w:r>
        <w:rPr>
          <w:rStyle w:val="VerbatimChar"/>
        </w:rPr>
        <w:t xml:space="preserve">Aliado</w:t>
      </w:r>
      <w:r>
        <w:t xml:space="preserve"> </w:t>
      </w:r>
      <w:r>
        <w:t xml:space="preserve">⊂</w:t>
      </w:r>
      <w:r>
        <w:t xml:space="preserve"> </w:t>
      </w:r>
      <w:r>
        <w:rPr>
          <w:rStyle w:val="VerbatimChar"/>
        </w:rPr>
        <w:t xml:space="preserve">Ni aliado ni enemigo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29 de las 89 preguntas categóricas con variable asignada (33 %).</w:t>
      </w:r>
    </w:p>
    <w:p>
      <w:r>
        <w:pict>
          <v:rect style="width:0;height:1.5pt" o:hralign="center" o:hrstd="t" o:hr="t"/>
        </w:pict>
      </w:r>
    </w:p>
    <w:bookmarkEnd w:id="20"/>
    <w:bookmarkStart w:id="21" w:name="Xedf218305ab96479173ce87c80326aeb3a5b0d2"/>
    <w:p>
      <w:pPr>
        <w:pStyle w:val="Heading2"/>
      </w:pPr>
      <w:r>
        <w:t xml:space="preserve">Qué NO estaba afectado (verificado, no supuesto)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acuerdo_individual.py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arrays_pregunta()</w:t>
      </w:r>
      <w:r>
        <w:t xml:space="preserve">, que empareja por</w:t>
      </w:r>
      <w:r>
        <w:t xml:space="preserve"> </w:t>
      </w:r>
      <w:r>
        <w:rPr>
          <w:bCs/>
          <w:b/>
        </w:rPr>
        <w:t xml:space="preserve">igualdad exacta</w:t>
      </w:r>
      <w:r>
        <w:t xml:space="preserve"> </w:t>
      </w:r>
      <w:r>
        <w:t xml:space="preserve">sobre</w:t>
      </w:r>
      <w:r>
        <w:t xml:space="preserve"> </w:t>
      </w:r>
      <w:r>
        <w:t xml:space="preserve">texto normalizado, no por contención. Se reejecutó y</w:t>
      </w:r>
      <w:r>
        <w:t xml:space="preserve"> </w:t>
      </w:r>
      <w:r>
        <w:rPr>
          <w:bCs/>
          <w:b/>
        </w:rPr>
        <w:t xml:space="preserve">reproduce exactamente</w:t>
      </w:r>
      <w:r>
        <w:t xml:space="preserve"> </w:t>
      </w:r>
      <w:r>
        <w:t xml:space="preserve">los valores</w:t>
      </w:r>
      <w:r>
        <w:t xml:space="preserve"> </w:t>
      </w:r>
      <w:r>
        <w:t xml:space="preserve">publicados (p6_4 83,62 / 87,03 · p6_9 91,41 / 92,44 · p14 65,67 / 71,00 · p15 16,28 / 43,02), con</w:t>
      </w:r>
      <w:r>
        <w:t xml:space="preserve"> </w:t>
      </w:r>
      <w:r>
        <w:t xml:space="preserve">n efectivo de 285-298 sobre 300 en los ítems de p6.</w:t>
      </w:r>
      <w:r>
        <w:t xml:space="preserve"> </w:t>
      </w:r>
      <w:r>
        <w:rPr>
          <w:bCs/>
          <w:b/>
        </w:rPr>
        <w:t xml:space="preserve">Los resultados de acuerdo individual son</w:t>
      </w:r>
      <w:r>
        <w:rPr>
          <w:bCs/>
          <w:b/>
        </w:rPr>
        <w:t xml:space="preserve"> </w:t>
      </w:r>
      <w:r>
        <w:rPr>
          <w:bCs/>
          <w:b/>
        </w:rPr>
        <w:t xml:space="preserve">correctos.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true_ppi_full.py</w:t>
      </w:r>
      <w:r>
        <w:rPr>
          <w:bCs/>
          <w:b/>
        </w:rPr>
        <w:t xml:space="preserve"> </w:t>
      </w:r>
      <w:r>
        <w:rPr>
          <w:bCs/>
          <w:b/>
        </w:rPr>
        <w:t xml:space="preserve">en producción</w:t>
      </w:r>
      <w:r>
        <w:t xml:space="preserve">:</w:t>
      </w:r>
      <w:r>
        <w:t xml:space="preserve"> </w:t>
      </w:r>
      <w:r>
        <w:rPr>
          <w:rStyle w:val="VerbatimChar"/>
        </w:rPr>
        <w:t xml:space="preserve">_idx_real</w:t>
      </w:r>
      <w:r>
        <w:t xml:space="preserve"> </w:t>
      </w:r>
      <w:r>
        <w:t xml:space="preserve">solo se invoca desde</w:t>
      </w:r>
      <w:r>
        <w:t xml:space="preserve"> </w:t>
      </w:r>
      <w:r>
        <w:rPr>
          <w:rStyle w:val="VerbatimChar"/>
        </w:rPr>
        <w:t xml:space="preserve">cargar_predicciones(simular=…)</w:t>
      </w:r>
      <w:r>
        <w:t xml:space="preserve">,</w:t>
      </w:r>
      <w:r>
        <w:t xml:space="preserve"> </w:t>
      </w:r>
      <w:r>
        <w:t xml:space="preserve">el</w:t>
      </w:r>
      <w:r>
        <w:t xml:space="preserve"> </w:t>
      </w:r>
      <w:r>
        <w:rPr>
          <w:bCs/>
          <w:b/>
        </w:rPr>
        <w:t xml:space="preserve">modo simulación</w:t>
      </w:r>
      <w:r>
        <w:t xml:space="preserve">. El PPI++ sobre predicciones reales no lo toca.</w:t>
      </w:r>
      <w:r>
        <w:t xml:space="preserve"> </w:t>
      </w:r>
      <w:r>
        <w:rPr>
          <w:rStyle w:val="VerbatimChar"/>
          <w:bCs/>
          <w:b/>
        </w:rPr>
        <w:t xml:space="preserve">informe_ppi_full.md</w:t>
      </w:r>
      <w:r>
        <w:rPr>
          <w:bCs/>
          <w:b/>
        </w:rPr>
        <w:t xml:space="preserve"> </w:t>
      </w:r>
      <w:r>
        <w:rPr>
          <w:bCs/>
          <w:b/>
        </w:rPr>
        <w:t xml:space="preserve">es</w:t>
      </w:r>
      <w:r>
        <w:rPr>
          <w:bCs/>
          <w:b/>
        </w:rPr>
        <w:t xml:space="preserve"> </w:t>
      </w:r>
      <w:r>
        <w:rPr>
          <w:bCs/>
          <w:b/>
        </w:rPr>
        <w:t xml:space="preserve">correcto.</w:t>
      </w:r>
    </w:p>
    <w:p>
      <w:pPr>
        <w:numPr>
          <w:ilvl w:val="0"/>
          <w:numId w:val="1002"/>
        </w:numPr>
        <w:pStyle w:val="Compact"/>
      </w:pPr>
      <w:r>
        <w:t xml:space="preserve">Los ítems de</w:t>
      </w:r>
      <w:r>
        <w:t xml:space="preserve"> </w:t>
      </w:r>
      <w:r>
        <w:rPr>
          <w:bCs/>
          <w:b/>
        </w:rPr>
        <w:t xml:space="preserve">escala 0-10</w:t>
      </w:r>
      <w:r>
        <w:t xml:space="preserve"> </w:t>
      </w:r>
      <w:r>
        <w:t xml:space="preserve">(p8, p21, p20, p37, p39…) nunca pasaron por el matcher: se leen con</w:t>
      </w:r>
      <w:r>
        <w:t xml:space="preserve"> </w:t>
      </w:r>
      <w:r>
        <w:rPr>
          <w:rStyle w:val="VerbatimChar"/>
        </w:rPr>
        <w:t xml:space="preserve">int(val)</w:t>
      </w:r>
      <w:r>
        <w:t xml:space="preserve">. Su techo era correcto ya antes.</w:t>
      </w:r>
    </w:p>
    <w:p>
      <w:r>
        <w:pict>
          <v:rect style="width:0;height:1.5pt" o:hralign="center" o:hrstd="t" o:hr="t"/>
        </w:pict>
      </w:r>
    </w:p>
    <w:bookmarkEnd w:id="21"/>
    <w:bookmarkStart w:id="23" w:name="el-arreglo"/>
    <w:p>
      <w:pPr>
        <w:pStyle w:val="Heading2"/>
      </w:pPr>
      <w:r>
        <w:t xml:space="preserve">El arreglo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_match_opcion(ops, lab):</w:t>
      </w:r>
      <w:r>
        <w:br/>
      </w:r>
      <w:r>
        <w:rPr>
          <w:rStyle w:val="NormalTok"/>
        </w:rPr>
        <w:t xml:space="preserve">    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[_nm_dur(o)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ops]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_nm_dur(lab)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no:                       </w:t>
      </w:r>
      <w:r>
        <w:rPr>
          <w:rStyle w:val="CommentTok"/>
        </w:rPr>
        <w:t xml:space="preserve"># 1) igualdad exacta (sin acentos ni puntuación)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no.index(nl)</w:t>
      </w:r>
      <w:r>
        <w:br/>
      </w:r>
      <w:r>
        <w:rPr>
          <w:rStyle w:val="NormalTok"/>
        </w:rPr>
        <w:t xml:space="preserve">    cand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[j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(no)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nl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(nl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nl)]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cand[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(cand)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2) contención SÓLO si es única</w:t>
      </w:r>
    </w:p>
    <w:p>
      <w:pPr>
        <w:pStyle w:val="FirstParagraph"/>
      </w:pPr>
      <w:r>
        <w:t xml:space="preserve">Validado sobre las 89 preguntas categóricas:</w:t>
      </w:r>
      <w:r>
        <w:t xml:space="preserve"> </w:t>
      </w:r>
      <w:r>
        <w:rPr>
          <w:bCs/>
          <w:b/>
        </w:rPr>
        <w:t xml:space="preserve">mapeo total e inyectivo, 0 colapsos, 0 sin mapear.</w:t>
      </w:r>
    </w:p>
    <w:bookmarkStart w:id="22" w:name="Xaacc8dd79c9c6d735d981c544f9563f0e8ce32f"/>
    <w:p>
      <w:pPr>
        <w:pStyle w:val="Heading3"/>
      </w:pPr>
      <w:r>
        <w:t xml:space="preserve">Dos mejoras de reproducibilidad añadidas (</w:t>
      </w:r>
      <w:r>
        <w:rPr>
          <w:rStyle w:val="VerbatimChar"/>
        </w:rPr>
        <w:t xml:space="preserve">piloto_ppi/techo_v2.py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Semilla por ítem.</w:t>
      </w:r>
      <w:r>
        <w:t xml:space="preserve"> </w:t>
      </w:r>
      <w:r>
        <w:t xml:space="preserve">La versión original compartía un único</w:t>
      </w:r>
      <w:r>
        <w:t xml:space="preserve"> </w:t>
      </w:r>
      <w:r>
        <w:rPr>
          <w:rStyle w:val="VerbatimChar"/>
        </w:rPr>
        <w:t xml:space="preserve">default_rng(0)</w:t>
      </w:r>
      <w:r>
        <w:t xml:space="preserve"> </w:t>
      </w:r>
      <w:r>
        <w:t xml:space="preserve">consumido en</w:t>
      </w:r>
      <w:r>
        <w:t xml:space="preserve"> </w:t>
      </w:r>
      <w:r>
        <w:t xml:space="preserve">secuencia, de modo que el R² de una pregunta dependía de</w:t>
      </w:r>
      <w:r>
        <w:t xml:space="preserve"> </w:t>
      </w:r>
      <w:r>
        <w:rPr>
          <w:bCs/>
          <w:b/>
        </w:rPr>
        <w:t xml:space="preserve">cuántas preguntas se habían evaluado</w:t>
      </w:r>
      <w:r>
        <w:rPr>
          <w:bCs/>
          <w:b/>
        </w:rPr>
        <w:t xml:space="preserve"> </w:t>
      </w:r>
      <w:r>
        <w:rPr>
          <w:bCs/>
          <w:b/>
        </w:rPr>
        <w:t xml:space="preserve">antes</w:t>
      </w:r>
      <w:r>
        <w:t xml:space="preserve">. Al reparar p6, todos los ítems posteriores cambiaban de folds. Ahora cada ítem deriva su</w:t>
      </w:r>
      <w:r>
        <w:t xml:space="preserve"> </w:t>
      </w:r>
      <w:r>
        <w:t xml:space="preserve">semilla de su propio identificador.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CV 5-fold repetida 20 veces</w:t>
      </w:r>
      <w:r>
        <w:t xml:space="preserve">, reportando la desviación.</w:t>
      </w:r>
      <w:r>
        <w:t xml:space="preserve"> </w:t>
      </w:r>
      <w:r>
        <w:rPr>
          <w:bCs/>
          <w:b/>
        </w:rPr>
        <w:t xml:space="preserve">La sd media del R² entre</w:t>
      </w:r>
      <w:r>
        <w:rPr>
          <w:bCs/>
          <w:b/>
        </w:rPr>
        <w:t xml:space="preserve"> </w:t>
      </w:r>
      <w:r>
        <w:rPr>
          <w:bCs/>
          <w:b/>
        </w:rPr>
        <w:t xml:space="preserve">repeticiones es 0,013</w:t>
      </w:r>
      <w:r>
        <w:t xml:space="preserve">, comparable a la señal en los ítems de techo bajo. Un solo 5-fold no era</w:t>
      </w:r>
      <w:r>
        <w:t xml:space="preserve"> </w:t>
      </w:r>
      <w:r>
        <w:t xml:space="preserve">suficiente y un revisor lo habría señalado.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efecto-sobre-las-cifras-publicadas"/>
    <w:p>
      <w:pPr>
        <w:pStyle w:val="Heading2"/>
      </w:pPr>
      <w:r>
        <w:t xml:space="preserve">Efecto sobre las cifras publicadas</w:t>
      </w:r>
    </w:p>
    <w:p>
      <w:pPr>
        <w:pStyle w:val="FirstParagraph"/>
      </w:pPr>
      <w:r>
        <w:t xml:space="preserve">Contraste limpio: mismo método, semilla por ítem y CV repetida en ambos;</w:t>
      </w:r>
      <w:r>
        <w:t xml:space="preserve"> </w:t>
      </w:r>
      <w:r>
        <w:rPr>
          <w:bCs/>
          <w:b/>
        </w:rPr>
        <w:t xml:space="preserve">lo único que cambia es el</w:t>
      </w:r>
      <w:r>
        <w:rPr>
          <w:bCs/>
          <w:b/>
        </w:rPr>
        <w:t xml:space="preserve"> </w:t>
      </w:r>
      <w:r>
        <w:rPr>
          <w:bCs/>
          <w:b/>
        </w:rPr>
        <w:t xml:space="preserve">mapeo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antes (bug)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después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R² medio OOS (escalas + ordinales)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0,0718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 máxima media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0,240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⬇ el techo es aún más 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ítems válidos (no</w:t>
            </w:r>
            <w:r>
              <w:t xml:space="preserve"> </w:t>
            </w:r>
            <w:r>
              <w:rPr>
                <w:rStyle w:val="VerbatimChar"/>
              </w:rPr>
              <w:t xml:space="preserve">nan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 entran los 13 de p6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ítems con R² ≤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nominales: acierto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65,5 %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56,4 %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nominales: baseline moda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48,6 %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nominales: Δ vs moda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+7,53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+7,88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igual</w:t>
            </w:r>
          </w:p>
        </w:tc>
      </w:tr>
    </w:tbl>
    <w:bookmarkStart w:id="24" w:name="lectura"/>
    <w:p>
      <w:pPr>
        <w:pStyle w:val="Heading3"/>
      </w:pPr>
      <w:r>
        <w:t xml:space="preserve">Lectura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El titular del paper se mueve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corr máx 0,24</w:t>
      </w:r>
      <w:r>
        <w:rPr>
          <w:bCs/>
          <w:b/>
        </w:rPr>
        <w:t xml:space="preserve"> </w:t>
      </w: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0,22</w:t>
      </w:r>
      <w:r>
        <w:rPr>
          <w:bCs/>
          <w:b/>
        </w:rPr>
        <w:t xml:space="preserve">, y en la dirección que refuerza la</w:t>
      </w:r>
      <w:r>
        <w:rPr>
          <w:bCs/>
          <w:b/>
        </w:rPr>
        <w:t xml:space="preserve"> </w:t>
      </w:r>
      <w:r>
        <w:rPr>
          <w:bCs/>
          <w:b/>
        </w:rPr>
        <w:t xml:space="preserve">tesis:</w:t>
      </w:r>
      <w:r>
        <w:t xml:space="preserve"> </w:t>
      </w:r>
      <w:r>
        <w:t xml:space="preserve">el techo de información es todavía más bajo de lo que decíamos.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El argumento de la §6 del esquema aguanta.</w:t>
      </w:r>
      <w:r>
        <w:t xml:space="preserve"> </w:t>
      </w:r>
      <w:r>
        <w:t xml:space="preserve">El</w:t>
      </w:r>
      <w:r>
        <w:t xml:space="preserve"> </w:t>
      </w:r>
      <w:r>
        <w:t xml:space="preserve">“</w:t>
      </w:r>
      <w:r>
        <w:t xml:space="preserve">+7,5 p.p. de la imputación clásica sobre la</w:t>
      </w:r>
      <w:r>
        <w:t xml:space="preserve"> </w:t>
      </w:r>
      <w:r>
        <w:t xml:space="preserve">moda frente al +1,6 del LLM</w:t>
      </w:r>
      <w:r>
        <w:t xml:space="preserve">”</w:t>
      </w:r>
      <w:r>
        <w:t xml:space="preserve"> </w:t>
      </w:r>
      <w:r>
        <w:t xml:space="preserve">pasa a</w:t>
      </w:r>
      <w:r>
        <w:t xml:space="preserve"> </w:t>
      </w:r>
      <w:r>
        <w:rPr>
          <w:bCs/>
          <w:b/>
        </w:rPr>
        <w:t xml:space="preserve">+7,9 vs +1,6</w:t>
      </w:r>
      <w:r>
        <w:t xml:space="preserve">. La conclusión —para preguntas imputables la</w:t>
      </w:r>
      <w:r>
        <w:t xml:space="preserve"> </w:t>
      </w:r>
      <w:r>
        <w:t xml:space="preserve">estadística clásica gana al LLM— se mantiene y se refuerza levemente.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Los 13 ítems de p6 dejan de ser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nan</w:t>
      </w:r>
      <w:r>
        <w:rPr>
          <w:bCs/>
          <w:b/>
        </w:rPr>
        <w:t xml:space="preserve"> </w:t>
      </w:r>
      <w:r>
        <w:rPr>
          <w:bCs/>
          <w:b/>
        </w:rPr>
        <w:t xml:space="preserve">y entran en el cómputo.</w:t>
      </w:r>
      <w:r>
        <w:t xml:space="preserve"> </w:t>
      </w:r>
      <w:r>
        <w:t xml:space="preserve">Su techo es muy bajo: R² entre</w:t>
      </w:r>
      <w:r>
        <w:t xml:space="preserve"> </w:t>
      </w:r>
      <w:r>
        <w:t xml:space="preserve">−0,029 y 0,145, con</w:t>
      </w:r>
      <w:r>
        <w:t xml:space="preserve"> </w:t>
      </w:r>
      <w:r>
        <w:rPr>
          <w:bCs/>
          <w:b/>
        </w:rPr>
        <w:t xml:space="preserve">6 de 13 en R² ≤ 0</w:t>
      </w:r>
      <w:r>
        <w:t xml:space="preserve">. Es decir: el perfil sociodemográfico</w:t>
      </w:r>
      <w:r>
        <w:t xml:space="preserve"> </w:t>
      </w:r>
      <w:r>
        <w:rPr>
          <w:bCs/>
          <w:b/>
        </w:rPr>
        <w:t xml:space="preserve">no informa</w:t>
      </w:r>
      <w:r>
        <w:t xml:space="preserve"> </w:t>
      </w:r>
      <w:r>
        <w:t xml:space="preserve">sobre</w:t>
      </w:r>
      <w:r>
        <w:t xml:space="preserve"> </w:t>
      </w:r>
      <w:r>
        <w:t xml:space="preserve">el retrenchment de consumo. Esto no es un accidente del arreglo, es el resultado sustantivo que</w:t>
      </w:r>
      <w:r>
        <w:t xml:space="preserve"> </w:t>
      </w:r>
      <w:r>
        <w:t xml:space="preserve">faltaba, y es central para el ángulo de marketing.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Hay que corregir la afirmación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el panel alcanza el 65 % del techo</w:t>
      </w:r>
      <w:r>
        <w:rPr>
          <w:bCs/>
          <w:b/>
        </w:rPr>
        <w:t xml:space="preserve">”</w:t>
      </w:r>
      <w:r>
        <w:t xml:space="preserve"> </w:t>
      </w:r>
      <w:r>
        <w:t xml:space="preserve">que circula en</w:t>
      </w:r>
      <w:r>
        <w:t xml:space="preserve"> </w:t>
      </w:r>
      <w:r>
        <w:rPr>
          <w:rStyle w:val="VerbatimChar"/>
        </w:rPr>
        <w:t xml:space="preserve">bitacora.md</w:t>
      </w:r>
      <w:r>
        <w:t xml:space="preserve"> </w:t>
      </w:r>
      <w:r>
        <w:t xml:space="preserve">y en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 Ese 65 % se obtuvo comparando un</w:t>
      </w:r>
      <w:r>
        <w:t xml:space="preserve"> </w:t>
      </w:r>
      <w:r>
        <w:rPr>
          <w:bCs/>
          <w:b/>
        </w:rPr>
        <w:t xml:space="preserve">Spearman</w:t>
      </w:r>
      <w:r>
        <w:t xml:space="preserve"> </w:t>
      </w:r>
      <w:r>
        <w:t xml:space="preserve">(0,15) con un techo</w:t>
      </w:r>
      <w:r>
        <w:t xml:space="preserve"> </w:t>
      </w:r>
      <w:r>
        <w:rPr>
          <w:bCs/>
          <w:b/>
        </w:rPr>
        <w:t xml:space="preserve">Pearson</w:t>
      </w:r>
      <w:r>
        <w:t xml:space="preserve"> </w:t>
      </w:r>
      <w:r>
        <w:t xml:space="preserve">(0,24), que son métricas distintas. Ver la nota siguiente.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ba503f89b3e25b752b1190ecbed98735ed40caa"/>
    <w:p>
      <w:pPr>
        <w:pStyle w:val="Heading2"/>
      </w:pPr>
      <w:r>
        <w:t xml:space="preserve">Segunda incidencia, metodológica: Spearman vs Pearson</w:t>
      </w:r>
    </w:p>
    <w:p>
      <w:pPr>
        <w:pStyle w:val="FirstParagraph"/>
      </w:pPr>
      <w:r>
        <w:rPr>
          <w:rStyle w:val="VerbatimChar"/>
        </w:rPr>
        <w:t xml:space="preserve">corr_max = √R²_OOS</w:t>
      </w:r>
      <w:r>
        <w:t xml:space="preserve"> </w:t>
      </w:r>
      <w:r>
        <w:t xml:space="preserve">es una cota sobre la correlación de</w:t>
      </w:r>
      <w:r>
        <w:t xml:space="preserve"> </w:t>
      </w:r>
      <w:r>
        <w:rPr>
          <w:bCs/>
          <w:b/>
        </w:rPr>
        <w:t xml:space="preserve">Pearson</w:t>
      </w:r>
      <w:r>
        <w:t xml:space="preserve">. Compararla con el</w:t>
      </w:r>
      <w:r>
        <w:t xml:space="preserve"> </w:t>
      </w:r>
      <w:r>
        <w:rPr>
          <w:bCs/>
          <w:b/>
        </w:rPr>
        <w:t xml:space="preserve">Spearman</w:t>
      </w:r>
      <w:r>
        <w:t xml:space="preserve"> </w:t>
      </w:r>
      <w:r>
        <w:t xml:space="preserve">del panel es incorrecto, y en ítems muy asimétricos produce resultados imposibles: en el bloque de</w:t>
      </w:r>
      <w:r>
        <w:t xml:space="preserve"> </w:t>
      </w:r>
      <w:r>
        <w:t xml:space="preserve">retrenchment el Spearman medio del panel es</w:t>
      </w:r>
      <w:r>
        <w:t xml:space="preserve"> </w:t>
      </w:r>
      <w:r>
        <w:rPr>
          <w:bCs/>
          <w:b/>
        </w:rPr>
        <w:t xml:space="preserve">0,447</w:t>
      </w:r>
      <w:r>
        <w:t xml:space="preserve"> </w:t>
      </w:r>
      <w:r>
        <w:t xml:space="preserve">contra un techo de</w:t>
      </w:r>
      <w:r>
        <w:t xml:space="preserve"> </w:t>
      </w:r>
      <w:r>
        <w:rPr>
          <w:bCs/>
          <w:b/>
        </w:rPr>
        <w:t xml:space="preserve">0,122</w:t>
      </w:r>
      <w:r>
        <w:t xml:space="preserve"> </w:t>
      </w:r>
      <w:r>
        <w:t xml:space="preserve">— un 367 % del</w:t>
      </w:r>
      <w:r>
        <w:t xml:space="preserve"> </w:t>
      </w:r>
      <w:r>
        <w:t xml:space="preserve">techo, que no puede ser. La causa es el tratamiento de empates cuando ~90 % de los casos caen en una</w:t>
      </w:r>
      <w:r>
        <w:t xml:space="preserve"> </w:t>
      </w:r>
      <w:r>
        <w:t xml:space="preserve">categoría.</w:t>
      </w:r>
    </w:p>
    <w:p>
      <w:pPr>
        <w:pStyle w:val="BodyText"/>
      </w:pPr>
      <w:r>
        <w:rPr>
          <w:bCs/>
          <w:b/>
        </w:rPr>
        <w:t xml:space="preserve">Corrección aplicada:</w:t>
      </w:r>
      <w:r>
        <w:t xml:space="preserve"> </w:t>
      </w:r>
      <w:r>
        <w:rPr>
          <w:rStyle w:val="VerbatimChar"/>
        </w:rPr>
        <w:t xml:space="preserve">paper/pearson_alcanzado.py</w:t>
      </w:r>
      <w:r>
        <w:t xml:space="preserve"> </w:t>
      </w:r>
      <w:r>
        <w:t xml:space="preserve">calcula la correlación de Pearson panel↔real</w:t>
      </w:r>
      <w:r>
        <w:t xml:space="preserve"> </w:t>
      </w:r>
      <w:r>
        <w:t xml:space="preserve">sobre la misma codificación numérica que usa el techo. Es la cifra que debe ir al paper.</w:t>
      </w:r>
    </w:p>
    <w:p>
      <w:pPr>
        <w:pStyle w:val="BodyText"/>
      </w:pPr>
      <w:r>
        <w:t xml:space="preserve">Con Pearson, el panel alcanza el</w:t>
      </w:r>
      <w:r>
        <w:t xml:space="preserve"> </w:t>
      </w:r>
      <w:r>
        <w:rPr>
          <w:bCs/>
          <w:b/>
        </w:rPr>
        <w:t xml:space="preserve">59 %</w:t>
      </w:r>
      <w:r>
        <w:t xml:space="preserve"> </w:t>
      </w:r>
      <w:r>
        <w:t xml:space="preserve">del techo en el subcorpus de marketing (0,127 de 0,216).</w:t>
      </w:r>
      <w:r>
        <w:t xml:space="preserve"> </w:t>
      </w:r>
      <w:r>
        <w:t xml:space="preserve">La cifra global del proyecto (</w:t>
      </w:r>
      <w:r>
        <w:t xml:space="preserve">“</w:t>
      </w:r>
      <w:r>
        <w:t xml:space="preserve">65 %</w:t>
      </w:r>
      <w:r>
        <w:t xml:space="preserve">”</w:t>
      </w:r>
      <w:r>
        <w:t xml:space="preserve">) debe recalcularse con este criterio antes de escribir la §6.</w:t>
      </w:r>
    </w:p>
    <w:p>
      <w:r>
        <w:pict>
          <v:rect style="width:0;height:1.5pt" o:hralign="center" o:hrstd="t" o:hr="t"/>
        </w:pict>
      </w:r>
    </w:p>
    <w:bookmarkEnd w:id="26"/>
    <w:bookmarkStart w:id="27" w:name="ficheros"/>
    <w:p>
      <w:pPr>
        <w:pStyle w:val="Heading2"/>
      </w:pPr>
      <w:r>
        <w:t xml:space="preserve">Ficheros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Fichero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piloto_ppi/true_ppi_full.py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modificado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_idx_real</w:t>
            </w:r>
            <w:r>
              <w:t xml:space="preserve"> </w:t>
            </w:r>
            <w:r>
              <w:t xml:space="preserve">ahora delega en</w:t>
            </w:r>
            <w:r>
              <w:t xml:space="preserve"> </w:t>
            </w:r>
            <w:r>
              <w:rPr>
                <w:rStyle w:val="VerbatimChar"/>
              </w:rPr>
              <w:t xml:space="preserve">_match_opcion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piloto_ppi/techo_v2.py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nuevo</w:t>
            </w:r>
            <w:r>
              <w:t xml:space="preserve"> </w:t>
            </w:r>
            <w:r>
              <w:t xml:space="preserve">— techo con semilla por ítem y CV repetida;</w:t>
            </w:r>
            <w:r>
              <w:t xml:space="preserve"> </w:t>
            </w:r>
            <w:r>
              <w:rPr>
                <w:rStyle w:val="VerbatimChar"/>
              </w:rPr>
              <w:t xml:space="preserve">MATCH=orig</w:t>
            </w:r>
            <w:r>
              <w:t xml:space="preserve"> </w:t>
            </w:r>
            <w:r>
              <w:t xml:space="preserve">reproduce el bug para el contraste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piloto_ppi/techo_v2_fix.json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techo_v2_orig.json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 ambas versiones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piloto_ppi/techo_predictivo_v2.md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del techo corregido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piloto_ppi/techo_predictivo.md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obsoleto</w:t>
            </w:r>
            <w:r>
              <w:t xml:space="preserve">, se le añadió cabecera de aviso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paper/pearson_alcanzado.py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correlación alcanzada en Pearson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Pendiente:</w:t>
      </w:r>
      <w:r>
        <w:t xml:space="preserve"> </w:t>
      </w:r>
      <w:r>
        <w:t xml:space="preserve">decidir si se regenera</w:t>
      </w:r>
      <w:r>
        <w:t xml:space="preserve"> </w:t>
      </w:r>
      <w:r>
        <w:rPr>
          <w:rStyle w:val="VerbatimChar"/>
        </w:rPr>
        <w:t xml:space="preserve">techo_predictivo.md</w:t>
      </w:r>
      <w:r>
        <w:t xml:space="preserve"> </w:t>
      </w:r>
      <w:r>
        <w:t xml:space="preserve">o se deja como registro histórico con el</w:t>
      </w:r>
      <w:r>
        <w:t xml:space="preserve"> </w:t>
      </w:r>
      <w:r>
        <w:t xml:space="preserve">aviso. De momento se deja, para que la trazabilidad de lo que se afirmó en cada sesión no se pierda.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2026-08-21T21:03:25Z</dcterms:created>
  <dcterms:modified xsi:type="dcterms:W3CDTF">2026-08-21T21:03:25Z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