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93b659753ea62fb8cb894668460c6ed8a9f0f3"/>
    <w:p>
      <w:pPr>
        <w:pStyle w:val="Heading1"/>
      </w:pPr>
      <w:r>
        <w:t xml:space="preserve">Fase 1 — El subcorpus de marketing del Deustobarómetro</w:t>
      </w:r>
    </w:p>
    <w:p>
      <w:pPr>
        <w:pStyle w:val="FirstParagraph"/>
      </w:pPr>
      <w:r>
        <w:rPr>
          <w:bCs/>
          <w:b/>
        </w:rPr>
        <w:t xml:space="preserve">44 ítems de marketing + 10 de contraste político.</w:t>
      </w:r>
      <w:r>
        <w:t xml:space="preserve"> </w:t>
      </w:r>
      <w:r>
        <w:t xml:space="preserve">Sin API: relectura de resultados ya</w:t>
      </w:r>
      <w:r>
        <w:t xml:space="preserve"> </w:t>
      </w:r>
      <w:r>
        <w:t xml:space="preserve">generados (techo n=1.000 · acuerdo individual n=300 · tanda agregada n=1.000).</w:t>
      </w:r>
      <w:r>
        <w:t xml:space="preserve"> </w:t>
      </w:r>
      <w:r>
        <w:t xml:space="preserve">Selección</w:t>
      </w:r>
      <w:r>
        <w:t xml:space="preserve"> </w:t>
      </w:r>
      <w:r>
        <w:rPr>
          <w:bCs/>
          <w:b/>
        </w:rPr>
        <w:t xml:space="preserve">ex ante por constructo</w:t>
      </w:r>
      <w:r>
        <w:t xml:space="preserve">, definida en</w:t>
      </w:r>
      <w:r>
        <w:t xml:space="preserve"> </w:t>
      </w:r>
      <w:r>
        <w:rPr>
          <w:rStyle w:val="VerbatimChar"/>
        </w:rPr>
        <w:t xml:space="preserve">marketing_items.json</w:t>
      </w:r>
      <w:r>
        <w:t xml:space="preserve">.</w:t>
      </w:r>
    </w:p>
    <w:bookmarkStart w:id="20" w:name="cómo-se-mide-cada-columna"/>
    <w:p>
      <w:pPr>
        <w:pStyle w:val="Heading2"/>
      </w:pPr>
      <w:r>
        <w:t xml:space="preserve">Cómo se mide cada columna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techo lin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corr_max = √R²_OOS</w:t>
            </w:r>
            <w:r>
              <w:t xml:space="preserve">, ridge, CV 5-fold</w:t>
            </w:r>
            <w:r>
              <w:t xml:space="preserve"> </w:t>
            </w:r>
            <w:r>
              <w:rPr>
                <w:bCs/>
                <w:b/>
              </w:rPr>
              <w:t xml:space="preserve">repetida 20 veces</w:t>
            </w:r>
            <w:r>
              <w:t xml:space="preserve">, semilla por ítem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techo 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pero con gradient boosting: capta no linealidades que el ridge pierde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de</w:t>
            </w:r>
            <w:r>
              <w:t xml:space="preserve"> </w:t>
            </w:r>
            <w:r>
              <w:rPr>
                <w:bCs/>
                <w:b/>
              </w:rPr>
              <w:t xml:space="preserve">Pearson</w:t>
            </w:r>
            <w:r>
              <w:t xml:space="preserve"> </w:t>
            </w:r>
            <w:r>
              <w:t xml:space="preserve">panel↔real, la misma métrica que el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 vs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acierto del panel menos el de</w:t>
            </w:r>
            <w:r>
              <w:t xml:space="preserve"> </w:t>
            </w:r>
            <w:r>
              <w:t xml:space="preserve">“</w:t>
            </w:r>
            <w:r>
              <w:t xml:space="preserve">responder siempre la moda real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absoluta media panel vs real, por opción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cuota de la opción más elegida, panel vs real</w:t>
            </w:r>
          </w:p>
        </w:tc>
      </w:tr>
    </w:tbl>
    <w:p>
      <w:pPr>
        <w:pStyle w:val="BlockText"/>
      </w:pPr>
      <w:r>
        <w:t xml:space="preserve">No se usa</w:t>
      </w:r>
      <w:r>
        <w:t xml:space="preserve"> </w:t>
      </w:r>
      <w:r>
        <w:rPr>
          <w:bCs/>
          <w:b/>
        </w:rPr>
        <w:t xml:space="preserve">Spearman</w:t>
      </w:r>
      <w:r>
        <w:t xml:space="preserve">: en ítems con ~90 % de casos en una categoría se dispara por el</w:t>
      </w:r>
      <w:r>
        <w:t xml:space="preserve"> </w:t>
      </w:r>
      <w:r>
        <w:t xml:space="preserve">tratamiento de empates y llega a superar el techo, lo que es imposible por construcción.</w:t>
      </w:r>
      <w:r>
        <w:t xml:space="preserve"> </w:t>
      </w:r>
      <w:r>
        <w:t xml:space="preserve">Con Spearman el bloque de retrenchment daba un absurdo 367 % del techo.</w:t>
      </w:r>
    </w:p>
    <w:bookmarkEnd w:id="20"/>
    <w:bookmarkStart w:id="21" w:name="resumen-por-constructo"/>
    <w:p>
      <w:pPr>
        <w:pStyle w:val="Heading2"/>
      </w:pPr>
      <w:r>
        <w:t xml:space="preserve">Resumen por constructo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alcanzado (Pearson)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del techo 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vs moda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DAM p.p.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conc.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conc.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Retrenchment de consumo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 ± 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Decisión de viaje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± 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· Satisfacción de 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± 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· Confianza de 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 ± 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· (contraste) Confianza política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 ± 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MARKETING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0.127 ± 0.031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-5.3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+26.3</w:t>
            </w:r>
          </w:p>
        </w:tc>
      </w:tr>
    </w:tbl>
    <w:bookmarkEnd w:id="21"/>
    <w:bookmarkStart w:id="22" w:name="los-cuatro-resultados"/>
    <w:p>
      <w:pPr>
        <w:pStyle w:val="Heading2"/>
      </w:pPr>
      <w:r>
        <w:t xml:space="preserve">Los cuatro resultados</w:t>
      </w:r>
    </w:p>
    <w:p>
      <w:pPr>
        <w:pStyle w:val="FirstParagraph"/>
      </w:pPr>
      <w:r>
        <w:rPr>
          <w:bCs/>
          <w:b/>
        </w:rPr>
        <w:t xml:space="preserve">1 · El techo de marketing es más bajo que el político.</w:t>
      </w:r>
      <w:r>
        <w:t xml:space="preserve"> </w:t>
      </w:r>
      <w:r>
        <w:t xml:space="preserve">Confianza de marca (0,35) y confianza</w:t>
      </w:r>
      <w:r>
        <w:t xml:space="preserve"> </w:t>
      </w:r>
      <w:r>
        <w:t xml:space="preserve">política (0,40) son parecidas, pero</w:t>
      </w:r>
      <w:r>
        <w:t xml:space="preserve"> </w:t>
      </w:r>
      <w:r>
        <w:rPr>
          <w:bCs/>
          <w:b/>
        </w:rPr>
        <w:t xml:space="preserve">retrenchment de consumo (0,13)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decisión de viaje (0,14)</w:t>
      </w:r>
      <w:r>
        <w:t xml:space="preserve"> </w:t>
      </w:r>
      <w:r>
        <w:t xml:space="preserve">quedan muy por debajo. El perfil sociodemográfico informa</w:t>
      </w:r>
      <w:r>
        <w:t xml:space="preserve"> </w:t>
      </w:r>
      <w:r>
        <w:rPr>
          <w:iCs/>
          <w:i/>
        </w:rPr>
        <w:t xml:space="preserve">menos</w:t>
      </w:r>
      <w:r>
        <w:t xml:space="preserve"> </w:t>
      </w:r>
      <w:r>
        <w:t xml:space="preserve">sobre la conducta de consumo que</w:t>
      </w:r>
      <w:r>
        <w:t xml:space="preserve"> </w:t>
      </w:r>
      <w:r>
        <w:t xml:space="preserve">sobre la actitud política — justo al revés de lo que necesitaría la promesa comercial del panel</w:t>
      </w:r>
      <w:r>
        <w:t xml:space="preserve"> </w:t>
      </w:r>
      <w:r>
        <w:t xml:space="preserve">sintético, y al revés de donde la literatura ha puesto sus benchmarks.</w:t>
      </w:r>
    </w:p>
    <w:p>
      <w:pPr>
        <w:pStyle w:val="BodyText"/>
      </w:pPr>
      <w:r>
        <w:rPr>
          <w:bCs/>
          <w:b/>
        </w:rPr>
        <w:t xml:space="preserve">2 · El panel alcanza el 54 % del techo, y en consumo no alcanza nada porque no hay nada.</w:t>
      </w:r>
      <w:r>
        <w:t xml:space="preserve"> </w:t>
      </w:r>
      <w:r>
        <w:t xml:space="preserve">En</w:t>
      </w:r>
      <w:r>
        <w:t xml:space="preserve"> </w:t>
      </w:r>
      <w:r>
        <w:t xml:space="preserve">retrenchment el techo (0,134) y lo alcanzado (0,149) son ambos indistinguibles de cero a nivel de</w:t>
      </w:r>
      <w:r>
        <w:t xml:space="preserve"> </w:t>
      </w:r>
      <w:r>
        <w:t xml:space="preserve">ítem (ver la sección de anomalía). La lectura correcta no es</w:t>
      </w:r>
      <w:r>
        <w:t xml:space="preserve"> </w:t>
      </w:r>
      <w:r>
        <w:t xml:space="preserve">“</w:t>
      </w:r>
      <w:r>
        <w:t xml:space="preserve">el panel va bien en consumo</w:t>
      </w:r>
      <w:r>
        <w:t xml:space="preserve">”</w:t>
      </w:r>
      <w:r>
        <w:t xml:space="preserve">, 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 consumo no hay señal que capturar desde el perfil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 · Δ vs moda negativo en los cuatro constructos.</w:t>
      </w:r>
      <w:r>
        <w:t xml:space="preserve"> </w:t>
      </w:r>
      <w:r>
        <w:t xml:space="preserve">El panel es peor que responder siempre la</w:t>
      </w:r>
      <w:r>
        <w:t xml:space="preserve"> </w:t>
      </w:r>
      <w:r>
        <w:t xml:space="preserve">categoría más frecuente. El peor caso es decisión de viaje,</w:t>
      </w:r>
      <w:r>
        <w:t xml:space="preserve"> </w:t>
      </w:r>
      <w:r>
        <w:rPr>
          <w:bCs/>
          <w:b/>
        </w:rPr>
        <w:t xml:space="preserve">−12,4 p.p.</w:t>
      </w:r>
      <w:r>
        <w:t xml:space="preserve">, y dentro de él la</w:t>
      </w:r>
      <w:r>
        <w:t xml:space="preserve"> </w:t>
      </w:r>
      <w:r>
        <w:t xml:space="preserve">pregunta por la razón del abandono de viaje (</w:t>
      </w:r>
      <w:r>
        <w:rPr>
          <w:bCs/>
          <w:b/>
        </w:rPr>
        <w:t xml:space="preserve">−26,7 p.p.</w:t>
      </w:r>
      <w:r>
        <w:t xml:space="preserve">, kappa 0,00).</w:t>
      </w:r>
    </w:p>
    <w:p>
      <w:pPr>
        <w:pStyle w:val="BodyText"/>
      </w:pPr>
      <w:r>
        <w:rPr>
          <w:bCs/>
          <w:b/>
        </w:rPr>
        <w:t xml:space="preserve">4 · Colapso de varianza en los cuatro.</w:t>
      </w:r>
      <w:r>
        <w:t xml:space="preserve"> </w:t>
      </w:r>
      <w:r>
        <w:t xml:space="preserve">La opción más elegida se lleva</w:t>
      </w:r>
      <w:r>
        <w:t xml:space="preserve"> </w:t>
      </w:r>
      <w:r>
        <w:rPr>
          <w:bCs/>
          <w:b/>
        </w:rPr>
        <w:t xml:space="preserve">65,0 %</w:t>
      </w:r>
      <w:r>
        <w:t xml:space="preserve"> </w:t>
      </w:r>
      <w:r>
        <w:t xml:space="preserve">en el panel</w:t>
      </w:r>
      <w:r>
        <w:t xml:space="preserve"> </w:t>
      </w:r>
      <w:r>
        <w:t xml:space="preserve">frente al</w:t>
      </w:r>
      <w:r>
        <w:t xml:space="preserve"> </w:t>
      </w:r>
      <w:r>
        <w:rPr>
          <w:bCs/>
          <w:b/>
        </w:rPr>
        <w:t xml:space="preserve">38,8 %</w:t>
      </w:r>
      <w:r>
        <w:t xml:space="preserve"> </w:t>
      </w:r>
      <w:r>
        <w:t xml:space="preserve">real:</w:t>
      </w:r>
      <w:r>
        <w:t xml:space="preserve"> </w:t>
      </w:r>
      <w:r>
        <w:rPr>
          <w:bCs/>
          <w:b/>
        </w:rPr>
        <w:t xml:space="preserve">+26,2 p.p. de exceso</w:t>
      </w:r>
      <w:r>
        <w:t xml:space="preserve">. Ningún ítem de B, C, D o E tiene exceso</w:t>
      </w:r>
      <w:r>
        <w:t xml:space="preserve"> </w:t>
      </w:r>
      <w:r>
        <w:t xml:space="preserve">negativo. El caso extremo es la multirrespuesta de efectos del turismo:</w:t>
      </w:r>
      <w:r>
        <w:t xml:space="preserve"> </w:t>
      </w:r>
      <w:r>
        <w:rPr>
          <w:bCs/>
          <w:b/>
        </w:rPr>
        <w:t xml:space="preserve">99,9 % vs 41,2 %</w:t>
      </w:r>
      <w:r>
        <w:t xml:space="preserve">.</w:t>
      </w:r>
    </w:p>
    <w:bookmarkEnd w:id="22"/>
    <w:bookmarkStart w:id="23" w:name="X2668cca6fce7278eef30a7fa1def366fc29fa74"/>
    <w:p>
      <w:pPr>
        <w:pStyle w:val="Heading2"/>
      </w:pPr>
      <w:r>
        <w:t xml:space="preserve">Anomalía detectada y resuelta: ítems que</w:t>
      </w:r>
      <w:r>
        <w:t xml:space="preserve"> </w:t>
      </w:r>
      <w:r>
        <w:t xml:space="preserve">“</w:t>
      </w:r>
      <w:r>
        <w:t xml:space="preserve">superan</w:t>
      </w:r>
      <w:r>
        <w:t xml:space="preserve">”</w:t>
      </w:r>
      <w:r>
        <w:t xml:space="preserve"> </w:t>
      </w:r>
      <w:r>
        <w:t xml:space="preserve">su techo</w:t>
      </w:r>
    </w:p>
    <w:p>
      <w:pPr>
        <w:pStyle w:val="FirstParagraph"/>
      </w:pPr>
      <w:r>
        <w:t xml:space="preserve">Dos ítems de retrenchment (p6_5, p6_9) daban un Pearson por encima de su techo lineal, lo que es</w:t>
      </w:r>
      <w:r>
        <w:t xml:space="preserve"> </w:t>
      </w:r>
      <w:r>
        <w:t xml:space="preserve">imposible por construcción. Tres comprobaciones: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Techo no lineal.</w:t>
      </w:r>
      <w:r>
        <w:t xml:space="preserve"> </w:t>
      </w:r>
      <w:r>
        <w:t xml:space="preserve">Con gradient boosting el techo de p6_5 sube de 0,141 a</w:t>
      </w:r>
      <w:r>
        <w:t xml:space="preserve"> </w:t>
      </w:r>
      <w:r>
        <w:rPr>
          <w:bCs/>
          <w:b/>
        </w:rPr>
        <w:t xml:space="preserve">0,234</w:t>
      </w:r>
      <w:r>
        <w:t xml:space="preserve">, dentro del</w:t>
      </w:r>
      <w:r>
        <w:t xml:space="preserve"> </w:t>
      </w:r>
      <w:r>
        <w:t xml:space="preserve">intervalo del valor observado. El ridge infraestimaba: la relación perfil→respuesta no es lineal</w:t>
      </w:r>
      <w:r>
        <w:t xml:space="preserve"> </w:t>
      </w:r>
      <w:r>
        <w:t xml:space="preserve">en este bloque.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Bootstrap del Pearson</w:t>
      </w:r>
      <w:r>
        <w:t xml:space="preserve"> </w:t>
      </w:r>
      <w:r>
        <w:t xml:space="preserve">(5.000 réplicas). Con ~90 % de los casos en una categoría, el error</w:t>
      </w:r>
      <w:r>
        <w:t xml:space="preserve"> </w:t>
      </w:r>
      <w:r>
        <w:t xml:space="preserve">nominal de Fisher es demasiado optimista. Los IC reales son enormes: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moda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95 %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[0,129 · 0,446]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[−0,037 · 0,416]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[−0,034 · 0,421]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[−0,005 · 0,312]</w:t>
            </w:r>
          </w:p>
        </w:tc>
      </w:tr>
    </w:tbl>
    <w:p>
      <w:pPr>
        <w:numPr>
          <w:ilvl w:val="0"/>
          <w:numId w:val="1000"/>
        </w:numPr>
      </w:pPr>
      <w:r>
        <w:t xml:space="preserve">En p6_9, p6_3 y p6_4</w:t>
      </w:r>
      <w:r>
        <w:t xml:space="preserve"> </w:t>
      </w:r>
      <w:r>
        <w:rPr>
          <w:bCs/>
          <w:b/>
        </w:rPr>
        <w:t xml:space="preserve">el intervalo incluye el cero</w:t>
      </w:r>
      <w:r>
        <w:t xml:space="preserve">: esas correlaciones no son distinguibles</w:t>
      </w:r>
      <w:r>
        <w:t xml:space="preserve"> </w:t>
      </w:r>
      <w:r>
        <w:t xml:space="preserve">de la nada, y menos aún</w:t>
      </w:r>
      <w:r>
        <w:t xml:space="preserve"> </w:t>
      </w:r>
      <w:r>
        <w:t xml:space="preserve">“</w:t>
      </w:r>
      <w:r>
        <w:t xml:space="preserve">superiores al techo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Los 300 encuestados con predicción son los 300 primeros del fichero</w:t>
      </w:r>
      <w:r>
        <w:t xml:space="preserve"> </w:t>
      </w:r>
      <w:r>
        <w:t xml:space="preserve">(verificado: 300/300),</w:t>
      </w:r>
      <w:r>
        <w:t xml:space="preserve"> </w:t>
      </w:r>
      <w:r>
        <w:t xml:space="preserve">no una submuestra aleatoria. Hay que declararlo.</w:t>
      </w:r>
    </w:p>
    <w:p>
      <w:pPr>
        <w:pStyle w:val="FirstParagraph"/>
      </w:pPr>
      <w:r>
        <w:rPr>
          <w:bCs/>
          <w:b/>
        </w:rPr>
        <w:t xml:space="preserve">Conclusión:</w:t>
      </w:r>
      <w:r>
        <w:t xml:space="preserve"> </w:t>
      </w:r>
      <w:r>
        <w:t xml:space="preserve">ningún ítem supera su techo de forma real. Pero el episodio deja dos exigencias</w:t>
      </w:r>
      <w:r>
        <w:t xml:space="preserve"> </w:t>
      </w:r>
      <w:r>
        <w:t xml:space="preserve">para el paper: (a) el techo del paper debe ser el</w:t>
      </w:r>
      <w:r>
        <w:t xml:space="preserve"> </w:t>
      </w:r>
      <w:r>
        <w:rPr>
          <w:bCs/>
          <w:b/>
        </w:rPr>
        <w:t xml:space="preserve">no lineal</w:t>
      </w:r>
      <w:r>
        <w:t xml:space="preserve">, o al menos reportar ambos;</w:t>
      </w:r>
      <w:r>
        <w:t xml:space="preserve"> </w:t>
      </w:r>
      <w:r>
        <w:t xml:space="preserve">(b) a nivel de ítem, con n≈300 y asimetría del 90 %,</w:t>
      </w:r>
      <w:r>
        <w:t xml:space="preserve"> </w:t>
      </w:r>
      <w:r>
        <w:rPr>
          <w:bCs/>
          <w:b/>
        </w:rPr>
        <w:t xml:space="preserve">las correlaciones individuales no son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interpretables</w:t>
      </w:r>
      <w:r>
        <w:t xml:space="preserve"> </w:t>
      </w:r>
      <w:r>
        <w:t xml:space="preserve">— sólo lo son los agregados por constructo.</w:t>
      </w:r>
    </w:p>
    <w:bookmarkEnd w:id="23"/>
    <w:bookmarkStart w:id="24" w:name="X8997b7ae485ce3d85fc7c32030cdaf01f3c91a1"/>
    <w:p>
      <w:pPr>
        <w:pStyle w:val="Heading2"/>
      </w:pPr>
      <w:r>
        <w:t xml:space="preserve">Qué hay que corregir en el material previo</w:t>
      </w:r>
    </w:p>
    <w:p>
      <w:pPr>
        <w:numPr>
          <w:ilvl w:val="0"/>
          <w:numId w:val="1002"/>
        </w:numPr>
        <w:pStyle w:val="Compact"/>
      </w:pPr>
      <w:r>
        <w:t xml:space="preserve">La afirmación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 panel alcanza el 65 % del techo</w:t>
      </w:r>
      <w:r>
        <w:rPr>
          <w:bCs/>
          <w:b/>
        </w:rPr>
        <w:t xml:space="preserve">”</w:t>
      </w:r>
      <w:r>
        <w:t xml:space="preserve"> </w:t>
      </w:r>
      <w:r>
        <w:t xml:space="preserve">(bitácora 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compara un</w:t>
      </w:r>
      <w:r>
        <w:t xml:space="preserve"> </w:t>
      </w:r>
      <w:r>
        <w:t xml:space="preserve">Spearman (0,15) con un techo Pearson (0,24). Con métricas homogéneas y techo no lineal, en el</w:t>
      </w:r>
      <w:r>
        <w:t xml:space="preserve"> </w:t>
      </w:r>
      <w:r>
        <w:t xml:space="preserve">subcorpus de marketing es el</w:t>
      </w:r>
      <w:r>
        <w:t xml:space="preserve"> </w:t>
      </w:r>
      <w:r>
        <w:rPr>
          <w:bCs/>
          <w:b/>
        </w:rPr>
        <w:t xml:space="preserve">54 %</w:t>
      </w:r>
      <w:r>
        <w:t xml:space="preserve">. La cifra global del proyecto debe recalcularse igual.</w:t>
      </w:r>
    </w:p>
    <w:p>
      <w:pPr>
        <w:numPr>
          <w:ilvl w:val="0"/>
          <w:numId w:val="1002"/>
        </w:numPr>
        <w:pStyle w:val="Compact"/>
      </w:pPr>
      <w:r>
        <w:t xml:space="preserve">El techo global pasa de</w:t>
      </w:r>
      <w:r>
        <w:t xml:space="preserve"> </w:t>
      </w:r>
      <w:r>
        <w:rPr>
          <w:bCs/>
          <w:b/>
        </w:rPr>
        <w:t xml:space="preserve">corr máx 0,24 a 0,22</w:t>
      </w:r>
      <w:r>
        <w:t xml:space="preserve"> </w:t>
      </w:r>
      <w:r>
        <w:t xml:space="preserve">(lineal) tras corregir el bug de mapeo</w:t>
      </w:r>
      <w:r>
        <w:t xml:space="preserve"> </w:t>
      </w:r>
      <w:r>
        <w:t xml:space="preserve">(</w:t>
      </w:r>
      <w:r>
        <w:rPr>
          <w:rStyle w:val="VerbatimChar"/>
        </w:rPr>
        <w:t xml:space="preserve">incidencia_mapeo_idx_real.md</w:t>
      </w:r>
      <w:r>
        <w:t xml:space="preserve">).</w:t>
      </w:r>
    </w:p>
    <w:bookmarkEnd w:id="24"/>
    <w:bookmarkStart w:id="25" w:name="sesgo-de-selección"/>
    <w:p>
      <w:pPr>
        <w:pStyle w:val="Heading2"/>
      </w:pPr>
      <w:r>
        <w:t xml:space="preserve">Sesgo de selección</w:t>
      </w:r>
    </w:p>
    <w:p>
      <w:pPr>
        <w:pStyle w:val="FirstParagraph"/>
      </w:pPr>
      <w:r>
        <w:t xml:space="preserve">Los 44 ítems</w:t>
      </w:r>
      <w:r>
        <w:t xml:space="preserve"> </w:t>
      </w:r>
      <w:r>
        <w:rPr>
          <w:bCs/>
          <w:b/>
        </w:rPr>
        <w:t xml:space="preserve">no son una muestra aleatoria</w:t>
      </w:r>
      <w:r>
        <w:t xml:space="preserve"> </w:t>
      </w:r>
      <w:r>
        <w:t xml:space="preserve">de las 152 preguntas: se eligieron por constructo de</w:t>
      </w:r>
      <w:r>
        <w:t xml:space="preserve"> </w:t>
      </w:r>
      <w:r>
        <w:t xml:space="preserve">marketing. La diferencia con el piloto de Ikuspegi es que aquí la selección es</w:t>
      </w:r>
      <w:r>
        <w:t xml:space="preserve"> </w:t>
      </w:r>
      <w:r>
        <w:rPr>
          <w:bCs/>
          <w:b/>
        </w:rPr>
        <w:t xml:space="preserve">ex ante y por</w:t>
      </w:r>
      <w:r>
        <w:rPr>
          <w:bCs/>
          <w:b/>
        </w:rPr>
        <w:t xml:space="preserve"> </w:t>
      </w:r>
      <w:r>
        <w:rPr>
          <w:bCs/>
          <w:b/>
        </w:rPr>
        <w:t xml:space="preserve">contenido</w:t>
      </w:r>
      <w:r>
        <w:t xml:space="preserve">, no por resultado, y el grupo de contraste político (E) se define con el mismo criterio</w:t>
      </w:r>
      <w:r>
        <w:t xml:space="preserve"> </w:t>
      </w:r>
      <w:r>
        <w:t xml:space="preserve">para poder comparar. Aun así hay que declararlo en el paper.</w:t>
      </w:r>
    </w:p>
    <w:bookmarkEnd w:id="25"/>
    <w:bookmarkStart w:id="26" w:name="detalle-por-ítem"/>
    <w:p>
      <w:pPr>
        <w:pStyle w:val="Heading2"/>
      </w:pPr>
      <w:r>
        <w:t xml:space="preserve">Detalle por ítem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 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techo 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vs moda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conc.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conc.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en el último mes, y como consecuencia de tu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MULTI:barometro_digital_4_turismo.json:1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¿Crees que el turismo tiene alguno de los siguientes efe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ha aumentado en los últimos años tu miedo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¿Has descartado o modificado un viaje en los últimos 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fue la principal razón?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crees que el aumento de turistas afecta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valoración le das a cada uno de los siguientes serv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confías en cada una de las siguientes org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2026-08-21T21:03:26Z</dcterms:created>
  <dcterms:modified xsi:type="dcterms:W3CDTF">2026-08-21T21:03:26Z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