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affe6b4dfb69abc0c2e6059f8e793cefd4f5de"/>
    <w:p>
      <w:pPr>
        <w:pStyle w:val="Heading1"/>
      </w:pPr>
      <w:r>
        <w:t xml:space="preserve">§3 — Marco teórico: dos límites a la fidelidad individual</w:t>
      </w:r>
    </w:p>
    <w:p>
      <w:pPr>
        <w:pStyle w:val="BlockText"/>
      </w:pPr>
      <w:r>
        <w:rPr>
          <w:bCs/>
          <w:b/>
        </w:rPr>
        <w:t xml:space="preserve">Nota de idioma:</w:t>
      </w:r>
      <w:r>
        <w:t xml:space="preserve"> </w:t>
      </w:r>
      <w:r>
        <w:t xml:space="preserve">el texto de manuscrito va en</w:t>
      </w:r>
      <w:r>
        <w:t xml:space="preserve"> </w:t>
      </w:r>
      <w:r>
        <w:rPr>
          <w:bCs/>
          <w:b/>
        </w:rPr>
        <w:t xml:space="preserve">inglés</w:t>
      </w:r>
      <w:r>
        <w:t xml:space="preserve">, porque es lo que se envía a IJRM y</w:t>
      </w:r>
      <w:r>
        <w:t xml:space="preserve"> </w:t>
      </w:r>
      <w:r>
        <w:t xml:space="preserve">traducir después introduce deriva. Las notas editoriales, decisiones y pendientes van en español,</w:t>
      </w:r>
      <w:r>
        <w:t xml:space="preserve"> </w:t>
      </w:r>
      <w:r>
        <w:t xml:space="preserve">marcados con</w:t>
      </w:r>
      <w:r>
        <w:t xml:space="preserve"> </w:t>
      </w:r>
      <w:r>
        <w:rPr>
          <w:rStyle w:val="VerbatimChar"/>
        </w:rPr>
        <w:t xml:space="preserve">▸</w:t>
      </w:r>
      <w:r>
        <w:t xml:space="preserve">. Borrador 1, 2026-08-21.</w:t>
      </w:r>
    </w:p>
    <w:p>
      <w:r>
        <w:pict>
          <v:rect style="width:0;height:1.5pt" o:hralign="center" o:hrstd="t" o:hr="t"/>
        </w:pict>
      </w:r>
    </w:p>
    <w:bookmarkStart w:id="20" w:name="setup-and-notation"/>
    <w:p>
      <w:pPr>
        <w:pStyle w:val="Heading2"/>
      </w:pPr>
      <w:r>
        <w:t xml:space="preserve">3.1 · Setup and notation</w:t>
      </w:r>
    </w:p>
    <w:p>
      <w:pPr>
        <w:pStyle w:val="FirstParagraph"/>
      </w:pPr>
      <w:r>
        <w:t xml:space="preserve">Consider a target population of respondents indexed by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 Each respondent is</w:t>
      </w:r>
      <w:r>
        <w:t xml:space="preserve"> </w:t>
      </w:r>
      <w:r>
        <w:t xml:space="preserve">characterised by a</w:t>
      </w:r>
      <w:r>
        <w:t xml:space="preserve"> </w:t>
      </w:r>
      <w:r>
        <w:rPr>
          <w:bCs/>
          <w:b/>
        </w:rPr>
        <w:t xml:space="preserve">profile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  <m:scr m:val="script"/>
          </m:rPr>
          <m:t>X</m:t>
        </m:r>
      </m:oMath>
      <w:r>
        <w:t xml:space="preserve"> </w:t>
      </w:r>
      <w:r>
        <w:t xml:space="preserve">— the vector of attributes available to the</w:t>
      </w:r>
      <w:r>
        <w:t xml:space="preserve"> </w:t>
      </w:r>
      <w:r>
        <w:t xml:space="preserve">researcher when constructing a synthetic respondent (demographics, geography, language, education,</w:t>
      </w:r>
      <w:r>
        <w:t xml:space="preserve"> </w:t>
      </w:r>
      <w:r>
        <w:t xml:space="preserve">occupation, and whatever attitudinal anchors the design injects) — and gives a response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w:r>
        <w:t xml:space="preserve">survey item</w:t>
      </w:r>
      <w:r>
        <w:t xml:space="preserve"> </w:t>
      </w:r>
      <m:oMath>
        <m:r>
          <m:t>q</m:t>
        </m:r>
      </m:oMath>
      <w:r>
        <w:t xml:space="preserve">, taking values 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(a rating scale, an ordered category, or an</w:t>
      </w:r>
      <w:r>
        <w:t xml:space="preserve"> </w:t>
      </w:r>
      <w:r>
        <w:t xml:space="preserve">unordered choice).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synthetic respondent</w:t>
      </w:r>
      <w:r>
        <w:t xml:space="preserve"> </w:t>
      </w:r>
      <w:r>
        <w:t xml:space="preserve">is a stochastic map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 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the prompt template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language model with its decoding parameters. Two</w:t>
      </w:r>
      <w:r>
        <w:t xml:space="preserve"> </w:t>
      </w:r>
      <w:r>
        <w:t xml:space="preserve">features of this object matter for what follows. First,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bCs/>
          <w:b/>
        </w:rPr>
        <w:t xml:space="preserve">only through</w:t>
      </w:r>
      <w:r>
        <w:rPr>
          <w:bCs/>
          <w:b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 whatever the model knows about respondent</w:t>
      </w:r>
      <w:r>
        <w:t xml:space="preserve"> </w:t>
      </w:r>
      <m:oMath>
        <m:r>
          <m:t>i</m:t>
        </m:r>
      </m:oMath>
      <w:r>
        <w:t xml:space="preserve">, it knows it from the profile. Second,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genuinely stochastic — at the default sampling temperature the same profile queried twice</w:t>
      </w:r>
      <w:r>
        <w:t xml:space="preserve"> </w:t>
      </w:r>
      <w:r>
        <w:t xml:space="preserve">need not return the same answer.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 </w:t>
      </w:r>
      <w:r>
        <w:t xml:space="preserve">for the conditional mean of the synthetic response and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 </w:t>
      </w:r>
      <w:r>
        <w:t xml:space="preserve">for the conditional mean of the real response.</w:t>
      </w:r>
    </w:p>
    <w:p>
      <w:pPr>
        <w:pStyle w:val="BodyText"/>
      </w:pPr>
      <w:r>
        <w:t xml:space="preserve">We evaluate synthetic respondents at two levels, and the distinction is the axis of this paper: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Aggregate fidelity</w:t>
      </w:r>
      <w:r>
        <w:t xml:space="preserve"> </w:t>
      </w:r>
      <w:r>
        <w:t xml:space="preserve">— how close the synthetic marginal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k</m:t>
            </m:r>
          </m:e>
        </m:d>
      </m:oMath>
      <w:r>
        <w:t xml:space="preserve"> </w:t>
      </w:r>
      <w:r>
        <w:t xml:space="preserve">is to the observed</w:t>
      </w:r>
      <w:r>
        <w:t xml:space="preserve"> </w:t>
      </w:r>
      <w:r>
        <w:t xml:space="preserve">marginal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k</m:t>
            </m:r>
          </m:e>
        </m:d>
      </m:oMath>
      <w:r>
        <w:t xml:space="preserve">. This is what published validations almost always report.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Individual fidelity</w:t>
      </w:r>
      <w:r>
        <w:t xml:space="preserve"> </w:t>
      </w:r>
      <w:r>
        <w:t xml:space="preserve">— how well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tracks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person</w:t>
      </w:r>
      <w:r>
        <w:t xml:space="preserve"> </w:t>
      </w:r>
      <m:oMath>
        <m:r>
          <m:t>i</m:t>
        </m:r>
      </m:oMath>
      <w:r>
        <w:t xml:space="preserve">. This is</w:t>
      </w:r>
      <w:r>
        <w:t xml:space="preserve"> </w:t>
      </w:r>
      <w:r>
        <w:t xml:space="preserve">Argyle et al.’s (2023) most demanding criterion,</w:t>
      </w:r>
      <w:r>
        <w:t xml:space="preserve"> </w:t>
      </w:r>
      <w:r>
        <w:rPr>
          <w:iCs/>
          <w:i/>
        </w:rPr>
        <w:t xml:space="preserve">pattern correspondence</w:t>
      </w:r>
      <w:r>
        <w:t xml:space="preserve">, and it is what any</w:t>
      </w:r>
      <w:r>
        <w:t xml:space="preserve"> </w:t>
      </w:r>
      <w:r>
        <w:t xml:space="preserve">application involving heterogeneity actually requires.</w:t>
      </w:r>
    </w:p>
    <w:p>
      <w:pPr>
        <w:pStyle w:val="FirstParagraph"/>
      </w:pPr>
      <w:r>
        <w:t xml:space="preserve">▸</w:t>
      </w:r>
      <w:r>
        <w:t xml:space="preserve"> </w:t>
      </w:r>
      <w:r>
        <w:rPr>
          <w:iCs/>
          <w:i/>
        </w:rPr>
        <w:t xml:space="preserve">Aquí conviene una frase que sitúe el paper: la literatura valida sobre todo lo primero y</w:t>
      </w:r>
      <w:r>
        <w:t xml:space="preserve"> </w:t>
      </w:r>
      <w:r>
        <w:rPr>
          <w:iCs/>
          <w:i/>
        </w:rPr>
        <w:t xml:space="preserve">promete lo segundo.</w:t>
      </w:r>
    </w:p>
    <w:p>
      <w:r>
        <w:pict>
          <v:rect style="width:0;height:1.5pt" o:hralign="center" o:hrstd="t" o:hr="t"/>
        </w:pict>
      </w:r>
    </w:p>
    <w:bookmarkEnd w:id="20"/>
    <w:bookmarkStart w:id="23" w:name="proposition-1-the-information-ceiling"/>
    <w:p>
      <w:pPr>
        <w:pStyle w:val="Heading2"/>
      </w:pPr>
      <w:r>
        <w:t xml:space="preserve">3.2 · Proposition 1 — The information ceiling</w:t>
      </w:r>
    </w:p>
    <w:p>
      <w:pPr>
        <w:pStyle w:val="FirstParagraph"/>
      </w:pPr>
      <w:r>
        <w:rPr>
          <w:bCs/>
          <w:b/>
        </w:rPr>
        <w:t xml:space="preserve">Proposition 1.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ty m:val="p"/>
            <m:scr m:val="script"/>
          </m:rPr>
          <m:t>X</m:t>
        </m:r>
        <m:r>
          <m:rPr>
            <m:sty m:val="p"/>
          </m:rPr>
          <m:t>→</m:t>
        </m:r>
        <m:r>
          <m:rPr>
            <m:sty m:val="p"/>
            <m:scr m:val="double-struck"/>
          </m:rPr>
          <m:t>R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be any predictor of</w:t>
      </w:r>
      <w:r>
        <w:rPr>
          <w:iCs/>
          <w:i/>
        </w:rPr>
        <w:t xml:space="preserve"> </w:t>
      </w:r>
      <m:oMath>
        <m:r>
          <m:t>y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that depends on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only through</w:t>
      </w:r>
      <w:r>
        <w:rPr>
          <w:iCs/>
          <w:i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corr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  <m:r>
            <m:t>  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Var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num>
            <m:den>
              <m:r>
                <m:rPr>
                  <m:sty m:val="p"/>
                </m:rPr>
                <m:t>Var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Cs/>
          <w:i/>
        </w:rPr>
        <w:t xml:space="preserve">with equality if and only if</w:t>
      </w:r>
      <w:r>
        <w:rPr>
          <w:iCs/>
          <w:i/>
        </w:rPr>
        <w:t xml:space="preserve"> </w:t>
      </w:r>
      <m:oMath>
        <m:r>
          <m:t>g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an affine transformation of</w:t>
      </w:r>
      <w:r>
        <w:rPr>
          <w:iCs/>
          <w:i/>
        </w:rP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Cs/>
          <w:i/>
        </w:rP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By the tower property,</w:t>
      </w:r>
      <w:r>
        <w:t xml:space="preserve"> </w:t>
      </w:r>
      <m:oMath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μ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.</w:t>
      </w:r>
      <w:r>
        <w:t xml:space="preserve"> </w:t>
      </w:r>
      <w:r>
        <w:t xml:space="preserve">Cauchy–Schwarz gives</w:t>
      </w:r>
      <w:r>
        <w:t xml:space="preserve"> </w:t>
      </w:r>
      <m:oMath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μ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sSub>
          <m:e>
            <m:r>
              <m:t>σ</m:t>
            </m:r>
          </m:e>
          <m:sub>
            <m:r>
              <m:t>g</m:t>
            </m:r>
          </m:sub>
        </m:sSub>
        <m:r>
          <m:t> </m:t>
        </m:r>
        <m:sSub>
          <m:e>
            <m:r>
              <m:t>σ</m:t>
            </m:r>
          </m:e>
          <m:sub>
            <m:r>
              <m:t>μ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corr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≤</m:t>
        </m:r>
        <m:sSub>
          <m:e>
            <m:r>
              <m:t>σ</m:t>
            </m:r>
          </m:e>
          <m:sub>
            <m:r>
              <m:t>μ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rPr>
                    <m:sty m:val="p"/>
                  </m:rPr>
                  <m:t>max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. Equality requires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to be perfectly linearly dependent.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Two extensions matter in practice.</w:t>
      </w:r>
    </w:p>
    <w:p>
      <w:pPr>
        <w:pStyle w:val="BodyText"/>
      </w:pPr>
      <w:r>
        <w:rPr>
          <w:bCs/>
          <w:b/>
        </w:rPr>
        <w:t xml:space="preserve">(i) Stochastic responses can only lower the bound.</w:t>
      </w:r>
      <w:r>
        <w:t xml:space="preserve"> </w:t>
      </w:r>
      <w:r>
        <w:t xml:space="preserve">A synthetic respondent does not return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but a draw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around it. Decomposing</w:t>
      </w:r>
      <w:r>
        <w:t xml:space="preserve"> </w:t>
      </w:r>
      <m:oMath>
        <m:r>
          <m:rPr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Var</m:t>
            </m:r>
            <m:d>
              <m:dPr>
                <m:begChr m:val="("/>
                <m:endChr m:val=")"/>
                <m:sepChr m:val="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and noting that the second term contributes nothing to</w:t>
      </w:r>
      <w:r>
        <w:t xml:space="preserve"> </w:t>
      </w:r>
      <m:oMath>
        <m:r>
          <m:rPr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corr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corr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num>
                <m:den>
                  <m:r>
                    <m:rPr>
                      <m:sty m:val="p"/>
                    </m:rPr>
                    <m:t>Var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den>
              </m:f>
            </m:e>
          </m:rad>
          <m:r>
            <m:t> </m:t>
          </m:r>
          <m:r>
            <m:rPr>
              <m:sty m:val="p"/>
            </m:rPr>
            <m:t>≤</m:t>
          </m:r>
          <m:r>
            <m:t> </m:t>
          </m:r>
          <m:rad>
            <m:radPr>
              <m:degHide m:val="on"/>
            </m:radPr>
            <m:deg/>
            <m:e>
              <m:sSubSup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Sampling noise is a strict attenuation. The ceiling therefore binds</w:t>
      </w:r>
      <w:r>
        <w:t xml:space="preserve"> </w:t>
      </w:r>
      <w:r>
        <w:rPr>
          <w:iCs/>
          <w:i/>
        </w:rPr>
        <w:t xml:space="preserve">a fortiori</w:t>
      </w:r>
      <w:r>
        <w:t xml:space="preserve"> </w:t>
      </w:r>
      <w:r>
        <w:t xml:space="preserve">for any</w:t>
      </w:r>
      <w:r>
        <w:t xml:space="preserve"> </w:t>
      </w:r>
      <w:r>
        <w:t xml:space="preserve">temperature setting.</w:t>
      </w:r>
    </w:p>
    <w:p>
      <w:pPr>
        <w:pStyle w:val="BodyText"/>
      </w:pPr>
      <w:r>
        <w:rPr>
          <w:bCs/>
          <w:b/>
        </w:rPr>
        <w:t xml:space="preserve">(ii) The bound is a property of the data, not of the method.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determined by the</w:t>
      </w:r>
      <w:r>
        <w:t xml:space="preserve"> </w:t>
      </w:r>
      <w:r>
        <w:t xml:space="preserve">joint distribution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in the target population. It does not depend on the language model,</w:t>
      </w:r>
      <w:r>
        <w:t xml:space="preserve"> </w:t>
      </w:r>
      <w:r>
        <w:t xml:space="preserve">the prompt, the number of synthetic respondents generated, or indeed on whether the predictor is</w:t>
      </w:r>
      <w:r>
        <w:t xml:space="preserve"> </w:t>
      </w:r>
      <w:r>
        <w:t xml:space="preserve">generative at all. A better model cannot cross it; neither can hot-deck imputation,</w:t>
      </w:r>
      <w:r>
        <w:t xml:space="preserve"> </w:t>
      </w:r>
      <m:oMath>
        <m:r>
          <m:t>k</m:t>
        </m:r>
      </m:oMath>
      <w:r>
        <w:t xml:space="preserve">-NN</w:t>
      </w:r>
      <w:r>
        <w:t xml:space="preserve"> </w:t>
      </w:r>
      <w:r>
        <w:t xml:space="preserve">matching, or a regression.</w:t>
      </w:r>
      <w:r>
        <w:t xml:space="preserve"> </w:t>
      </w:r>
      <w:r>
        <w:rPr>
          <w:bCs/>
          <w:b/>
        </w:rPr>
        <w:t xml:space="preserve">It is the amount of information the profile carries about the answer.</w:t>
      </w:r>
    </w:p>
    <w:bookmarkStart w:id="21" w:name="estimation"/>
    <w:p>
      <w:pPr>
        <w:pStyle w:val="Heading3"/>
      </w:pPr>
      <w:r>
        <w:t xml:space="preserve">Estimation</w:t>
      </w:r>
    </w:p>
    <w:p>
      <w:pPr>
        <w:pStyle w:val="FirstParagraph"/>
      </w:pPr>
      <m:oMath>
        <m:sSubSup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unobserved but estimable from a single wave of real microdata: regress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</w:t>
      </w:r>
      <w:r>
        <w:t xml:space="preserve"> </w:t>
      </w:r>
      <w:r>
        <w:t xml:space="preserve">flexible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take the</w:t>
      </w:r>
      <w:r>
        <w:t xml:space="preserve"> </w:t>
      </w:r>
      <w:r>
        <w:rPr>
          <w:bCs/>
          <w:b/>
        </w:rPr>
        <w:t xml:space="preserve">out-of-sample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 Three remarks, each of which we</w:t>
      </w:r>
      <w:r>
        <w:t xml:space="preserve"> </w:t>
      </w:r>
      <w:r>
        <w:t xml:space="preserve">implement: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Out-of-sample is essential.</w:t>
      </w:r>
      <w:r>
        <w:t xml:space="preserve"> </w:t>
      </w:r>
      <w:r>
        <w:t xml:space="preserve">With a rich profile the in-sample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upward-biased and</w:t>
      </w:r>
      <w:r>
        <w:t xml:space="preserve"> </w:t>
      </w:r>
      <w:r>
        <w:t xml:space="preserve">would inflate the estimated ceiling — precisely the direction that would flatter the method.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estimate is conservative in the model class.</w:t>
      </w:r>
      <w:r>
        <w:t xml:space="preserve"> </w:t>
      </w:r>
      <w:r>
        <w:t xml:space="preserve">A linear estimator recovers</w:t>
      </w:r>
      <w:r>
        <w:t xml:space="preserve"> </w:t>
      </w:r>
      <m:oMath>
        <m:r>
          <m:rPr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only 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linear in the design matrix; otherwise it</w:t>
      </w:r>
      <w:r>
        <w:t xml:space="preserve"> </w:t>
      </w:r>
      <w:r>
        <w:t xml:space="preserve">understates the ceiling. We therefore report both a regularised linear estimate and a gradient</w:t>
      </w:r>
      <w:r>
        <w:t xml:space="preserve"> </w:t>
      </w:r>
      <w:r>
        <w:t xml:space="preserve">boosting estimate, and treat the larger as the operative bound.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Cross-validation noise is not negligible.</w:t>
      </w:r>
      <w:r>
        <w:t xml:space="preserve"> </w:t>
      </w:r>
      <w:r>
        <w:t xml:space="preserve">In our data the standard deviation of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estimate across repeated 5-fold partitions is</w:t>
      </w:r>
      <w:r>
        <w:t xml:space="preserve"> </w:t>
      </w:r>
      <m:oMath>
        <m:r>
          <m:t>0.013</m:t>
        </m:r>
      </m:oMath>
      <w:r>
        <w:t xml:space="preserve">, which is of the same order as the signal</w:t>
      </w:r>
      <w:r>
        <w:t xml:space="preserve"> </w:t>
      </w:r>
      <w:r>
        <w:t xml:space="preserve">for low-ceiling items. Single-split estimates are not reportable; we average over 20 repetitions</w:t>
      </w:r>
      <w:r>
        <w:t xml:space="preserve"> </w:t>
      </w:r>
      <w:r>
        <w:t xml:space="preserve">with an item-specific seed.</w:t>
      </w:r>
    </w:p>
    <w:p>
      <w:pPr>
        <w:pStyle w:val="FirstParagraph"/>
      </w:pPr>
      <w:r>
        <w:t xml:space="preserve">▸</w:t>
      </w:r>
      <w:r>
        <w:t xml:space="preserve"> </w:t>
      </w:r>
      <w:r>
        <w:rPr>
          <w:iCs/>
          <w:i/>
        </w:rPr>
        <w:t xml:space="preserve">Este punto 3 vino de encontrar que la semilla era global y secuencial. Merece nota al pie: es</w:t>
      </w:r>
      <w:r>
        <w:t xml:space="preserve"> </w:t>
      </w:r>
      <w:r>
        <w:rPr>
          <w:iCs/>
          <w:i/>
        </w:rPr>
        <w:t xml:space="preserve">un fallo de reproducibilidad frecuente y barato de arreglar.</w:t>
      </w:r>
    </w:p>
    <w:bookmarkEnd w:id="21"/>
    <w:bookmarkStart w:id="22" w:name="X8c15527be982db646adba07e46d75435825f88f"/>
    <w:p>
      <w:pPr>
        <w:pStyle w:val="Heading3"/>
      </w:pPr>
      <w:r>
        <w:t xml:space="preserve">Why this is the paper’s first contribution</w:t>
      </w:r>
    </w:p>
    <w:p>
      <w:pPr>
        <w:pStyle w:val="FirstParagraph"/>
      </w:pPr>
      <w:r>
        <w:t xml:space="preserve">The ceiling is a</w:t>
      </w:r>
      <w:r>
        <w:t xml:space="preserve"> </w:t>
      </w:r>
      <w:r>
        <w:rPr>
          <w:bCs/>
          <w:b/>
        </w:rPr>
        <w:t xml:space="preserve">pre-commitment diagnostic</w:t>
      </w:r>
      <w:r>
        <w:t xml:space="preserve">. Any organisation contemplating synthetic</w:t>
      </w:r>
      <w:r>
        <w:t xml:space="preserve"> </w:t>
      </w:r>
      <w:r>
        <w:t xml:space="preserve">respondents typically already holds one wave of real microdata on the same population. Running the</w:t>
      </w:r>
      <w:r>
        <w:t xml:space="preserve"> </w:t>
      </w:r>
      <w:r>
        <w:t xml:space="preserve">regression above costs minutes and returns the maximum individual-level correlation any method</w:t>
      </w:r>
      <w:r>
        <w:t xml:space="preserve"> </w:t>
      </w:r>
      <w:r>
        <w:t xml:space="preserve">could achieve on each item, before a single euro is spent on generation. We know of no comparable</w:t>
      </w:r>
      <w:r>
        <w:t xml:space="preserve"> </w:t>
      </w:r>
      <w:r>
        <w:rPr>
          <w:iCs/>
          <w:i/>
        </w:rPr>
        <w:t xml:space="preserve">ex ante</w:t>
      </w:r>
      <w:r>
        <w:t xml:space="preserve"> </w:t>
      </w:r>
      <w:r>
        <w:t xml:space="preserve">test in the marketing literature.</w:t>
      </w:r>
    </w:p>
    <w:p>
      <w:pPr>
        <w:pStyle w:val="BodyText"/>
      </w:pPr>
      <w:r>
        <w:t xml:space="preserve">▸</w:t>
      </w:r>
      <w:r>
        <w:t xml:space="preserve"> </w:t>
      </w:r>
      <w:r>
        <w:rPr>
          <w:iCs/>
          <w:i/>
        </w:rPr>
        <w:t xml:space="preserve">Cifras a insertar: techo medio 0,22 (lineal) / 0,23 (GBM) sobre 100 ítems; 15 con R² ≤ 0.</w:t>
      </w:r>
      <w:r>
        <w:t xml:space="preserve"> </w:t>
      </w:r>
      <w:r>
        <w:rPr>
          <w:iCs/>
          <w:i/>
        </w:rPr>
        <w:t xml:space="preserve">Por constructo de marketing: consumo 0,13 · viaje 0,14 · satisfacción 0,25 · marca 0,35, frente a</w:t>
      </w:r>
      <w:r>
        <w:t xml:space="preserve"> </w:t>
      </w:r>
      <w:r>
        <w:rPr>
          <w:iCs/>
          <w:i/>
        </w:rPr>
        <w:t xml:space="preserve">contraste político 0,40. Ver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resultados_marketing.md</w:t>
      </w:r>
      <w:r>
        <w:rPr>
          <w:iCs/>
          <w:i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7c50070914191c3ee3b05cfbc41e11954e5d861"/>
    <w:p>
      <w:pPr>
        <w:pStyle w:val="Heading2"/>
      </w:pPr>
      <w:r>
        <w:t xml:space="preserve">3.3 · Proposition 2 — Conditional variance collapse</w:t>
      </w:r>
    </w:p>
    <w:p>
      <w:pPr>
        <w:pStyle w:val="FirstParagraph"/>
      </w:pPr>
      <w:r>
        <w:t xml:space="preserve">Proposition 1 bounds what any profile-conditioned method can achieve. It says nothing about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a language model fails when it falls short. The natural hypotheses — that the model ignores</w:t>
      </w:r>
      <w:r>
        <w:t xml:space="preserve"> </w:t>
      </w:r>
      <w:r>
        <w:t xml:space="preserve">the profile, or that it applies a directional bias — are both refutable, and in our data both are</w:t>
      </w:r>
      <w:r>
        <w:t xml:space="preserve"> </w:t>
      </w:r>
      <w:r>
        <w:t xml:space="preserve">refuted. What we observe instead is a failure of the</w:t>
      </w:r>
      <w:r>
        <w:t xml:space="preserve"> </w:t>
      </w:r>
      <w:r>
        <w:rPr>
          <w:bCs/>
          <w:b/>
        </w:rPr>
        <w:t xml:space="preserve">second</w:t>
      </w:r>
      <w:r>
        <w:t xml:space="preserve"> </w:t>
      </w:r>
      <w:r>
        <w:t xml:space="preserve">moment.</w:t>
      </w:r>
    </w:p>
    <w:p>
      <w:pPr>
        <w:pStyle w:val="BodyText"/>
      </w:pPr>
      <w:r>
        <w:rPr>
          <w:bCs/>
          <w:b/>
        </w:rPr>
        <w:t xml:space="preserve">Definitions.</w:t>
      </w:r>
      <w:r>
        <w:t xml:space="preserve"> </w:t>
      </w:r>
      <w:r>
        <w:t xml:space="preserve">For a categorical item with support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, define the</w:t>
      </w:r>
      <w:r>
        <w:t xml:space="preserve"> </w:t>
      </w:r>
      <w:r>
        <w:rPr>
          <w:bCs/>
          <w:b/>
        </w:rPr>
        <w:t xml:space="preserve">conditional</w:t>
      </w:r>
      <w:r>
        <w:rPr>
          <w:bCs/>
          <w:b/>
        </w:rPr>
        <w:t xml:space="preserve"> </w:t>
      </w:r>
      <w:r>
        <w:rPr>
          <w:bCs/>
          <w:b/>
        </w:rPr>
        <w:t xml:space="preserve">modal concentration</w:t>
      </w:r>
      <w:r>
        <w:t xml:space="preserve"> </w:t>
      </w:r>
      <w:r>
        <w:t xml:space="preserve">of a response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x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</m:lim>
              </m:limLow>
              <m:r>
                <m:t> 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corresponding marginal quantity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k</m:t>
            </m:r>
          </m:e>
        </m:d>
      </m:oMath>
      <w:r>
        <w:t xml:space="preserve">. The</w:t>
      </w:r>
      <w:r>
        <w:t xml:space="preserve"> </w:t>
      </w:r>
      <w:r>
        <w:rPr>
          <w:bCs/>
          <w:b/>
        </w:rPr>
        <w:t xml:space="preserve">collapse index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C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acc>
            <m:accPr>
              <m:chr m:val="‾"/>
            </m:accPr>
            <m:e>
              <m:r>
                <m:t>C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</m:d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C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Proposition 2 (variance collapse).</w:t>
      </w:r>
      <w:r>
        <w:t xml:space="preserve"> </w:t>
      </w:r>
      <w:r>
        <w:rPr>
          <w:iCs/>
          <w:i/>
        </w:rPr>
        <w:t xml:space="preserve">A synthetic respondent may reproduce the ordering of</w:t>
      </w:r>
      <w:r>
        <w:rPr>
          <w:iCs/>
          <w:i/>
        </w:rPr>
        <w:t xml:space="preserve"> </w:t>
      </w:r>
      <w:r>
        <w:rPr>
          <w:iCs/>
          <w:i/>
        </w:rPr>
        <w:t xml:space="preserve">conditional means —</w:t>
      </w:r>
      <w:r>
        <w:rPr>
          <w:iCs/>
          <w:i/>
        </w:rPr>
        <w:t xml:space="preserve"> </w:t>
      </w:r>
      <m:oMath>
        <m:r>
          <m:rPr>
            <m:sty m:val="p"/>
          </m:rPr>
          <m:t>corr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μ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large and correctly signed — while</w:t>
      </w:r>
      <w:r>
        <w:rPr>
          <w:iCs/>
          <w:i/>
        </w:rPr>
        <w:t xml:space="preserve"> </w:t>
      </w:r>
      <w:r>
        <w:rPr>
          <w:iCs/>
          <w:i/>
        </w:rPr>
        <w:t xml:space="preserve">systematically compressing the conditional distribution: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 </m:t>
          </m:r>
          <m:r>
            <m:rPr>
              <m:sty m:val="p"/>
            </m:rPr>
            <m:t>≪</m:t>
          </m:r>
          <m:r>
            <m:t> </m:t>
          </m:r>
          <m:r>
            <m:rPr>
              <m:sty m:val="p"/>
            </m:rPr>
            <m:t>Var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 </m:t>
          </m:r>
          <m:r>
            <m:rPr>
              <m:nor/>
              <m:sty m:val="p"/>
            </m:rPr>
            <m:t>for almost every 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moments are logically independent: nothing in matching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constrains</w:t>
      </w:r>
      <w:r>
        <w:t xml:space="preserve"> </w:t>
      </w:r>
      <m:oMath>
        <m:r>
          <m:rPr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. Persona prompting optimises the former and is silent on the latter.</w:t>
      </w:r>
    </w:p>
    <w:p>
      <w:pPr>
        <w:pStyle w:val="BodyText"/>
      </w:pPr>
      <w:r>
        <w:rPr>
          <w:bCs/>
          <w:b/>
        </w:rPr>
        <w:t xml:space="preserve">Mechanism.</w:t>
      </w:r>
      <w:r>
        <w:t xml:space="preserve"> </w:t>
      </w:r>
      <w:r>
        <w:t xml:space="preserve">We offer a conjecture rather than a proof. Language models are trained to place mass</w:t>
      </w:r>
      <w:r>
        <w:t xml:space="preserve"> </w:t>
      </w:r>
      <w:r>
        <w:t xml:space="preserve">on likely continuations and are further tuned, through preference optimisation, toward responses a</w:t>
      </w:r>
      <w:r>
        <w:t xml:space="preserve"> </w:t>
      </w:r>
      <w:r>
        <w:t xml:space="preserve">rater would judge appropriate. Conditioning on a persona description therefore elicits the</w:t>
      </w:r>
      <w:r>
        <w:t xml:space="preserve"> </w:t>
      </w:r>
      <w:r>
        <w:rPr>
          <w:iCs/>
          <w:i/>
        </w:rPr>
        <w:t xml:space="preserve">typical</w:t>
      </w:r>
      <w:r>
        <w:t xml:space="preserve"> </w:t>
      </w:r>
      <w:r>
        <w:t xml:space="preserve">response of that type — a conditional mode — rather than a draw from the within-type</w:t>
      </w:r>
      <w:r>
        <w:t xml:space="preserve"> </w:t>
      </w:r>
      <w:r>
        <w:t xml:space="preserve">distribution. A persona is a stereotype, and a stereotype is a point, not a distribution. Real</w:t>
      </w:r>
      <w:r>
        <w:t xml:space="preserve"> </w:t>
      </w:r>
      <w:r>
        <w:t xml:space="preserve">populations contain substantial within-cell heterogeneity that the profile does not explain</w:t>
      </w:r>
      <w:r>
        <w:t xml:space="preserve"> </w:t>
      </w:r>
      <w:r>
        <w:t xml:space="preserve">(Proposition 1 quantifies exactly how much); a model that emits the conditional mode discards all</w:t>
      </w:r>
      <w:r>
        <w:t xml:space="preserve"> </w:t>
      </w:r>
      <w:r>
        <w:t xml:space="preserve">of it.</w:t>
      </w:r>
    </w:p>
    <w:bookmarkStart w:id="24" w:name="testable-implications"/>
    <w:p>
      <w:pPr>
        <w:pStyle w:val="Heading3"/>
      </w:pPr>
      <w:r>
        <w:t xml:space="preserve">Testable implications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our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P2a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and does not vanish as the number of synthetic respondents grows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Confirmed;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bCs/>
                <w:b/>
              </w:rPr>
              <w:t xml:space="preserve">increases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(81.7 → 83.7 from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P2b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does not shrink when the profile is enriched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and amplified: enrichment</w:t>
            </w:r>
            <w:r>
              <w:t xml:space="preserve"> </w:t>
            </w:r>
            <w:r>
              <w:rPr>
                <w:bCs/>
                <w:b/>
              </w:rPr>
              <w:t xml:space="preserve">worsens</w:t>
            </w:r>
            <w:r>
              <w:t xml:space="preserve"> </w:t>
            </w:r>
            <w:r>
              <w:t xml:space="preserve">it (83.7 → 88.8)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is preserved — profile effects are correctly signed and non-trivial in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Confirmed; Cramér’s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with vote choice averages 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categories are systematically under-produced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Confirmed; two options held by 34.2 % and 31.3 % of the real population were chosen by</w:t>
            </w:r>
            <w:r>
              <w:t xml:space="preserve"> </w:t>
            </w:r>
            <w:r>
              <w:rPr>
                <w:bCs/>
                <w:b/>
              </w:rPr>
              <w:t xml:space="preserve">none</w:t>
            </w:r>
            <w:r>
              <w:t xml:space="preserve"> </w:t>
            </w:r>
            <w:r>
              <w:t xml:space="preserve">of 1,000 synthetic respondents</w:t>
            </w:r>
          </w:p>
        </w:tc>
      </w:tr>
    </w:tbl>
    <w:p>
      <w:pPr>
        <w:pStyle w:val="BodyText"/>
      </w:pPr>
      <w:r>
        <w:t xml:space="preserve">▸</w:t>
      </w:r>
      <w:r>
        <w:t xml:space="preserve"> </w:t>
      </w:r>
      <w:r>
        <w:rPr>
          <w:iCs/>
          <w:i/>
        </w:rPr>
        <w:t xml:space="preserve">P2b es el resultado que más va a sorprender al revisor, porque contradice el supuesto de diseño</w:t>
      </w:r>
      <w:r>
        <w:t xml:space="preserve"> </w:t>
      </w:r>
      <w:r>
        <w:rPr>
          <w:iCs/>
          <w:i/>
        </w:rPr>
        <w:t xml:space="preserve">dominante (</w:t>
      </w:r>
      <w:r>
        <w:rPr>
          <w:iCs/>
          <w:i/>
        </w:rPr>
        <w:t xml:space="preserve">“</w:t>
      </w:r>
      <w:r>
        <w:rPr>
          <w:iCs/>
          <w:i/>
        </w:rPr>
        <w:t xml:space="preserve">más contexto, mejor Persona</w:t>
      </w:r>
      <w:r>
        <w:rPr>
          <w:iCs/>
          <w:i/>
        </w:rPr>
        <w:t xml:space="preserve">”</w:t>
      </w:r>
      <w:r>
        <w:rPr>
          <w:iCs/>
          <w:i/>
        </w:rPr>
        <w:t xml:space="preserve">). Conviene enunciarlo en la intro, no esconderlo aquí.</w:t>
      </w:r>
    </w:p>
    <w:p>
      <w:pPr>
        <w:pStyle w:val="BodyText"/>
      </w:pPr>
      <w:r>
        <w:t xml:space="preserve">▸</w:t>
      </w:r>
      <w:r>
        <w:t xml:space="preserve"> </w:t>
      </w:r>
      <w:r>
        <w:rPr>
          <w:iCs/>
          <w:i/>
        </w:rPr>
        <w:t xml:space="preserve">Falta por decidir si P2a se enuncia sobre</w:t>
      </w:r>
      <w:r>
        <w:rPr>
          <w:iCs/>
          <w:i/>
        </w:rP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marginal o sobre</w:t>
      </w:r>
      <w:r>
        <w:rPr>
          <w:iCs/>
          <w:i/>
        </w:rPr>
        <w:t xml:space="preserve"> </w:t>
      </w:r>
      <m:oMath>
        <m:r>
          <m:t>C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condicional. El dato</w:t>
      </w:r>
      <w:r>
        <w:t xml:space="preserve"> </w:t>
      </w:r>
      <w:r>
        <w:rPr>
          <w:iCs/>
          <w:i/>
        </w:rPr>
        <w:t xml:space="preserve">que tenemos es marginal; el condicional exigiría celdas con n suficiente. Propongo enunciar en</w:t>
      </w:r>
      <w:r>
        <w:t xml:space="preserve"> </w:t>
      </w:r>
      <w:r>
        <w:rPr>
          <w:iCs/>
          <w:i/>
        </w:rPr>
        <w:t xml:space="preserve">marginal y mencionar el condicional como extensión.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403ec704fc9a8d5799ced968c417129548efdd9"/>
    <w:p>
      <w:pPr>
        <w:pStyle w:val="Heading2"/>
      </w:pPr>
      <w:r>
        <w:t xml:space="preserve">3.4 · Corollary — Separability of aggregate and individual fidelity</w:t>
      </w:r>
    </w:p>
    <w:p>
      <w:pPr>
        <w:pStyle w:val="FirstParagraph"/>
      </w:pPr>
      <w:r>
        <w:rPr>
          <w:bCs/>
          <w:b/>
        </w:rPr>
        <w:t xml:space="preserve">Corollary.</w:t>
      </w:r>
      <w:r>
        <w:t xml:space="preserve"> </w:t>
      </w:r>
      <w:r>
        <w:rPr>
          <w:iCs/>
          <w:i/>
        </w:rPr>
        <w:t xml:space="preserve">Aggregate fidelity places no lower bound on individual fidelity. For any target</w:t>
      </w:r>
      <w:r>
        <w:rPr>
          <w:iCs/>
          <w:i/>
        </w:rPr>
        <w:t xml:space="preserve"> </w:t>
      </w:r>
      <w:r>
        <w:rPr>
          <w:iCs/>
          <w:i/>
        </w:rPr>
        <w:t xml:space="preserve">marginal distribution there exist assignments of</w:t>
      </w:r>
      <w:r>
        <w:rPr>
          <w:iCs/>
          <w:i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iCs/>
          <w:i/>
        </w:rPr>
        <w:t xml:space="preserve"> </w:t>
      </w:r>
      <w:r>
        <w:rPr>
          <w:iCs/>
          <w:i/>
        </w:rPr>
        <w:t xml:space="preserve">that reproduce it exactly while attaining</w:t>
      </w:r>
      <w:r>
        <w:rPr>
          <w:iCs/>
          <w:i/>
        </w:rPr>
        <w:t xml:space="preserve"> </w:t>
      </w:r>
      <m:oMath>
        <m:r>
          <m:rPr>
            <m:sty m:val="p"/>
          </m:rPr>
          <m:t>corr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Cs/>
          <w:i/>
        </w:rPr>
        <w:t xml:space="preserve">.</w:t>
      </w:r>
    </w:p>
    <w:p>
      <w:pPr>
        <w:pStyle w:val="BodyText"/>
      </w:pPr>
      <w:r>
        <w:t xml:space="preserve">The construction is immediate: permute the observed responses at random across respondents. The</w:t>
      </w:r>
      <w:r>
        <w:t xml:space="preserve"> </w:t>
      </w:r>
      <w:r>
        <w:t xml:space="preserve">marginal is preserved by construction and the individual correlation is zero in expectation. If</w:t>
      </w:r>
      <w:r>
        <w:t xml:space="preserve"> </w:t>
      </w:r>
      <w:r>
        <w:t xml:space="preserve">43 % of a population answers</w:t>
      </w:r>
      <w:r>
        <w:t xml:space="preserve"> </w:t>
      </w:r>
      <w:r>
        <w:t xml:space="preserve">“</w:t>
      </w:r>
      <w:r>
        <w:t xml:space="preserve">fair</w:t>
      </w:r>
      <w:r>
        <w:t xml:space="preserve">”</w:t>
      </w:r>
      <w:r>
        <w:t xml:space="preserve">, then assigning</w:t>
      </w:r>
      <w:r>
        <w:t xml:space="preserve"> </w:t>
      </w:r>
      <w:r>
        <w:t xml:space="preserve">“</w:t>
      </w:r>
      <w:r>
        <w:t xml:space="preserve">fair</w:t>
      </w:r>
      <w:r>
        <w:t xml:space="preserve">”</w:t>
      </w:r>
      <w:r>
        <w:t xml:space="preserve"> </w:t>
      </w:r>
      <w:r>
        <w:t xml:space="preserve">to a random 43 % reproduces the histogram</w:t>
      </w:r>
      <w:r>
        <w:t xml:space="preserve"> </w:t>
      </w:r>
      <w:r>
        <w:t xml:space="preserve">perfectly and identifies no one.</w:t>
      </w:r>
    </w:p>
    <w:p>
      <w:pPr>
        <w:pStyle w:val="BodyText"/>
      </w:pPr>
      <w:r>
        <w:t xml:space="preserve">The corollary has an uncomfortable implication for practice.</w:t>
      </w:r>
      <w:r>
        <w:t xml:space="preserve"> </w:t>
      </w:r>
      <w:r>
        <w:rPr>
          <w:bCs/>
          <w:b/>
        </w:rPr>
        <w:t xml:space="preserve">The validation evidence the industry</w:t>
      </w:r>
      <w:r>
        <w:rPr>
          <w:bCs/>
          <w:b/>
        </w:rPr>
        <w:t xml:space="preserve"> </w:t>
      </w:r>
      <w:r>
        <w:rPr>
          <w:bCs/>
          <w:b/>
        </w:rPr>
        <w:t xml:space="preserve">reports — agreement between synthetic and observed marginals — is uninformative about the property</w:t>
      </w:r>
      <w:r>
        <w:rPr>
          <w:bCs/>
          <w:b/>
        </w:rPr>
        <w:t xml:space="preserve"> </w:t>
      </w:r>
      <w:r>
        <w:rPr>
          <w:bCs/>
          <w:b/>
        </w:rPr>
        <w:t xml:space="preserve">that most applications actually need.</w:t>
      </w:r>
      <w:r>
        <w:t xml:space="preserve"> </w:t>
      </w:r>
      <w:r>
        <w:t xml:space="preserve">A vendor can report low mean absolute deviation on</w:t>
      </w:r>
      <w:r>
        <w:t xml:space="preserve"> </w:t>
      </w:r>
      <w:r>
        <w:t xml:space="preserve">top-line distributions while the individual-level correlation is indistinguishable from zero, and</w:t>
      </w:r>
      <w:r>
        <w:t xml:space="preserve"> </w:t>
      </w:r>
      <w:r>
        <w:t xml:space="preserve">there is no contradiction between the two claims.</w:t>
      </w:r>
    </w:p>
    <w:p>
      <w:pPr>
        <w:pStyle w:val="BodyText"/>
      </w:pPr>
      <w:r>
        <w:t xml:space="preserve">We document a case that makes the point without any recourse to microdata. On a 0–10 scale, the</w:t>
      </w:r>
      <w:r>
        <w:t xml:space="preserve"> </w:t>
      </w:r>
      <w:r>
        <w:t xml:space="preserve">synthetic panel returns a mean of 5.15 against an observed 5.30 — an error of 0.15, which any</w:t>
      </w:r>
      <w:r>
        <w:t xml:space="preserve"> </w:t>
      </w:r>
      <w:r>
        <w:t xml:space="preserve">practitioner would call an excellent result. Yet 86.4 % of synthetic respondents place themselves</w:t>
      </w:r>
      <w:r>
        <w:t xml:space="preserve"> </w:t>
      </w:r>
      <w:r>
        <w:t xml:space="preserve">at 5 or 6, and</w:t>
      </w:r>
      <w:r>
        <w:t xml:space="preserve"> </w:t>
      </w:r>
      <w:r>
        <w:rPr>
          <w:bCs/>
          <w:b/>
        </w:rPr>
        <w:t xml:space="preserve">not one</w:t>
      </w:r>
      <w:r>
        <w:t xml:space="preserve"> </w:t>
      </w:r>
      <w:r>
        <w:t xml:space="preserve">of 1,000 chooses 8, 9 or 10. The first moment is essentially exact; the</w:t>
      </w:r>
      <w:r>
        <w:t xml:space="preserve"> </w:t>
      </w:r>
      <w:r>
        <w:t xml:space="preserve">distribution is destroyed.</w:t>
      </w:r>
      <w:r>
        <w:t xml:space="preserve"> </w:t>
      </w:r>
      <w:r>
        <w:rPr>
          <w:iCs/>
          <w:i/>
        </w:rPr>
        <w:t xml:space="preserve">Inspecting the variance is sufficient to detect the failure.</w:t>
      </w:r>
    </w:p>
    <w:bookmarkStart w:id="26" w:name="from-corollary-to-decision-rule"/>
    <w:p>
      <w:pPr>
        <w:pStyle w:val="Heading3"/>
      </w:pPr>
      <w:r>
        <w:t xml:space="preserve">From corollary to decision rule</w:t>
      </w:r>
    </w:p>
    <w:p>
      <w:pPr>
        <w:pStyle w:val="FirstParagraph"/>
      </w:pPr>
      <w:r>
        <w:t xml:space="preserve">Partition marketing research tasks by whether the quantity of interest is a functional of the</w:t>
      </w:r>
      <w:r>
        <w:t xml:space="preserve"> </w:t>
      </w:r>
      <w:r>
        <w:t xml:space="preserve">marginal alone, or depends on the conditional distribution: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or tail mass?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Top-line incidence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subject to validated DAM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 or concept pre-testing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caution, as a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Segmentation and profiling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Conjoint / WTP heterogeneity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Targeting, early-adopter 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(tails)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Domains with no donor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observed performance</w:t>
            </w:r>
          </w:p>
        </w:tc>
      </w:tr>
    </w:tbl>
    <w:p>
      <w:pPr>
        <w:pStyle w:val="BodyText"/>
      </w:pPr>
      <w:r>
        <w:t xml:space="preserve">The rule inverts the commercial proposition. Synthetic respondents are marketed for speed and scale</w:t>
      </w:r>
      <w:r>
        <w:t xml:space="preserve"> </w:t>
      </w:r>
      <w:r>
        <w:t xml:space="preserve">in exactly the tasks — segmentation, heterogeneity, targeting — that the failure mode invalidates,</w:t>
      </w:r>
      <w:r>
        <w:t xml:space="preserve"> </w:t>
      </w:r>
      <w:r>
        <w:t xml:space="preserve">and are defensible mainly for the one task, top-line estimation, where conventional methods are</w:t>
      </w:r>
      <w:r>
        <w:t xml:space="preserve"> </w:t>
      </w:r>
      <w:r>
        <w:t xml:space="preserve">already cheapest.</w:t>
      </w:r>
    </w:p>
    <w:p>
      <w:pPr>
        <w:pStyle w:val="BodyText"/>
      </w:pPr>
      <w:r>
        <w:t xml:space="preserve">▸</w:t>
      </w:r>
      <w:r>
        <w:t xml:space="preserve"> </w:t>
      </w:r>
      <w:r>
        <w:rPr>
          <w:iCs/>
          <w:i/>
        </w:rPr>
        <w:t xml:space="preserve">Esta tabla es el entregable gerencial del paper. Debe repetirse en la Discussion.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wo-ceilings-one-diagnosis"/>
    <w:p>
      <w:pPr>
        <w:pStyle w:val="Heading2"/>
      </w:pPr>
      <w:r>
        <w:t xml:space="preserve">3.5 · Two ceilings, one diagnosis</w:t>
      </w:r>
    </w:p>
    <w:p>
      <w:pPr>
        <w:pStyle w:val="FirstParagraph"/>
      </w:pPr>
      <w:r>
        <w:t xml:space="preserve">The two propositions are independent and compose. Proposition 1 fixes an upper bound</w:t>
      </w:r>
      <w:r>
        <w:t xml:space="preserve"> </w:t>
      </w:r>
      <m:oMath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rPr>
                    <m:sty m:val="p"/>
                  </m:rPr>
                  <m:t>max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that no method can cross. Proposition 2 says that a language model operating below that bound fails</w:t>
      </w:r>
      <w:r>
        <w:t xml:space="preserve"> </w:t>
      </w:r>
      <w:r>
        <w:t xml:space="preserve">in a specific, measurable way that neither more data nor a richer profile repairs. Together they</w:t>
      </w:r>
      <w:r>
        <w:t xml:space="preserve"> </w:t>
      </w:r>
      <w:r>
        <w:t xml:space="preserve">explain an otherwise puzzling pattern: aggregate results that look publishable, individual results</w:t>
      </w:r>
      <w:r>
        <w:t xml:space="preserve"> </w:t>
      </w:r>
      <w:r>
        <w:t xml:space="preserve">that are worthless, and an enrichment strategy that makes matters worse.</w:t>
      </w:r>
    </w:p>
    <w:p>
      <w:pPr>
        <w:pStyle w:val="BodyText"/>
      </w:pPr>
      <w:r>
        <w:t xml:space="preserve">▸</w:t>
      </w:r>
      <w:r>
        <w:t xml:space="preserve"> </w:t>
      </w:r>
      <w:r>
        <w:rPr>
          <w:iCs/>
          <w:i/>
        </w:rPr>
        <w:t xml:space="preserve">Cierre alternativo, más agresivo, a valorar: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 problema no es que el modelo no sepa lo</w:t>
      </w:r>
      <w:r>
        <w:rPr>
          <w:iCs/>
          <w:i/>
          <w:iCs/>
          <w:i/>
        </w:rPr>
        <w:t xml:space="preserve"> </w:t>
      </w:r>
      <w:r>
        <w:rPr>
          <w:iCs/>
          <w:i/>
        </w:rPr>
        <w:t xml:space="preserve">suficiente sobre la persona; es que sabe justo lo suficiente para producir un estereotipo, y un</w:t>
      </w:r>
      <w:r>
        <w:rPr>
          <w:iCs/>
          <w:i/>
          <w:iCs/>
          <w:i/>
        </w:rPr>
        <w:t xml:space="preserve"> </w:t>
      </w:r>
      <w:r>
        <w:rPr>
          <w:iCs/>
          <w:i/>
        </w:rPr>
        <w:t xml:space="preserve">estereotipo no es una muestra.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pendientes-de-esta-sección"/>
    <w:p>
      <w:pPr>
        <w:pStyle w:val="Heading2"/>
      </w:pPr>
      <w:r>
        <w:t xml:space="preserve">Pendientes de esta sección</w:t>
      </w:r>
    </w:p>
    <w:p>
      <w:pPr>
        <w:numPr>
          <w:ilvl w:val="0"/>
          <w:numId w:val="1003"/>
        </w:numPr>
        <w:pStyle w:val="Compact"/>
      </w:pPr>
      <w:r>
        <w:t xml:space="preserve">Insertar las cifras definitivas del techo global una vez recalculado con métricas homogéneas.</w:t>
      </w:r>
    </w:p>
    <w:p>
      <w:pPr>
        <w:numPr>
          <w:ilvl w:val="0"/>
          <w:numId w:val="1003"/>
        </w:numPr>
        <w:pStyle w:val="Compact"/>
      </w:pPr>
      <w:r>
        <w:t xml:space="preserve">Decidir si el paper reporta techo lineal, GBM o ambos (recomendación:</w:t>
      </w:r>
      <w:r>
        <w:t xml:space="preserve"> </w:t>
      </w:r>
      <w:r>
        <w:rPr>
          <w:bCs/>
          <w:b/>
        </w:rPr>
        <w:t xml:space="preserve">ambos</w:t>
      </w:r>
      <w:r>
        <w:t xml:space="preserve">, con el GBM como</w:t>
      </w:r>
      <w:r>
        <w:t xml:space="preserve"> </w:t>
      </w:r>
      <w:r>
        <w:t xml:space="preserve">cota operativa y el lineal como referencia conservadora).</w:t>
      </w:r>
    </w:p>
    <w:p>
      <w:pPr>
        <w:numPr>
          <w:ilvl w:val="0"/>
          <w:numId w:val="1003"/>
        </w:numPr>
        <w:pStyle w:val="Compact"/>
      </w:pPr>
      <w:r>
        <w:t xml:space="preserve">Formalizar mejor el mecanismo de 3.3 o rebajarlo explícitamente a conjetura.</w:t>
      </w:r>
      <w:r>
        <w:t xml:space="preserve"> </w:t>
      </w:r>
      <w:r>
        <w:rPr>
          <w:bCs/>
          <w:b/>
        </w:rPr>
        <w:t xml:space="preserve">Riesgo de</w:t>
      </w:r>
      <w:r>
        <w:rPr>
          <w:bCs/>
          <w:b/>
        </w:rPr>
        <w:t xml:space="preserve"> </w:t>
      </w:r>
      <w:r>
        <w:rPr>
          <w:bCs/>
          <w:b/>
        </w:rPr>
        <w:t xml:space="preserve">revisión:</w:t>
      </w:r>
      <w:r>
        <w:t xml:space="preserve"> </w:t>
      </w:r>
      <w:r>
        <w:t xml:space="preserve">si se enuncia como si estuviera demostrado, un revisor lo tumba.</w:t>
      </w:r>
    </w:p>
    <w:p>
      <w:pPr>
        <w:numPr>
          <w:ilvl w:val="0"/>
          <w:numId w:val="1003"/>
        </w:numPr>
        <w:pStyle w:val="Compact"/>
      </w:pPr>
      <w:r>
        <w:t xml:space="preserve">Decidir la notación de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(marginal vs condicional) — ver nota en 3.3.</w:t>
      </w:r>
    </w:p>
    <w:p>
      <w:pPr>
        <w:numPr>
          <w:ilvl w:val="0"/>
          <w:numId w:val="1003"/>
        </w:numPr>
        <w:pStyle w:val="Compact"/>
      </w:pPr>
      <w:r>
        <w:t xml:space="preserve">Referencias a citar en esta sección: Argyle et al. (2023) para los cuatro criterios de fidelidad</w:t>
      </w:r>
      <w:r>
        <w:t xml:space="preserve"> </w:t>
      </w:r>
      <w:r>
        <w:t xml:space="preserve">algorítmica; Bisbee et al. (2024) para varianza reducida; Sarstedt et al. (2024) para el puente</w:t>
      </w:r>
      <w:r>
        <w:t xml:space="preserve"> </w:t>
      </w:r>
      <w:r>
        <w:t xml:space="preserve">al marketing.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2026-08-21T20:59:21Z</dcterms:created>
  <dcterms:modified xsi:type="dcterms:W3CDTF">2026-08-21T20:59:21Z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