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always tried to help me wherever I found any difficulty. He always provided me with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Underwater position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sensors like Doppler velocity log (DVL) and inertial measurement unit (IMU) are added and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with the low computational cost is an important research question for underwater robot localization. We proposed PC-BC/DIM neural network which can fuse and optimally approximate sensory information. Results have shown that our proposed filter has only 1.7853 standard deviation error, 3.439 root mean square error, 0.8 milliseconds of filter processing time with 12.9 seconds of total execution time against 6301 IMU, 6301 DVL and 158 USBL noise added measurements of a three-dimensional underwater trajectory.</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Ship is connected to GPS and AUV is connected to transceiver of ship through acoustic transponder. Gyroscope and accelerometer are presented on AUV to find linear and angular position of an underwater robot, respectively. Optical sensors or sonars are placed on the head of AUV which show the front view and these can be used to find the position of vehicle with respect to some fixed landmark. Doppler velocity log sensor produces the velocity of an underwater vehicle which is used to find the position of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59885" cy="2080260"/>
            <wp:effectExtent l="0" t="0" r="12065"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4159885" cy="20802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513676474"/>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513672584"/>
      <w:bookmarkStart w:id="13" w:name="_Toc801688"/>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6479"/>
      <w:bookmarkStart w:id="15" w:name="_Toc80168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648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especially in-depth.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The underwater environment is highly nonlinear for motion estimation. Inertial sensors contain unstructured noise of water which can be overcome by the modelling of the sensor (Karras &amp; Kyriakopoulos, 2007). Modelling of underwater sea environment is highly difficult that is why position prediction from motion sensors become a crucial task. The problems which can be faced by state estimator algorithms are reviewed in the later section of fusion algorithms.</w:t>
      </w:r>
    </w:p>
    <w:p>
      <w:pPr>
        <w:spacing w:before="240" w:after="0" w:line="360" w:lineRule="auto"/>
        <w:ind w:left="1054" w:leftChars="479" w:firstLine="0" w:firstLineChars="0"/>
        <w:jc w:val="both"/>
        <w:rPr>
          <w:rFonts w:hint="default"/>
          <w:szCs w:val="24"/>
        </w:rPr>
      </w:pPr>
      <w:r>
        <w:rPr>
          <w:rFonts w:hint="default"/>
          <w:szCs w:val="24"/>
        </w:rPr>
        <w:t>Another dead reckoning sensor is DVL which is sometimes used in parallel with IMU sensor(Lee, Hong, &amp; Seong, 2003). DVL sensor works on the doppler principle and the velocity is estimated. DVL is more accurate in shallow water and with depth, its accuracy improves. Acoustic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 DVL is used with other auxiliary sensors to predict the underwater location in various projects. A typical working of DVL sensor is explained in figure 3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and it triggers and receives back scattered acoustic signals to estimate the current velocity of an underwater robot. For triggering and receiving of acoustic signals it has 4 windows, each with the tile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that is the main reason for adding a pressure sensor and heading is corrected through the magnetic-resistive compass. In (J. Zhang et al., 2014) IMU is used for 3D location estimation of a robotic fish when the sampling rate is used as 50 Hz. The accelerometer of IMU is used as odometry but the noise of gravity involved so to the integration of past states was not a wise method.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 alternative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a comparatively expensive system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consider TOA choosing a USBL is a locally unknown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lower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Geophysical 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colours and intensity differentiate images and region of interest is selected by segmentation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images with incrementing the noise.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Figure 2.3 shows the egocentric and allocentric localization concept but the visual camera faces difficulty in object recognition due to impure water. Imaging and ranging sonar are a better option in such environments. Robot location is estimated online using imaging sonar which gives better results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2.2 Fusion Algorithms for Underwater Localization For underwater localization using multi-sensor fusion (MSF) various methods are discussed (Pan &amp; Wu, 2016) (Tan et al., 2011) (Leonard &amp; Bahr, 2016) (Paull et al., 2013).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6 is showing the general working of the Kalman filter in which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A chronological linear state estimator performs poorly in presence of non-linear motion equations of the underwater environment.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As the above figure 6 is showing Kalman filter does prediction with the help of the designed model. The underwater environment can not be modelled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figure 7.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EKF algorithm is implemented on GARBI ROV and main sensor DVL is used. A typical system of underwater localization using an extended Kalman filter is described in the figure below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(Karimi et al., 2013) has simulated for underwater localization in Matlab in which main sensor IMU and auxiliary sensor DVL are used for motion estimation. Considering non-linearity of underwater environment EKF and UKF are compared on NPS AUV. Process noise and measurement noise are added to make the process similar to the real-time environment. EKF performed more accurately using the same sensory data. The main reason for the limitation of Unscented Kalman filter (UKF) is double integration of accelerometer data and due to which sigma points goes through integration to produce a new distribution of model output in every step. (Tal, Klein, &amp; Katz, 2017)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is a better approximation than EKF because it considers true deviation points and transformed through weighted sample mean and covariance (Wan &amp; Van Der Merwe, 2000) (Sabet, Sarhadi, &amp; Zarini, 2014) (Allotta et al., 2016). UKF has been used for vision-based systems as well as for other sensory information fusion.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8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To achieve the best possible accuracy research proposed various schemes. In (W. Li, Wang, Lu, &amp; Wu, 2013) a novel scheme is proposed in which DVL and strap-down inertial navigation system (SINS) are deployed and for alignment adaptive UKF are used. UKF working is similar to a KF as both filters predict the mean and covariance before updating measurements. By using adaptive UKF measurement noise covariance is estimated hence to improve the performance of UKF.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 </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to the real system.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structural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figure 9. The proposed PC/BC-DIM neural network and simulations are described below</w:t>
      </w:r>
      <w:bookmarkStart w:id="24" w:name="_Toc513676530"/>
      <w:bookmarkStart w:id="25" w:name="_Toc513672628"/>
      <w:bookmarkStart w:id="26" w:name="_Toc801706"/>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trPr>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36" o:spt="75" alt=""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36"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trPr>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7" o:spt="75" type="#_x0000_t75" style="height:20pt;width:72pt;" o:ole="t" filled="f" o:preferrelative="t" stroked="f" coordsize="21600,21600">
                  <v:fill on="f" focussize="0,0"/>
                  <v:stroke on="f"/>
                  <v:imagedata r:id="rId25" o:title=""/>
                  <o:lock v:ext="edit" aspectratio="t"/>
                  <w10:wrap type="none"/>
                  <w10:anchorlock/>
                </v:shape>
                <o:OLEObject Type="Embed" ProgID="Equation.KSEE3" ShapeID="_x0000_i1037"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Before w:w="0" w:type="auto"/>
        </w:trPr>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8" o:spt="75" type="#_x0000_t75" style="height:20pt;width:95pt;" o:ole="t" filled="f" o:preferrelative="t" stroked="f" coordsize="21600,21600">
                  <v:fill on="f" focussize="0,0"/>
                  <v:stroke on="f"/>
                  <v:imagedata r:id="rId27" o:title=""/>
                  <o:lock v:ext="edit" aspectratio="t"/>
                  <w10:wrap type="none"/>
                  <w10:anchorlock/>
                </v:shape>
                <o:OLEObject Type="Embed" ProgID="Equation.KSEE3" ShapeID="_x0000_i1038"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44" o:spt="75" alt=""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44"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3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3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41" o:spt="75" alt=""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41" DrawAspect="Content" ObjectID="_1468075730" r:id="rId32">
            <o:LockedField>false</o:LockedField>
          </o:OLEObject>
        </w:object>
      </w:r>
      <w:r>
        <w:rPr>
          <w:rFonts w:hint="default"/>
          <w:szCs w:val="24"/>
        </w:rPr>
        <w:t xml:space="preserve">is </w:t>
      </w:r>
      <w:r>
        <w:rPr>
          <w:rFonts w:hint="default"/>
          <w:position w:val="-6"/>
          <w:szCs w:val="24"/>
        </w:rPr>
        <w:object>
          <v:shape id="_x0000_i1040" o:spt="75" alt=""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WeightsWare the most important part of the network because it sets the possible range of causes. Was a whole can be assumed as a model of external environment or codebook of possible representation or input stimulus.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48" o:spt="75" type="#_x0000_t75" style="height:33pt;width:137pt;" o:ole="t" filled="f" o:preferrelative="t" stroked="f" coordsize="21600,21600">
                  <v:fill on="f" focussize="0,0"/>
                  <v:stroke on="f"/>
                  <v:imagedata r:id="rId39" o:title=""/>
                  <o:lock v:ext="edit" aspectratio="t"/>
                  <w10:wrap type="none"/>
                  <w10:anchorlock/>
                </v:shape>
                <o:OLEObject Type="Embed" ProgID="Equation.KSEE3" ShapeID="_x0000_i1048"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50" o:spt="75" type="#_x0000_t75" style="height:34pt;width:52pt;" o:ole="t" filled="f" o:preferrelative="t" stroked="f" coordsize="21600,21600">
                  <v:fill on="f" focussize="0,0"/>
                  <v:stroke on="f"/>
                  <v:imagedata r:id="rId41" o:title=""/>
                  <o:lock v:ext="edit" aspectratio="t"/>
                  <w10:wrap type="none"/>
                  <w10:anchorlock/>
                </v:shape>
                <o:OLEObject Type="Embed" ProgID="Equation.KSEE3" ShapeID="_x0000_i1050"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51" o:spt="75" type="#_x0000_t75" style="height:22pt;width:64pt;" o:ole="t" filled="f" o:preferrelative="t" stroked="f" coordsize="21600,21600">
                  <v:fill on="f" focussize="0,0"/>
                  <v:stroke on="f"/>
                  <v:imagedata r:id="rId43" o:title=""/>
                  <o:lock v:ext="edit" aspectratio="t"/>
                  <w10:wrap type="none"/>
                  <w10:anchorlock/>
                </v:shape>
                <o:OLEObject Type="Embed" ProgID="Equation.KSEE3" ShapeID="_x0000_i1051"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bookmarkStart w:id="35" w:name="_GoBack"/>
      <w:bookmarkEnd w:id="35"/>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spacing w:after="183" w:afterLines="50" w:afterAutospacing="0"/>
        <w:ind w:left="1100" w:leftChars="500" w:firstLine="0" w:firstLineChars="0"/>
        <w:jc w:val="both"/>
        <w:rPr>
          <w:rFonts w:hint="default"/>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Pr>
        <w:spacing w:beforeAutospacing="0" w:after="183" w:afterLines="50" w:afterAutospacing="0"/>
        <w:ind w:left="1100" w:leftChars="500" w:firstLine="0" w:firstLineChars="0"/>
        <w:jc w:val="both"/>
        <w:rPr>
          <w:rFonts w:hint="default"/>
          <w:lang w:val="en-US"/>
        </w:rPr>
      </w:pPr>
    </w:p>
    <w:p>
      <w:pPr>
        <w:spacing w:beforeAutospacing="0"/>
        <w:rPr>
          <w:rFonts w:hint="default"/>
          <w:lang w:val="en-US"/>
        </w:rPr>
      </w:pPr>
    </w:p>
    <w:p>
      <w:pPr>
        <w:rPr>
          <w:rFonts w:hint="default"/>
          <w:lang w:val="en-US"/>
        </w:rPr>
      </w:pPr>
    </w:p>
    <w:p>
      <w:pPr>
        <w:pStyle w:val="2"/>
        <w:bidi w:val="0"/>
        <w:rPr>
          <w:rFonts w:hint="default"/>
          <w:lang w:val="en-US"/>
        </w:rPr>
      </w:pPr>
    </w:p>
    <w:p>
      <w:pPr>
        <w:rPr>
          <w:rFonts w:hint="default"/>
          <w:lang w:val="en-US"/>
        </w:rPr>
      </w:pPr>
    </w:p>
    <w:p>
      <w:pPr>
        <w:spacing w:before="240" w:after="0" w:line="360" w:lineRule="auto"/>
        <w:ind w:left="440" w:leftChars="200" w:firstLine="0" w:firstLineChars="0"/>
        <w:jc w:val="both"/>
        <w:rPr>
          <w:rFonts w:hint="default"/>
          <w:szCs w:val="24"/>
          <w:lang w:val="en-US"/>
        </w:rPr>
      </w:pPr>
    </w:p>
    <w:p>
      <w:r>
        <w:rPr>
          <w:rFonts w:hint="default"/>
          <w:szCs w:val="24"/>
          <w:lang w:val="en-US"/>
        </w:rPr>
        <w:t xml:space="preserve"> </w:t>
      </w:r>
    </w:p>
    <w:p/>
    <w:p/>
    <w:p/>
    <w:p/>
    <w:p/>
    <w:p/>
    <w:p/>
    <w:p/>
    <w:p/>
    <w:p/>
    <w:p/>
    <w:p/>
    <w:p/>
    <w:p/>
    <w:p/>
    <w:p>
      <w:pPr>
        <w:pStyle w:val="2"/>
        <w:spacing w:before="0" w:line="240" w:lineRule="auto"/>
      </w:pPr>
      <w:r>
        <w:t xml:space="preserve">CHAPTER- </w:t>
      </w:r>
      <w:bookmarkEnd w:id="24"/>
      <w:bookmarkEnd w:id="25"/>
      <w:r>
        <w:t>4</w:t>
      </w:r>
      <w:bookmarkEnd w:id="26"/>
    </w:p>
    <w:p>
      <w:pPr>
        <w:pStyle w:val="3"/>
        <w:spacing w:before="0" w:line="240" w:lineRule="auto"/>
      </w:pPr>
      <w:bookmarkStart w:id="27" w:name="_Toc513676531"/>
      <w:bookmarkStart w:id="28" w:name="_Toc513672629"/>
      <w:bookmarkStart w:id="29" w:name="_Toc801707"/>
      <w:r>
        <w:t>RESULTS</w:t>
      </w:r>
      <w:r>
        <w:rPr>
          <w:position w:val="-6"/>
        </w:rPr>
        <w:t xml:space="preserve"> </w:t>
      </w:r>
      <w:r>
        <w:rPr>
          <w:position w:val="-10"/>
        </w:rPr>
        <w:t>A</w:t>
      </w:r>
      <w:r>
        <w:rPr>
          <w:position w:val="-34"/>
        </w:rPr>
        <w:t>N</w:t>
      </w:r>
      <w:r>
        <w:t>D</w:t>
      </w:r>
      <w:r>
        <w:rPr>
          <w:position w:val="-10"/>
        </w:rPr>
        <w:t xml:space="preserve"> </w:t>
      </w:r>
      <w:r>
        <w:t>DISCUSSION</w:t>
      </w:r>
      <w:bookmarkEnd w:id="27"/>
      <w:bookmarkEnd w:id="28"/>
      <w:bookmarkEnd w:id="29"/>
    </w:p>
    <w:p>
      <w:pPr>
        <w:pStyle w:val="66"/>
        <w:ind w:left="0"/>
      </w:pPr>
      <w:r>
        <w:t xml:space="preserve">In this chapter two types of analysis have been performed. First one is the NL loss analysis in which NL losses of silicon core transformer and amorphous core transformer has been practically compared in the transformer testing lab. After performing NL analysis we shall be able to know the more efficient transformer between silicon core and amorphous core transformers. We are considering only NL loss analysis because we have only changed the core of the transformer and rest of parameter will remain the same therefore ON load losses are assumed to be same for both categories. The second analysis is the economic analysis which is a combination of initial cost of transformer and cost of NL losses of transformer. After performing economic analysis we shall be able to reveal the economic aspects of both types of transformers. </w:t>
      </w:r>
    </w:p>
    <w:p>
      <w:pPr>
        <w:pStyle w:val="2"/>
        <w:spacing w:before="0" w:line="240" w:lineRule="auto"/>
      </w:pPr>
      <w:bookmarkStart w:id="30" w:name="_Toc513672634"/>
      <w:bookmarkStart w:id="31" w:name="_Toc513676542"/>
      <w:bookmarkStart w:id="32" w:name="_Toc801712"/>
    </w:p>
    <w:p/>
    <w:p/>
    <w:p/>
    <w:p/>
    <w:p/>
    <w:p/>
    <w:p/>
    <w:p>
      <w:pPr>
        <w:pStyle w:val="2"/>
        <w:spacing w:before="0" w:line="240" w:lineRule="auto"/>
        <w:jc w:val="left"/>
      </w:pPr>
      <w:r>
        <w:t xml:space="preserve">                           </w:t>
      </w:r>
    </w:p>
    <w:p/>
    <w:p/>
    <w:p/>
    <w:p/>
    <w:p/>
    <w:p/>
    <w:p/>
    <w:p/>
    <w:p/>
    <w:p/>
    <w:p>
      <w:pPr>
        <w:pStyle w:val="2"/>
        <w:spacing w:before="0" w:line="240" w:lineRule="auto"/>
      </w:pPr>
      <w:r>
        <w:t xml:space="preserve">CHAPTER- </w:t>
      </w:r>
      <w:bookmarkEnd w:id="30"/>
      <w:bookmarkEnd w:id="31"/>
      <w:r>
        <w:t>5</w:t>
      </w:r>
      <w:bookmarkEnd w:id="32"/>
    </w:p>
    <w:p>
      <w:pPr>
        <w:pStyle w:val="3"/>
        <w:spacing w:before="0" w:line="240" w:lineRule="auto"/>
      </w:pPr>
      <w:r>
        <w:t>CONCLUSIONS AND RECOMMENDATIONS</w:t>
      </w:r>
    </w:p>
    <w:p>
      <w:pPr>
        <w:spacing w:before="240" w:after="0" w:line="360" w:lineRule="auto"/>
        <w:jc w:val="both"/>
        <w:rPr>
          <w:b/>
          <w:szCs w:val="24"/>
        </w:rPr>
      </w:pPr>
      <w:bookmarkStart w:id="33" w:name="_Toc513676544"/>
      <w:bookmarkStart w:id="34" w:name="_Toc513672636"/>
      <w:r>
        <w:rPr>
          <w:szCs w:val="24"/>
        </w:rPr>
        <w:t xml:space="preserve">Currently the power sector of Pakistan is facing the major challenge of controlling line losses and electricity theft due to which load shedding is being applied on high loss feeders. On the other hand, overall losses in power distribution system are not only dropping the efficiency of the power system but also causing the massive economic loss for the power distribution companies. According to the literature review, power generation of Pakistan was 24828MW till 2018 in which 68% power is generating from the thermal resources. As the cost of thermal generation is very much high as compared to other type of generations therefore, for providing the electricity to the consumers at affordable rates Government of Pakistan has to bear the extra cost of thermal generation as compared to hydel generation. In such situation it is required to produce cheap electricity by installing new hydel projects, however due to present economic crisis in the country it is difficult to attain the financial resources. Hence the best strategy for optimization of power system is to save the available electric power except of generating more electricity.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rPr>
          <w:b/>
          <w:sz w:val="24"/>
        </w:rPr>
      </w:pPr>
    </w:p>
    <w:p>
      <w:pPr>
        <w:numPr>
          <w:ilvl w:val="0"/>
          <w:numId w:val="0"/>
        </w:numPr>
        <w:ind w:left="480" w:leftChars="0" w:hanging="480" w:hangingChars="200"/>
        <w:rPr>
          <w:b/>
          <w:sz w:val="24"/>
        </w:rPr>
      </w:pPr>
      <w:r>
        <w:rPr>
          <w:b/>
          <w:sz w:val="24"/>
        </w:rPr>
        <w:t>REFERENCES</w:t>
      </w:r>
      <w:bookmarkEnd w:id="33"/>
    </w:p>
    <w:p>
      <w:pPr>
        <w:numPr>
          <w:ilvl w:val="0"/>
          <w:numId w:val="0"/>
        </w:numPr>
        <w:ind w:left="380" w:leftChars="0" w:hanging="380" w:hangingChars="200"/>
        <w:rPr>
          <w:rFonts w:hint="default"/>
          <w:b/>
          <w:sz w:val="24"/>
        </w:rPr>
      </w:pPr>
      <w:r>
        <w:rPr>
          <w:rFonts w:ascii="Arial" w:hAnsi="Arial" w:eastAsia="SimSun" w:cs="Arial"/>
          <w:i w:val="0"/>
          <w:caps w:val="0"/>
          <w:color w:val="222222"/>
          <w:spacing w:val="0"/>
          <w:sz w:val="19"/>
          <w:szCs w:val="19"/>
          <w:shd w:val="clear" w:fill="FFFFFF"/>
        </w:rPr>
        <w:t>Al-Rawi, M., Galdran, A., Elmgren, F., Rodriguez, J., Bastos, J., &amp; Pinto, M. (2017, October). Landmark detection from sidescan sonar images. In</w:t>
      </w:r>
      <w:r>
        <w:rPr>
          <w:rFonts w:hint="default" w:ascii="Arial" w:hAnsi="Arial" w:eastAsia="SimSun" w:cs="Arial"/>
          <w:i w:val="0"/>
          <w:caps w:val="0"/>
          <w:color w:val="222222"/>
          <w:spacing w:val="0"/>
          <w:sz w:val="19"/>
          <w:szCs w:val="19"/>
          <w:shd w:val="clear" w:fill="FFFFFF"/>
        </w:rPr>
        <w:t> </w:t>
      </w:r>
      <w:r>
        <w:rPr>
          <w:rFonts w:hint="default" w:ascii="Arial" w:hAnsi="Arial" w:eastAsia="SimSun" w:cs="Arial"/>
          <w:i/>
          <w:caps w:val="0"/>
          <w:color w:val="222222"/>
          <w:spacing w:val="0"/>
          <w:sz w:val="19"/>
          <w:szCs w:val="19"/>
          <w:shd w:val="clear" w:fill="FFFFFF"/>
        </w:rPr>
        <w:t>2017 IEEE Jordan Conference on Applied Electrical Engineering and Computing Technologies (AEECT)</w:t>
      </w:r>
      <w:r>
        <w:rPr>
          <w:rFonts w:hint="default" w:ascii="Arial" w:hAnsi="Arial" w:eastAsia="SimSun" w:cs="Arial"/>
          <w:i w:val="0"/>
          <w:caps w:val="0"/>
          <w:color w:val="222222"/>
          <w:spacing w:val="0"/>
          <w:sz w:val="19"/>
          <w:szCs w:val="19"/>
          <w:shd w:val="clear" w:fill="FFFFFF"/>
        </w:rPr>
        <w:t> (pp.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A´ lvarez-Tun˜o´n, O., Rodr´ıguez, A´ ., Jardo´n, A., and Balaguer, C. (2018). Underwater robot navigation for maintenance</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inspection of flooded mine shafts. In 2018 IEEE/RSJ International Conference on Intelligent Robots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Systems (IROS), pages 1482–1487.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Chame, H. F., Dos Santos, M. M., and da Costa Botelho, S. S. (2018). Neural network for black-box fusion of</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underwater robot localization under unmodeled noise. Robotics and Autonomous Systems, 110:57–72.</w:t>
      </w:r>
    </w:p>
    <w:p>
      <w:pPr>
        <w:keepNext w:val="0"/>
        <w:keepLines w:val="0"/>
        <w:widowControl w:val="0"/>
        <w:suppressLineNumbers w:val="0"/>
        <w:autoSpaceDE w:val="0"/>
        <w:autoSpaceDN w:val="0"/>
        <w:adjustRightInd w:val="0"/>
        <w:spacing w:before="240" w:beforeAutospacing="0" w:after="0" w:afterAutospacing="0" w:line="360" w:lineRule="auto"/>
        <w:ind w:left="480" w:right="0" w:hanging="480"/>
        <w:jc w:val="both"/>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Dan, P. Y. W. (2011). A review: wireless sensor networks localization [J]. </w:t>
      </w:r>
      <w:r>
        <w:rPr>
          <w:rFonts w:hint="default" w:ascii="Times New Roman" w:hAnsi="Times New Roman" w:eastAsia="SimSun" w:cs="Times New Roman"/>
          <w:i/>
          <w:caps w:val="0"/>
          <w:color w:val="222222"/>
          <w:spacing w:val="0"/>
          <w:kern w:val="0"/>
          <w:sz w:val="22"/>
          <w:szCs w:val="22"/>
          <w:shd w:val="clear" w:fill="FFFFFF"/>
          <w:lang w:val="en-US" w:eastAsia="zh-CN" w:bidi="ar"/>
        </w:rPr>
        <w:t>Journal of Electronic Measurement and Instrument</w:t>
      </w: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 </w:t>
      </w:r>
      <w:r>
        <w:rPr>
          <w:rFonts w:hint="default" w:ascii="Times New Roman" w:hAnsi="Times New Roman" w:eastAsia="SimSun" w:cs="Times New Roman"/>
          <w:i/>
          <w:caps w:val="0"/>
          <w:color w:val="222222"/>
          <w:spacing w:val="0"/>
          <w:kern w:val="0"/>
          <w:sz w:val="22"/>
          <w:szCs w:val="22"/>
          <w:shd w:val="clear" w:fill="FFFFFF"/>
          <w:lang w:val="en-US" w:eastAsia="zh-CN" w:bidi="ar"/>
        </w:rPr>
        <w:t>5</w:t>
      </w:r>
      <w:r>
        <w:rPr>
          <w:rFonts w:hint="default" w:ascii="Times New Roman" w:hAnsi="Times New Roman" w:eastAsia="SimSun" w:cs="Times New Roman"/>
          <w:i w:val="0"/>
          <w:caps w:val="0"/>
          <w:color w:val="222222"/>
          <w:spacing w:val="0"/>
          <w:kern w:val="0"/>
          <w:sz w:val="22"/>
          <w:szCs w:val="22"/>
          <w:shd w:val="clear" w:fill="FFFFFF"/>
          <w:lang w:val="en-US" w:eastAsia="zh-CN" w:bidi="ar"/>
        </w:rPr>
        <w:t>, 000.</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Dellaert, F. and Kaess, M. (2006). Square root sam: Simultaneous localization and mapping via square root</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information smoothing. The International Journal of Robotics Research, 25(12):1181–1203.</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Fang, S., Wang, Z., and Fan, J. (2019). Integrating sins sensors with odometer measurements for land vehicle</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navigation system. Journal of Applied Science and Engineering, 22(2):273287.</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Gopalakrishnan, A., Kaisare, N. S., and Narasimhan, S. (2011). Incorporating delayed and infrequent measurements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in extended kalman filter based nonlinear state estimation. Journal of Process Control, 21(1):119–129.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Grøtli, E. I., Tjønn°as, J., Azpiazu, J., Transeth, A. A., and Ludvigsen, M. (2016). Towards more autonomous rov</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operations: Scalable and modular localization with experiment data. IFAC-PapersOnLine, 49(23):173–180.</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Houegnigan, L., Safari, P., Nadeu, C., van der Schaar, M., Sol´e, M., and Andr´e, M. (2017). High performance supervised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time-delay estimation using neural networks. In IEEE International Conference on Acoustics, Speech</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Signal Processing. Proceedings.</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Huang, Y. and Rao, R. P. (2011). Predictive coding. Wiley Interdisciplinary Reviews: Cognitive Science, 2(5):580–593.</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Karras, G. C. and Kyriakopoulos, K. J. (2007). Localization of an underwater vehicle using an imu and a laserbased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vision system. In 2007 Mediterranean Conference on Control &amp; Automation, pages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Khan, R. R., Taher, T., and Hover, F. S. (2010). Accurate geo-referencing method for auvs for oceanographic</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sampling. In OCEANS 2010 MTS/IEEE SEATTLE, pages 1–5.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Leonard, J. J. and Bahr, A. (2016). Autonomous underwater vehicle navigation. In Springer Handbook of Ocean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Engineering, pages 341–358. Springer.</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Li, H., He, Y., Cheng, X., Zhu, H., and Sun, L. (2015). Security and privacy in localization for underwater sensor</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networks. IEEE Communications Magazine, 53(11):56–62.</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Medagoda, L., Williams, S. B., Pizarro, O., and Jakuba, M. V. (2011). Water column current profile aided localisation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combined with view-based slam for autonomous underwater vehicle navigation. In 2011 IEEE International</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Conference on Robotics and Automation, pages 3048–3055.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Miller, A., Miller, B., and Miller, G. (2018). Auv navigation with seabed acoustic sensing. In 2018 Australian &amp;</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New Zealand Control Conference (ANZCC), pages 166–171.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Muhammad, N., Toming, G., Tuhtan, J. A., Musall, M., and Kruusmaa, M. (2017). Underwater map-based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localization using flow features. Autonomous Robots, 41(2):417–436.</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Pan, X. and Wu, Y. (2016). Underwater doppler navigation with self-calibration. The Journal of Navigation,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69(2):295–312.</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Paull, L., Saeedi, S., Seto, M., and Li, H. (2013). Auv navigation and localization: A review. IEEE Journal of</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Oceanic Engineering, 39(1):131–149.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Rigby, P., Pizarro, O., and Williams, S. B. (2006). Towards geo-referenced auv navigation through fusion of usbl</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dvl measurements. In OCEANS 2006, pages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Sabra, A. and Fung, W.-k. (2017). Dynamic localization plan for underwater mobile sensor nodes using fuzzy</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decision support system. In OCEANS 2017-Anchorage, pages 1–8.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Silveira, L., Guth, F., Drews-Jr, P., Ballester, P., Machado, M., Codevilla, F., Duarte-Filho, N., and Botelho, 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(2015). An open-source bio-inspired solution to underwater slam. IFAC-PapersOnLine, 48(2):212–217.</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Spratling, M. W. (2008). Predictive coding as a model of biased competition in visual attention. Vision research,</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48(12):1391–1408.</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Spratling, M. W., De Meyer, K., and Kompass, R. (2009). Unsupervised learning of overlapping image components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using divisive input modulation. Computational intelligence and neuroscience, 2009.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Tan, H.-P., Diamant, R., Seah, W. K., and Waldmeyer, M. (2011). A survey of techniques and challenges in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underwater localization. Ocean Engineering, 38(14-15):1663–1676.</w:t>
      </w: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NimbusRomNo9L-Medi">
    <w:altName w:val="Segoe Print"/>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7DA96"/>
    <w:multiLevelType w:val="singleLevel"/>
    <w:tmpl w:val="5AD7DA96"/>
    <w:lvl w:ilvl="0" w:tentative="0">
      <w:start w:val="1"/>
      <w:numFmt w:val="decimal"/>
      <w:suff w:val="space"/>
      <w:lvlText w:val="%1)"/>
      <w:lvlJc w:val="left"/>
    </w:lvl>
  </w:abstractNum>
  <w:abstractNum w:abstractNumId="2">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3253FF9"/>
    <w:rsid w:val="03520F59"/>
    <w:rsid w:val="03681B9D"/>
    <w:rsid w:val="04794326"/>
    <w:rsid w:val="04BC0EB9"/>
    <w:rsid w:val="05501FB8"/>
    <w:rsid w:val="056805F7"/>
    <w:rsid w:val="058B1106"/>
    <w:rsid w:val="05F736EB"/>
    <w:rsid w:val="06216BB7"/>
    <w:rsid w:val="06933560"/>
    <w:rsid w:val="06B55C23"/>
    <w:rsid w:val="06E84084"/>
    <w:rsid w:val="099D7454"/>
    <w:rsid w:val="0A4B1D47"/>
    <w:rsid w:val="0AA2263A"/>
    <w:rsid w:val="0AEC1020"/>
    <w:rsid w:val="0B877E9C"/>
    <w:rsid w:val="0BAA52C1"/>
    <w:rsid w:val="0CA668D9"/>
    <w:rsid w:val="0FA83EC6"/>
    <w:rsid w:val="0FF81417"/>
    <w:rsid w:val="10BA6946"/>
    <w:rsid w:val="11E30700"/>
    <w:rsid w:val="15FC2A7B"/>
    <w:rsid w:val="166E25E4"/>
    <w:rsid w:val="17346CFE"/>
    <w:rsid w:val="17861CA2"/>
    <w:rsid w:val="17921426"/>
    <w:rsid w:val="18472594"/>
    <w:rsid w:val="1864491E"/>
    <w:rsid w:val="18CC6EB3"/>
    <w:rsid w:val="192564B0"/>
    <w:rsid w:val="198900CE"/>
    <w:rsid w:val="19F21252"/>
    <w:rsid w:val="1AB53B2F"/>
    <w:rsid w:val="1C025675"/>
    <w:rsid w:val="1C8D13A0"/>
    <w:rsid w:val="1CB80788"/>
    <w:rsid w:val="1D02687C"/>
    <w:rsid w:val="1D0E2A48"/>
    <w:rsid w:val="1E8A2F60"/>
    <w:rsid w:val="1EA74E28"/>
    <w:rsid w:val="1EBE7E57"/>
    <w:rsid w:val="1F345F39"/>
    <w:rsid w:val="20923E24"/>
    <w:rsid w:val="20BF74AE"/>
    <w:rsid w:val="226837FC"/>
    <w:rsid w:val="227008DD"/>
    <w:rsid w:val="23391DB3"/>
    <w:rsid w:val="23D34297"/>
    <w:rsid w:val="246C487A"/>
    <w:rsid w:val="25722E58"/>
    <w:rsid w:val="25804A5A"/>
    <w:rsid w:val="25EC1312"/>
    <w:rsid w:val="273B45E9"/>
    <w:rsid w:val="273D0F30"/>
    <w:rsid w:val="27417CB1"/>
    <w:rsid w:val="276A7DCB"/>
    <w:rsid w:val="289044BE"/>
    <w:rsid w:val="29292411"/>
    <w:rsid w:val="29E36050"/>
    <w:rsid w:val="2A6E6BA2"/>
    <w:rsid w:val="2AD72422"/>
    <w:rsid w:val="2B723B86"/>
    <w:rsid w:val="2C702E82"/>
    <w:rsid w:val="2D7256BF"/>
    <w:rsid w:val="2E173AA4"/>
    <w:rsid w:val="2EDE77DD"/>
    <w:rsid w:val="2EE428B6"/>
    <w:rsid w:val="2EEE771B"/>
    <w:rsid w:val="2F0F755D"/>
    <w:rsid w:val="2F227F53"/>
    <w:rsid w:val="2FE44ECF"/>
    <w:rsid w:val="300860B8"/>
    <w:rsid w:val="3081421F"/>
    <w:rsid w:val="30A63D11"/>
    <w:rsid w:val="310A2BB0"/>
    <w:rsid w:val="311F7001"/>
    <w:rsid w:val="316F2EBB"/>
    <w:rsid w:val="31FA76C9"/>
    <w:rsid w:val="32121610"/>
    <w:rsid w:val="32DC3ADC"/>
    <w:rsid w:val="33280B0D"/>
    <w:rsid w:val="33845F0D"/>
    <w:rsid w:val="355679C9"/>
    <w:rsid w:val="35592144"/>
    <w:rsid w:val="36230286"/>
    <w:rsid w:val="366311A0"/>
    <w:rsid w:val="37D50442"/>
    <w:rsid w:val="37E447D5"/>
    <w:rsid w:val="386F5086"/>
    <w:rsid w:val="3CA57794"/>
    <w:rsid w:val="3CE83A97"/>
    <w:rsid w:val="3D4A543A"/>
    <w:rsid w:val="3EAF1E0D"/>
    <w:rsid w:val="3F085EF3"/>
    <w:rsid w:val="3F0D6B3D"/>
    <w:rsid w:val="3F995A83"/>
    <w:rsid w:val="3FAA2A2A"/>
    <w:rsid w:val="40423352"/>
    <w:rsid w:val="4052250F"/>
    <w:rsid w:val="40EA414C"/>
    <w:rsid w:val="421405EB"/>
    <w:rsid w:val="42EC4F6A"/>
    <w:rsid w:val="431D1178"/>
    <w:rsid w:val="449A7D68"/>
    <w:rsid w:val="45CB751B"/>
    <w:rsid w:val="466F415B"/>
    <w:rsid w:val="47051023"/>
    <w:rsid w:val="47760F30"/>
    <w:rsid w:val="47E613CB"/>
    <w:rsid w:val="489802D3"/>
    <w:rsid w:val="48FB72BC"/>
    <w:rsid w:val="49233327"/>
    <w:rsid w:val="4C880E45"/>
    <w:rsid w:val="4EE04B79"/>
    <w:rsid w:val="4EF51812"/>
    <w:rsid w:val="4F0C1E8E"/>
    <w:rsid w:val="4F2E2B81"/>
    <w:rsid w:val="4F96209C"/>
    <w:rsid w:val="500A733A"/>
    <w:rsid w:val="50A163BD"/>
    <w:rsid w:val="510553B6"/>
    <w:rsid w:val="51C16609"/>
    <w:rsid w:val="520A193B"/>
    <w:rsid w:val="529E1FC4"/>
    <w:rsid w:val="52EB19A0"/>
    <w:rsid w:val="536338BE"/>
    <w:rsid w:val="538F2996"/>
    <w:rsid w:val="53A245DD"/>
    <w:rsid w:val="53CB1AAF"/>
    <w:rsid w:val="54A744B4"/>
    <w:rsid w:val="54B67F76"/>
    <w:rsid w:val="54E35814"/>
    <w:rsid w:val="563B4DE2"/>
    <w:rsid w:val="567D2CD8"/>
    <w:rsid w:val="56AF77B7"/>
    <w:rsid w:val="56F576A8"/>
    <w:rsid w:val="57233951"/>
    <w:rsid w:val="577E4A98"/>
    <w:rsid w:val="580210AF"/>
    <w:rsid w:val="594536D4"/>
    <w:rsid w:val="59BC630F"/>
    <w:rsid w:val="59EE6E32"/>
    <w:rsid w:val="5A4055B9"/>
    <w:rsid w:val="5A6B1C05"/>
    <w:rsid w:val="5B1D6E58"/>
    <w:rsid w:val="5B2B7F39"/>
    <w:rsid w:val="5BE036FA"/>
    <w:rsid w:val="5C477249"/>
    <w:rsid w:val="5C687DD9"/>
    <w:rsid w:val="5C8130E8"/>
    <w:rsid w:val="5D5F2DE1"/>
    <w:rsid w:val="5D911A6B"/>
    <w:rsid w:val="5E0149D7"/>
    <w:rsid w:val="5E1C3A06"/>
    <w:rsid w:val="5EAE75D0"/>
    <w:rsid w:val="5EBE5D92"/>
    <w:rsid w:val="60853B54"/>
    <w:rsid w:val="609A360B"/>
    <w:rsid w:val="620450E0"/>
    <w:rsid w:val="624E1738"/>
    <w:rsid w:val="63272541"/>
    <w:rsid w:val="63401247"/>
    <w:rsid w:val="635268DD"/>
    <w:rsid w:val="63691BD4"/>
    <w:rsid w:val="63FC5A74"/>
    <w:rsid w:val="641D7148"/>
    <w:rsid w:val="64C55E88"/>
    <w:rsid w:val="64C6586F"/>
    <w:rsid w:val="65D13687"/>
    <w:rsid w:val="66353D99"/>
    <w:rsid w:val="67B025F2"/>
    <w:rsid w:val="6857639B"/>
    <w:rsid w:val="689F41DF"/>
    <w:rsid w:val="69EF6C78"/>
    <w:rsid w:val="6BB56F58"/>
    <w:rsid w:val="6CCA07F4"/>
    <w:rsid w:val="6DDE79C2"/>
    <w:rsid w:val="6EBE1464"/>
    <w:rsid w:val="701A50FD"/>
    <w:rsid w:val="70DF6C32"/>
    <w:rsid w:val="70ED3FB2"/>
    <w:rsid w:val="712F7D4C"/>
    <w:rsid w:val="71585A0F"/>
    <w:rsid w:val="73382DA9"/>
    <w:rsid w:val="73860336"/>
    <w:rsid w:val="7468178B"/>
    <w:rsid w:val="756F352E"/>
    <w:rsid w:val="764A1AD7"/>
    <w:rsid w:val="77CF529E"/>
    <w:rsid w:val="78202A63"/>
    <w:rsid w:val="788C1C3D"/>
    <w:rsid w:val="78CC7617"/>
    <w:rsid w:val="7AB0440E"/>
    <w:rsid w:val="7B183DE6"/>
    <w:rsid w:val="7B63189C"/>
    <w:rsid w:val="7BC52DB0"/>
    <w:rsid w:val="7DBD6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1</TotalTime>
  <ScaleCrop>false</ScaleCrop>
  <LinksUpToDate>false</LinksUpToDate>
  <CharactersWithSpaces>112219</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umairali</cp:lastModifiedBy>
  <cp:lastPrinted>2019-07-29T03:24:00Z</cp:lastPrinted>
  <dcterms:modified xsi:type="dcterms:W3CDTF">2020-03-18T14:11:23Z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1033-11.2.0.9169</vt:lpwstr>
  </property>
</Properties>
</file>