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24"/>
        <w:tblW w:w="0" w:type="auto"/>
        <w:tblLook w:val="0000" w:firstRow="0" w:lastRow="0" w:firstColumn="0" w:lastColumn="0" w:noHBand="0" w:noVBand="0"/>
      </w:tblPr>
      <w:tblGrid>
        <w:gridCol w:w="1548"/>
        <w:gridCol w:w="5040"/>
        <w:gridCol w:w="2268"/>
      </w:tblGrid>
      <w:tr w:rsidR="00377892" w14:paraId="2EF06B46" w14:textId="77777777">
        <w:tblPrEx>
          <w:tblCellMar>
            <w:top w:w="0" w:type="dxa"/>
            <w:bottom w:w="0" w:type="dxa"/>
          </w:tblCellMar>
        </w:tblPrEx>
        <w:trPr>
          <w:trHeight w:val="981"/>
        </w:trPr>
        <w:tc>
          <w:tcPr>
            <w:tcW w:w="1548" w:type="dxa"/>
            <w:vAlign w:val="center"/>
          </w:tcPr>
          <w:p w14:paraId="0F9AB315" w14:textId="68543857" w:rsidR="00377892" w:rsidRDefault="00377892">
            <w:pPr>
              <w:pStyle w:val="Heading1"/>
              <w:spacing w:before="120" w:after="0"/>
              <w:rPr>
                <w:sz w:val="24"/>
              </w:rPr>
            </w:pPr>
          </w:p>
        </w:tc>
        <w:tc>
          <w:tcPr>
            <w:tcW w:w="5040" w:type="dxa"/>
            <w:vAlign w:val="center"/>
          </w:tcPr>
          <w:p w14:paraId="3CD4DA7C" w14:textId="72442119" w:rsidR="00377892" w:rsidRDefault="00377892">
            <w:pPr>
              <w:pStyle w:val="AGSM"/>
              <w:framePr w:hSpace="0" w:wrap="auto" w:vAnchor="margin" w:hAnchor="text" w:yAlign="inline"/>
            </w:pPr>
          </w:p>
        </w:tc>
        <w:tc>
          <w:tcPr>
            <w:tcW w:w="2268" w:type="dxa"/>
            <w:vAlign w:val="center"/>
          </w:tcPr>
          <w:p w14:paraId="4CCEA72E" w14:textId="5CC0FA03" w:rsidR="00377892" w:rsidRDefault="00377892">
            <w:pPr>
              <w:pStyle w:val="IDNumber"/>
              <w:framePr w:hSpace="0" w:wrap="auto" w:vAnchor="margin" w:hAnchor="text" w:yAlign="inline"/>
              <w:rPr>
                <w:sz w:val="24"/>
              </w:rPr>
            </w:pPr>
          </w:p>
        </w:tc>
      </w:tr>
      <w:tr w:rsidR="00377892" w14:paraId="7A67A804" w14:textId="77777777">
        <w:tblPrEx>
          <w:tblCellMar>
            <w:top w:w="0" w:type="dxa"/>
            <w:bottom w:w="0" w:type="dxa"/>
          </w:tblCellMar>
        </w:tblPrEx>
        <w:trPr>
          <w:trHeight w:val="1287"/>
        </w:trPr>
        <w:tc>
          <w:tcPr>
            <w:tcW w:w="8856" w:type="dxa"/>
            <w:gridSpan w:val="3"/>
            <w:tcBorders>
              <w:bottom w:val="single" w:sz="8" w:space="0" w:color="auto"/>
            </w:tcBorders>
            <w:vAlign w:val="bottom"/>
          </w:tcPr>
          <w:p w14:paraId="585034EB" w14:textId="51C1F474" w:rsidR="00377892" w:rsidRDefault="00377892" w:rsidP="00AB6344">
            <w:pPr>
              <w:pStyle w:val="Title"/>
            </w:pPr>
            <w:r>
              <w:t>Cost and Value Over Time</w:t>
            </w:r>
          </w:p>
          <w:p w14:paraId="1D21A9F8" w14:textId="5C946E6E" w:rsidR="00AB6344" w:rsidRDefault="00AB6344" w:rsidP="00AB6344">
            <w:pPr>
              <w:pStyle w:val="Title"/>
            </w:pPr>
            <w:r>
              <w:t>Richard P. Rumelt</w:t>
            </w:r>
          </w:p>
          <w:p w14:paraId="180B0912" w14:textId="77777777" w:rsidR="00377892" w:rsidRDefault="00377892">
            <w:pPr>
              <w:pStyle w:val="Heading1"/>
              <w:spacing w:before="120" w:after="0"/>
              <w:rPr>
                <w:sz w:val="24"/>
              </w:rPr>
            </w:pPr>
          </w:p>
        </w:tc>
      </w:tr>
      <w:tr w:rsidR="00377892" w14:paraId="5833EA62" w14:textId="77777777">
        <w:tblPrEx>
          <w:tblCellMar>
            <w:top w:w="0" w:type="dxa"/>
            <w:bottom w:w="0" w:type="dxa"/>
          </w:tblCellMar>
        </w:tblPrEx>
        <w:tc>
          <w:tcPr>
            <w:tcW w:w="8856" w:type="dxa"/>
            <w:gridSpan w:val="3"/>
            <w:tcBorders>
              <w:top w:val="single" w:sz="8" w:space="0" w:color="auto"/>
              <w:bottom w:val="single" w:sz="8" w:space="0" w:color="auto"/>
            </w:tcBorders>
          </w:tcPr>
          <w:p w14:paraId="6B773B89" w14:textId="5CCAFB8D" w:rsidR="00377892" w:rsidRDefault="00AB6344" w:rsidP="00AB6344">
            <w:pPr>
              <w:ind w:firstLine="0"/>
            </w:pPr>
            <w:r w:rsidRPr="00AB6344">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tc>
      </w:tr>
    </w:tbl>
    <w:p w14:paraId="5AB395EE" w14:textId="77777777" w:rsidR="00377892" w:rsidRDefault="00377892">
      <w:pPr>
        <w:ind w:firstLine="0"/>
        <w:sectPr w:rsidR="00377892">
          <w:headerReference w:type="even" r:id="rId7"/>
          <w:headerReference w:type="default" r:id="rId8"/>
          <w:footerReference w:type="even" r:id="rId9"/>
          <w:footerReference w:type="default" r:id="rId10"/>
          <w:headerReference w:type="first" r:id="rId11"/>
          <w:footerReference w:type="first" r:id="rId12"/>
          <w:type w:val="oddPage"/>
          <w:pgSz w:w="12240" w:h="15840" w:code="1"/>
          <w:pgMar w:top="720" w:right="1800" w:bottom="1440" w:left="1800" w:header="720" w:footer="720" w:gutter="0"/>
          <w:cols w:space="720"/>
          <w:titlePg/>
        </w:sectPr>
      </w:pPr>
    </w:p>
    <w:p w14:paraId="368BAD9E" w14:textId="77777777" w:rsidR="00377892" w:rsidRDefault="00377892">
      <w:pPr>
        <w:ind w:firstLine="0"/>
      </w:pPr>
    </w:p>
    <w:p w14:paraId="27905E4B" w14:textId="77777777" w:rsidR="00377892" w:rsidRDefault="00377892">
      <w:pPr>
        <w:pStyle w:val="MTDisplayEquation"/>
        <w:tabs>
          <w:tab w:val="clear" w:pos="4320"/>
          <w:tab w:val="clear" w:pos="8640"/>
        </w:tabs>
      </w:pPr>
      <w:r>
        <w:t>We use the tool called discounting to co</w:t>
      </w:r>
      <w:r>
        <w:t>m</w:t>
      </w:r>
      <w:r>
        <w:t>pare money amounts r</w:t>
      </w:r>
      <w:r>
        <w:t>e</w:t>
      </w:r>
      <w:r>
        <w:t>ceived or paid at di</w:t>
      </w:r>
      <w:r>
        <w:t>f</w:t>
      </w:r>
      <w:r>
        <w:t>ferent times.  Sometimes the problem appears to be one of borrowing and lending, at other times it may look like consumer choice.  Still other times it appears as capital bud</w:t>
      </w:r>
      <w:r>
        <w:t>g</w:t>
      </w:r>
      <w:r>
        <w:t>eting, or options pri</w:t>
      </w:r>
      <w:r>
        <w:t>c</w:t>
      </w:r>
      <w:r>
        <w:t>ing.  At the core, all of these problems use the basic machinery of discounting and present values.  Every MBA is expected to be skilled at working with discount rates and in solving present value pro</w:t>
      </w:r>
      <w:r>
        <w:t>b</w:t>
      </w:r>
      <w:r>
        <w:t>lems.</w:t>
      </w:r>
    </w:p>
    <w:p w14:paraId="687E1931" w14:textId="77777777" w:rsidR="00377892" w:rsidRDefault="00377892">
      <w:pPr>
        <w:pStyle w:val="Heading3"/>
      </w:pPr>
      <w:r>
        <w:t>Pre</w:t>
      </w:r>
      <w:r>
        <w:rPr>
          <w:kern w:val="0"/>
        </w:rPr>
        <w:t>s</w:t>
      </w:r>
      <w:r>
        <w:t>ent Value</w:t>
      </w:r>
    </w:p>
    <w:p w14:paraId="4899649C" w14:textId="77777777" w:rsidR="00377892" w:rsidRDefault="00377892">
      <w:pPr>
        <w:pStyle w:val="MTDisplayEquation"/>
        <w:tabs>
          <w:tab w:val="clear" w:pos="4320"/>
          <w:tab w:val="clear" w:pos="8640"/>
        </w:tabs>
      </w:pPr>
      <w:r>
        <w:t>Joanne was promised that she would receive $1000 next year and $1000 more the year a</w:t>
      </w:r>
      <w:r>
        <w:t>f</w:t>
      </w:r>
      <w:r>
        <w:t>ter.  What is the worth of this promise?  A simple answer is $2000.  To get a better answer we need to have a way of comparing money today with money next year, and so on.  The standard technique is to assume an interest rate and work from there.  Suppose we a</w:t>
      </w:r>
      <w:r>
        <w:t>s</w:t>
      </w:r>
      <w:r>
        <w:t>sume that Joanne can earn 7% (per year) on money she invests and holds.  How much would she have to have today to have available $1000 next year and another $1000 the year after?</w:t>
      </w:r>
    </w:p>
    <w:p w14:paraId="3FB59F85" w14:textId="77777777" w:rsidR="00377892" w:rsidRDefault="00377892">
      <w:pPr>
        <w:ind w:left="720" w:firstLine="0"/>
        <w:rPr>
          <w:b/>
          <w:bCs/>
        </w:rPr>
      </w:pPr>
      <w:r>
        <w:rPr>
          <w:b/>
          <w:bCs/>
        </w:rPr>
        <w:t>In discounting problems we work with the interest ratio, rather than d</w:t>
      </w:r>
      <w:r>
        <w:rPr>
          <w:b/>
          <w:bCs/>
        </w:rPr>
        <w:t>i</w:t>
      </w:r>
      <w:r>
        <w:rPr>
          <w:b/>
          <w:bCs/>
        </w:rPr>
        <w:t>rectly with the inte</w:t>
      </w:r>
      <w:r>
        <w:rPr>
          <w:b/>
          <w:bCs/>
        </w:rPr>
        <w:t>r</w:t>
      </w:r>
      <w:r>
        <w:rPr>
          <w:b/>
          <w:bCs/>
        </w:rPr>
        <w:t xml:space="preserve">est rate. If the interest rate is </w:t>
      </w:r>
      <w:r>
        <w:rPr>
          <w:b/>
          <w:bCs/>
          <w:i/>
          <w:iCs/>
        </w:rPr>
        <w:t>r</w:t>
      </w:r>
      <w:r>
        <w:rPr>
          <w:b/>
          <w:bCs/>
        </w:rPr>
        <w:t>, the interest ratio is 1+</w:t>
      </w:r>
      <w:r>
        <w:rPr>
          <w:b/>
          <w:bCs/>
          <w:i/>
          <w:iCs/>
        </w:rPr>
        <w:t>r</w:t>
      </w:r>
      <w:r>
        <w:rPr>
          <w:b/>
          <w:bCs/>
        </w:rPr>
        <w:t xml:space="preserve">.  Joanne’s interest ratio is 1.07.  That means that if she had $X today it would grow to be $1.07X at the end of one year.  Conversely, to have $X at the end of one year, Joanne would have to invest $X/1.07 today.  </w:t>
      </w:r>
    </w:p>
    <w:p w14:paraId="35B58BE8" w14:textId="77777777" w:rsidR="00377892" w:rsidRDefault="00377892">
      <w:r>
        <w:t>Now, let’s solve Joanne’s problem.  The question is the worth of two payments of $1000, one next year and the second the year a</w:t>
      </w:r>
      <w:r>
        <w:t>f</w:t>
      </w:r>
      <w:r>
        <w:t>ter.  We solve this by asking how much Joanne would have to invest today to replicate these payments (to herself).  To pay he</w:t>
      </w:r>
      <w:r>
        <w:t>r</w:t>
      </w:r>
      <w:r>
        <w:t>self $1000 next year, Joanne would have to invest $1000/1.07 = $934.58 t</w:t>
      </w:r>
      <w:r>
        <w:t>o</w:t>
      </w:r>
      <w:r>
        <w:t>day.  The logic is as straightforward as multiplying through by the 1.07 in the denomin</w:t>
      </w:r>
      <w:r>
        <w:t>a</w:t>
      </w:r>
      <w:r>
        <w:t>tor: 934.68 x 1.07 = 1000.  So, if Joanne put $934.58 to work t</w:t>
      </w:r>
      <w:r>
        <w:t>o</w:t>
      </w:r>
      <w:r>
        <w:t>day at 7%, it would grow to $1000 after one year.</w:t>
      </w:r>
    </w:p>
    <w:p w14:paraId="10C50DEA" w14:textId="77777777" w:rsidR="00377892" w:rsidRDefault="00377892">
      <w:r>
        <w:t xml:space="preserve">What about the next $1000?  Using the same numbers, we can see that if Joanne had a second $934.58 one year from now, she would </w:t>
      </w:r>
      <w:r w:rsidR="00D24205">
        <w:t xml:space="preserve">be able </w:t>
      </w:r>
      <w:r>
        <w:t>to generate the se</w:t>
      </w:r>
      <w:r>
        <w:t>c</w:t>
      </w:r>
      <w:r>
        <w:t>ond $1000 two years from now.  To have $934.58 one year from now she needs $934.58/1.07 = $873.44 today.  Invest that money at 7% and it will turn into $1000 in two years.  A</w:t>
      </w:r>
      <w:r>
        <w:t>n</w:t>
      </w:r>
      <w:r>
        <w:t>other way of writing this result is like this:</w:t>
      </w:r>
      <w:r>
        <w:rPr>
          <w:position w:val="-4"/>
        </w:rPr>
        <w:object w:dxaOrig="180" w:dyaOrig="260" w14:anchorId="00B17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2.75pt" o:ole="">
            <v:imagedata r:id="rId13" o:title=""/>
          </v:shape>
          <o:OLEObject Type="Embed" ProgID="Equation.DSMT4" ShapeID="_x0000_i1025" DrawAspect="Content" ObjectID="_1837601732" r:id="rId14"/>
        </w:object>
      </w:r>
    </w:p>
    <w:p w14:paraId="72B37A2F" w14:textId="77777777" w:rsidR="00377892" w:rsidRDefault="00377892">
      <w:pPr>
        <w:pStyle w:val="MTDisplayEquation"/>
        <w:tabs>
          <w:tab w:val="clear" w:pos="4320"/>
          <w:tab w:val="center" w:pos="1440"/>
        </w:tabs>
      </w:pPr>
      <w:r>
        <w:lastRenderedPageBreak/>
        <w:tab/>
      </w:r>
      <w:r>
        <w:rPr>
          <w:position w:val="-30"/>
        </w:rPr>
        <w:object w:dxaOrig="3159" w:dyaOrig="960" w14:anchorId="341AE4E9">
          <v:shape id="_x0000_i1026" type="#_x0000_t75" style="width:158.25pt;height:48pt" o:ole="">
            <v:imagedata r:id="rId15" o:title=""/>
          </v:shape>
          <o:OLEObject Type="Embed" ProgID="Equation.DSMT4" ShapeID="_x0000_i1026" DrawAspect="Content" ObjectID="_1837601733" r:id="rId16"/>
        </w:object>
      </w:r>
      <w:r>
        <w:t>.</w:t>
      </w:r>
    </w:p>
    <w:tbl>
      <w:tblPr>
        <w:tblpPr w:leftFromText="288" w:rightFromText="288" w:topFromText="144" w:bottomFromText="144" w:vertAnchor="page" w:horzAnchor="margin" w:tblpXSpec="right" w:tblpY="1445"/>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0" w:type="dxa"/>
          <w:right w:w="0" w:type="dxa"/>
        </w:tblCellMar>
        <w:tblLook w:val="00BF" w:firstRow="1" w:lastRow="0" w:firstColumn="1" w:lastColumn="0" w:noHBand="0" w:noVBand="0"/>
      </w:tblPr>
      <w:tblGrid>
        <w:gridCol w:w="1463"/>
        <w:gridCol w:w="1440"/>
        <w:gridCol w:w="1170"/>
        <w:gridCol w:w="1170"/>
      </w:tblGrid>
      <w:tr w:rsidR="00377892" w14:paraId="7FD06C31" w14:textId="77777777">
        <w:trPr>
          <w:trHeight w:val="300"/>
        </w:trPr>
        <w:tc>
          <w:tcPr>
            <w:tcW w:w="5243" w:type="dxa"/>
            <w:gridSpan w:val="4"/>
            <w:noWrap/>
            <w:tcMar>
              <w:top w:w="13" w:type="dxa"/>
              <w:left w:w="13" w:type="dxa"/>
              <w:bottom w:w="0" w:type="dxa"/>
              <w:right w:w="13" w:type="dxa"/>
            </w:tcMar>
            <w:vAlign w:val="bottom"/>
          </w:tcPr>
          <w:p w14:paraId="6A635568" w14:textId="77777777" w:rsidR="00377892" w:rsidRDefault="00377892">
            <w:pPr>
              <w:pStyle w:val="Tabletext"/>
              <w:jc w:val="center"/>
              <w:rPr>
                <w:b/>
                <w:bCs/>
                <w:caps/>
              </w:rPr>
            </w:pPr>
            <w:r>
              <w:rPr>
                <w:b/>
                <w:bCs/>
              </w:rPr>
              <w:t>Exhibit 1</w:t>
            </w:r>
            <w:r>
              <w:rPr>
                <w:b/>
                <w:bCs/>
              </w:rPr>
              <w:br/>
              <w:t>Joanne’s Bank Account</w:t>
            </w:r>
          </w:p>
        </w:tc>
      </w:tr>
      <w:tr w:rsidR="00377892" w14:paraId="5F5C9412" w14:textId="77777777">
        <w:trPr>
          <w:trHeight w:val="300"/>
        </w:trPr>
        <w:tc>
          <w:tcPr>
            <w:tcW w:w="1463" w:type="dxa"/>
            <w:tcBorders>
              <w:bottom w:val="single" w:sz="6" w:space="0" w:color="000000"/>
            </w:tcBorders>
            <w:noWrap/>
            <w:tcMar>
              <w:top w:w="13" w:type="dxa"/>
              <w:left w:w="13" w:type="dxa"/>
              <w:bottom w:w="0" w:type="dxa"/>
              <w:right w:w="13" w:type="dxa"/>
            </w:tcMar>
            <w:vAlign w:val="bottom"/>
          </w:tcPr>
          <w:p w14:paraId="79D385D7" w14:textId="77777777" w:rsidR="00377892" w:rsidRDefault="00377892">
            <w:pPr>
              <w:pStyle w:val="Tabletext"/>
            </w:pPr>
            <w:r>
              <w:t>Date</w:t>
            </w:r>
          </w:p>
        </w:tc>
        <w:tc>
          <w:tcPr>
            <w:tcW w:w="1440" w:type="dxa"/>
            <w:tcBorders>
              <w:bottom w:val="single" w:sz="6" w:space="0" w:color="000000"/>
            </w:tcBorders>
            <w:noWrap/>
            <w:tcMar>
              <w:top w:w="13" w:type="dxa"/>
              <w:left w:w="13" w:type="dxa"/>
              <w:bottom w:w="0" w:type="dxa"/>
              <w:right w:w="13" w:type="dxa"/>
            </w:tcMar>
            <w:vAlign w:val="bottom"/>
          </w:tcPr>
          <w:p w14:paraId="42C274A1" w14:textId="77777777" w:rsidR="00377892" w:rsidRDefault="00377892">
            <w:pPr>
              <w:pStyle w:val="Tabletext"/>
            </w:pPr>
            <w:r>
              <w:t>Action</w:t>
            </w:r>
          </w:p>
        </w:tc>
        <w:tc>
          <w:tcPr>
            <w:tcW w:w="1170" w:type="dxa"/>
            <w:tcBorders>
              <w:bottom w:val="single" w:sz="6" w:space="0" w:color="000000"/>
            </w:tcBorders>
            <w:noWrap/>
            <w:tcMar>
              <w:top w:w="13" w:type="dxa"/>
              <w:left w:w="13" w:type="dxa"/>
              <w:bottom w:w="0" w:type="dxa"/>
              <w:right w:w="13" w:type="dxa"/>
            </w:tcMar>
            <w:vAlign w:val="bottom"/>
          </w:tcPr>
          <w:p w14:paraId="39011124" w14:textId="77777777" w:rsidR="00377892" w:rsidRDefault="00377892">
            <w:pPr>
              <w:pStyle w:val="Tabletext"/>
            </w:pPr>
            <w:r>
              <w:t>Amount</w:t>
            </w:r>
          </w:p>
        </w:tc>
        <w:tc>
          <w:tcPr>
            <w:tcW w:w="1170" w:type="dxa"/>
            <w:tcBorders>
              <w:bottom w:val="single" w:sz="6" w:space="0" w:color="000000"/>
            </w:tcBorders>
            <w:noWrap/>
            <w:tcMar>
              <w:top w:w="13" w:type="dxa"/>
              <w:left w:w="13" w:type="dxa"/>
              <w:bottom w:w="0" w:type="dxa"/>
              <w:right w:w="13" w:type="dxa"/>
            </w:tcMar>
            <w:vAlign w:val="bottom"/>
          </w:tcPr>
          <w:p w14:paraId="78FB64F2" w14:textId="77777777" w:rsidR="00377892" w:rsidRDefault="00377892">
            <w:pPr>
              <w:pStyle w:val="Tabletext"/>
            </w:pPr>
            <w:r>
              <w:t>Ba</w:t>
            </w:r>
            <w:r>
              <w:t>l</w:t>
            </w:r>
            <w:r>
              <w:t>ance</w:t>
            </w:r>
          </w:p>
        </w:tc>
      </w:tr>
      <w:tr w:rsidR="00377892" w14:paraId="693D8B32" w14:textId="77777777">
        <w:trPr>
          <w:trHeight w:val="285"/>
        </w:trPr>
        <w:tc>
          <w:tcPr>
            <w:tcW w:w="1463" w:type="dxa"/>
            <w:tcBorders>
              <w:top w:val="single" w:sz="6" w:space="0" w:color="000000"/>
              <w:bottom w:val="nil"/>
            </w:tcBorders>
            <w:noWrap/>
            <w:tcMar>
              <w:top w:w="13" w:type="dxa"/>
              <w:left w:w="13" w:type="dxa"/>
              <w:bottom w:w="0" w:type="dxa"/>
              <w:right w:w="13" w:type="dxa"/>
            </w:tcMar>
            <w:vAlign w:val="bottom"/>
          </w:tcPr>
          <w:p w14:paraId="7DA94FA0" w14:textId="77777777" w:rsidR="00377892" w:rsidRDefault="00377892">
            <w:pPr>
              <w:pStyle w:val="Tabletext"/>
            </w:pPr>
            <w:smartTag w:uri="urn:schemas-microsoft-com:office:smarttags" w:element="date">
              <w:smartTagPr>
                <w:attr w:name="Month" w:val="12"/>
                <w:attr w:name="Day" w:val="31"/>
                <w:attr w:name="Year" w:val="1999"/>
              </w:smartTagPr>
              <w:r>
                <w:t>12/31/1999</w:t>
              </w:r>
            </w:smartTag>
          </w:p>
        </w:tc>
        <w:tc>
          <w:tcPr>
            <w:tcW w:w="1440" w:type="dxa"/>
            <w:tcBorders>
              <w:top w:val="single" w:sz="6" w:space="0" w:color="000000"/>
              <w:bottom w:val="nil"/>
            </w:tcBorders>
            <w:noWrap/>
            <w:tcMar>
              <w:top w:w="13" w:type="dxa"/>
              <w:left w:w="13" w:type="dxa"/>
              <w:bottom w:w="0" w:type="dxa"/>
              <w:right w:w="13" w:type="dxa"/>
            </w:tcMar>
            <w:vAlign w:val="bottom"/>
          </w:tcPr>
          <w:p w14:paraId="6360AC34" w14:textId="77777777" w:rsidR="00377892" w:rsidRDefault="00377892">
            <w:pPr>
              <w:pStyle w:val="Tabletext"/>
            </w:pPr>
            <w:r>
              <w:t> </w:t>
            </w:r>
          </w:p>
        </w:tc>
        <w:tc>
          <w:tcPr>
            <w:tcW w:w="1170" w:type="dxa"/>
            <w:tcBorders>
              <w:top w:val="single" w:sz="6" w:space="0" w:color="000000"/>
              <w:bottom w:val="nil"/>
            </w:tcBorders>
            <w:noWrap/>
            <w:tcMar>
              <w:top w:w="13" w:type="dxa"/>
              <w:left w:w="13" w:type="dxa"/>
              <w:bottom w:w="0" w:type="dxa"/>
              <w:right w:w="13" w:type="dxa"/>
            </w:tcMar>
            <w:vAlign w:val="bottom"/>
          </w:tcPr>
          <w:p w14:paraId="0EBB2321" w14:textId="77777777" w:rsidR="00377892" w:rsidRDefault="00377892">
            <w:pPr>
              <w:pStyle w:val="Tabletext"/>
              <w:ind w:right="150"/>
              <w:jc w:val="right"/>
            </w:pPr>
            <w:r>
              <w:t> </w:t>
            </w:r>
          </w:p>
        </w:tc>
        <w:tc>
          <w:tcPr>
            <w:tcW w:w="1170" w:type="dxa"/>
            <w:tcBorders>
              <w:top w:val="single" w:sz="6" w:space="0" w:color="000000"/>
              <w:bottom w:val="nil"/>
            </w:tcBorders>
            <w:noWrap/>
            <w:tcMar>
              <w:top w:w="13" w:type="dxa"/>
              <w:left w:w="13" w:type="dxa"/>
              <w:bottom w:w="0" w:type="dxa"/>
              <w:right w:w="13" w:type="dxa"/>
            </w:tcMar>
            <w:vAlign w:val="bottom"/>
          </w:tcPr>
          <w:p w14:paraId="3C3F7378" w14:textId="77777777" w:rsidR="00377892" w:rsidRDefault="00377892">
            <w:pPr>
              <w:pStyle w:val="Tabletext"/>
              <w:ind w:right="150"/>
              <w:jc w:val="right"/>
            </w:pPr>
            <w:r>
              <w:t>0</w:t>
            </w:r>
          </w:p>
        </w:tc>
      </w:tr>
      <w:tr w:rsidR="00377892" w14:paraId="6F1F992C" w14:textId="77777777">
        <w:trPr>
          <w:trHeight w:val="255"/>
        </w:trPr>
        <w:tc>
          <w:tcPr>
            <w:tcW w:w="1463" w:type="dxa"/>
            <w:tcBorders>
              <w:top w:val="nil"/>
              <w:bottom w:val="nil"/>
            </w:tcBorders>
            <w:noWrap/>
            <w:tcMar>
              <w:top w:w="13" w:type="dxa"/>
              <w:left w:w="13" w:type="dxa"/>
              <w:bottom w:w="0" w:type="dxa"/>
              <w:right w:w="13" w:type="dxa"/>
            </w:tcMar>
            <w:vAlign w:val="bottom"/>
          </w:tcPr>
          <w:p w14:paraId="7911FDBD" w14:textId="77777777" w:rsidR="00377892" w:rsidRDefault="00377892">
            <w:pPr>
              <w:pStyle w:val="Tabletext"/>
            </w:pPr>
            <w:smartTag w:uri="urn:schemas-microsoft-com:office:smarttags" w:element="date">
              <w:smartTagPr>
                <w:attr w:name="Month" w:val="1"/>
                <w:attr w:name="Day" w:val="1"/>
                <w:attr w:name="Year" w:val="2000"/>
              </w:smartTagPr>
              <w:r>
                <w:t>1/1/2000</w:t>
              </w:r>
            </w:smartTag>
          </w:p>
        </w:tc>
        <w:tc>
          <w:tcPr>
            <w:tcW w:w="1440" w:type="dxa"/>
            <w:tcBorders>
              <w:top w:val="nil"/>
              <w:bottom w:val="nil"/>
            </w:tcBorders>
            <w:noWrap/>
            <w:tcMar>
              <w:top w:w="13" w:type="dxa"/>
              <w:left w:w="13" w:type="dxa"/>
              <w:bottom w:w="0" w:type="dxa"/>
              <w:right w:w="13" w:type="dxa"/>
            </w:tcMar>
            <w:vAlign w:val="bottom"/>
          </w:tcPr>
          <w:p w14:paraId="4240302D" w14:textId="77777777" w:rsidR="00377892" w:rsidRDefault="00377892">
            <w:pPr>
              <w:pStyle w:val="Tabletext"/>
            </w:pPr>
            <w:r>
              <w:t>Deposit</w:t>
            </w:r>
          </w:p>
        </w:tc>
        <w:tc>
          <w:tcPr>
            <w:tcW w:w="1170" w:type="dxa"/>
            <w:tcBorders>
              <w:top w:val="nil"/>
              <w:bottom w:val="nil"/>
            </w:tcBorders>
            <w:noWrap/>
            <w:tcMar>
              <w:top w:w="13" w:type="dxa"/>
              <w:left w:w="13" w:type="dxa"/>
              <w:bottom w:w="0" w:type="dxa"/>
              <w:right w:w="13" w:type="dxa"/>
            </w:tcMar>
            <w:vAlign w:val="bottom"/>
          </w:tcPr>
          <w:p w14:paraId="3384F335" w14:textId="77777777" w:rsidR="00377892" w:rsidRDefault="00377892">
            <w:pPr>
              <w:pStyle w:val="Tabletext"/>
              <w:ind w:right="150"/>
              <w:jc w:val="right"/>
            </w:pPr>
            <w:r>
              <w:t xml:space="preserve">1,808.02 </w:t>
            </w:r>
          </w:p>
        </w:tc>
        <w:tc>
          <w:tcPr>
            <w:tcW w:w="1170" w:type="dxa"/>
            <w:tcBorders>
              <w:top w:val="nil"/>
              <w:bottom w:val="nil"/>
            </w:tcBorders>
            <w:noWrap/>
            <w:tcMar>
              <w:top w:w="13" w:type="dxa"/>
              <w:left w:w="13" w:type="dxa"/>
              <w:bottom w:w="0" w:type="dxa"/>
              <w:right w:w="13" w:type="dxa"/>
            </w:tcMar>
            <w:vAlign w:val="bottom"/>
          </w:tcPr>
          <w:p w14:paraId="0E730F53" w14:textId="77777777" w:rsidR="00377892" w:rsidRDefault="00377892">
            <w:pPr>
              <w:pStyle w:val="Tabletext"/>
              <w:ind w:right="150"/>
              <w:jc w:val="right"/>
            </w:pPr>
            <w:r>
              <w:t>1,808.02</w:t>
            </w:r>
          </w:p>
        </w:tc>
      </w:tr>
      <w:tr w:rsidR="00377892" w14:paraId="503B86E0" w14:textId="77777777">
        <w:trPr>
          <w:trHeight w:val="255"/>
        </w:trPr>
        <w:tc>
          <w:tcPr>
            <w:tcW w:w="1463" w:type="dxa"/>
            <w:tcBorders>
              <w:top w:val="nil"/>
              <w:bottom w:val="nil"/>
            </w:tcBorders>
            <w:noWrap/>
            <w:tcMar>
              <w:top w:w="13" w:type="dxa"/>
              <w:left w:w="13" w:type="dxa"/>
              <w:bottom w:w="0" w:type="dxa"/>
              <w:right w:w="13" w:type="dxa"/>
            </w:tcMar>
            <w:vAlign w:val="bottom"/>
          </w:tcPr>
          <w:p w14:paraId="2A442BC4" w14:textId="77777777" w:rsidR="00377892" w:rsidRDefault="00377892">
            <w:pPr>
              <w:pStyle w:val="Tabletext"/>
            </w:pPr>
            <w:smartTag w:uri="urn:schemas-microsoft-com:office:smarttags" w:element="date">
              <w:smartTagPr>
                <w:attr w:name="Month" w:val="12"/>
                <w:attr w:name="Day" w:val="31"/>
                <w:attr w:name="Year" w:val="2000"/>
              </w:smartTagPr>
              <w:r>
                <w:t>12/31/2000</w:t>
              </w:r>
            </w:smartTag>
          </w:p>
        </w:tc>
        <w:tc>
          <w:tcPr>
            <w:tcW w:w="1440" w:type="dxa"/>
            <w:tcBorders>
              <w:top w:val="nil"/>
              <w:bottom w:val="nil"/>
            </w:tcBorders>
            <w:noWrap/>
            <w:tcMar>
              <w:top w:w="13" w:type="dxa"/>
              <w:left w:w="13" w:type="dxa"/>
              <w:bottom w:w="0" w:type="dxa"/>
              <w:right w:w="13" w:type="dxa"/>
            </w:tcMar>
            <w:vAlign w:val="bottom"/>
          </w:tcPr>
          <w:p w14:paraId="144FBE92" w14:textId="77777777" w:rsidR="00377892" w:rsidRDefault="00377892">
            <w:pPr>
              <w:pStyle w:val="Tabletext"/>
            </w:pPr>
            <w:r>
              <w:t>Interest Paid</w:t>
            </w:r>
          </w:p>
        </w:tc>
        <w:tc>
          <w:tcPr>
            <w:tcW w:w="1170" w:type="dxa"/>
            <w:tcBorders>
              <w:top w:val="nil"/>
              <w:bottom w:val="nil"/>
            </w:tcBorders>
            <w:noWrap/>
            <w:tcMar>
              <w:top w:w="13" w:type="dxa"/>
              <w:left w:w="13" w:type="dxa"/>
              <w:bottom w:w="0" w:type="dxa"/>
              <w:right w:w="13" w:type="dxa"/>
            </w:tcMar>
            <w:vAlign w:val="bottom"/>
          </w:tcPr>
          <w:p w14:paraId="524E9BA3" w14:textId="77777777" w:rsidR="00377892" w:rsidRDefault="00377892">
            <w:pPr>
              <w:pStyle w:val="Tabletext"/>
              <w:ind w:right="150"/>
              <w:jc w:val="right"/>
            </w:pPr>
            <w:r>
              <w:t xml:space="preserve">126.56 </w:t>
            </w:r>
          </w:p>
        </w:tc>
        <w:tc>
          <w:tcPr>
            <w:tcW w:w="1170" w:type="dxa"/>
            <w:tcBorders>
              <w:top w:val="nil"/>
              <w:bottom w:val="nil"/>
            </w:tcBorders>
            <w:noWrap/>
            <w:tcMar>
              <w:top w:w="13" w:type="dxa"/>
              <w:left w:w="13" w:type="dxa"/>
              <w:bottom w:w="0" w:type="dxa"/>
              <w:right w:w="13" w:type="dxa"/>
            </w:tcMar>
            <w:vAlign w:val="bottom"/>
          </w:tcPr>
          <w:p w14:paraId="2CB5A9B0" w14:textId="77777777" w:rsidR="00377892" w:rsidRDefault="00377892">
            <w:pPr>
              <w:pStyle w:val="Tabletext"/>
              <w:ind w:right="150"/>
              <w:jc w:val="right"/>
            </w:pPr>
            <w:r>
              <w:t>1,934.58</w:t>
            </w:r>
          </w:p>
        </w:tc>
      </w:tr>
      <w:tr w:rsidR="00377892" w14:paraId="27FCB815" w14:textId="77777777">
        <w:trPr>
          <w:trHeight w:val="255"/>
        </w:trPr>
        <w:tc>
          <w:tcPr>
            <w:tcW w:w="1463" w:type="dxa"/>
            <w:tcBorders>
              <w:top w:val="nil"/>
              <w:bottom w:val="nil"/>
            </w:tcBorders>
            <w:noWrap/>
            <w:tcMar>
              <w:top w:w="13" w:type="dxa"/>
              <w:left w:w="13" w:type="dxa"/>
              <w:bottom w:w="0" w:type="dxa"/>
              <w:right w:w="13" w:type="dxa"/>
            </w:tcMar>
            <w:vAlign w:val="bottom"/>
          </w:tcPr>
          <w:p w14:paraId="16B21339" w14:textId="77777777" w:rsidR="00377892" w:rsidRDefault="00377892">
            <w:pPr>
              <w:pStyle w:val="Tabletext"/>
            </w:pPr>
            <w:smartTag w:uri="urn:schemas-microsoft-com:office:smarttags" w:element="date">
              <w:smartTagPr>
                <w:attr w:name="Month" w:val="1"/>
                <w:attr w:name="Day" w:val="1"/>
                <w:attr w:name="Year" w:val="2001"/>
              </w:smartTagPr>
              <w:r>
                <w:t>1/1/2001</w:t>
              </w:r>
            </w:smartTag>
          </w:p>
        </w:tc>
        <w:tc>
          <w:tcPr>
            <w:tcW w:w="1440" w:type="dxa"/>
            <w:tcBorders>
              <w:top w:val="nil"/>
              <w:bottom w:val="nil"/>
            </w:tcBorders>
            <w:noWrap/>
            <w:tcMar>
              <w:top w:w="13" w:type="dxa"/>
              <w:left w:w="13" w:type="dxa"/>
              <w:bottom w:w="0" w:type="dxa"/>
              <w:right w:w="13" w:type="dxa"/>
            </w:tcMar>
            <w:vAlign w:val="bottom"/>
          </w:tcPr>
          <w:p w14:paraId="48982F00" w14:textId="77777777" w:rsidR="00377892" w:rsidRDefault="00377892">
            <w:pPr>
              <w:pStyle w:val="Tabletext"/>
            </w:pPr>
            <w:r>
              <w:t>Withdrawal</w:t>
            </w:r>
          </w:p>
        </w:tc>
        <w:tc>
          <w:tcPr>
            <w:tcW w:w="1170" w:type="dxa"/>
            <w:tcBorders>
              <w:top w:val="nil"/>
              <w:bottom w:val="nil"/>
            </w:tcBorders>
            <w:noWrap/>
            <w:tcMar>
              <w:top w:w="13" w:type="dxa"/>
              <w:left w:w="13" w:type="dxa"/>
              <w:bottom w:w="0" w:type="dxa"/>
              <w:right w:w="13" w:type="dxa"/>
            </w:tcMar>
            <w:vAlign w:val="bottom"/>
          </w:tcPr>
          <w:p w14:paraId="114FDCCF" w14:textId="77777777" w:rsidR="00377892" w:rsidRDefault="00377892">
            <w:pPr>
              <w:pStyle w:val="Tabletext"/>
              <w:ind w:right="150"/>
              <w:jc w:val="right"/>
            </w:pPr>
            <w:r>
              <w:t xml:space="preserve">1,000.00 </w:t>
            </w:r>
          </w:p>
        </w:tc>
        <w:tc>
          <w:tcPr>
            <w:tcW w:w="1170" w:type="dxa"/>
            <w:tcBorders>
              <w:top w:val="nil"/>
              <w:bottom w:val="nil"/>
            </w:tcBorders>
            <w:noWrap/>
            <w:tcMar>
              <w:top w:w="13" w:type="dxa"/>
              <w:left w:w="13" w:type="dxa"/>
              <w:bottom w:w="0" w:type="dxa"/>
              <w:right w:w="13" w:type="dxa"/>
            </w:tcMar>
            <w:vAlign w:val="bottom"/>
          </w:tcPr>
          <w:p w14:paraId="3FD6A174" w14:textId="77777777" w:rsidR="00377892" w:rsidRDefault="00377892">
            <w:pPr>
              <w:pStyle w:val="Tabletext"/>
              <w:ind w:right="150"/>
              <w:jc w:val="right"/>
            </w:pPr>
            <w:r>
              <w:t>934.58</w:t>
            </w:r>
          </w:p>
        </w:tc>
      </w:tr>
      <w:tr w:rsidR="00377892" w14:paraId="0AFA6681" w14:textId="77777777">
        <w:trPr>
          <w:trHeight w:val="255"/>
        </w:trPr>
        <w:tc>
          <w:tcPr>
            <w:tcW w:w="1463" w:type="dxa"/>
            <w:tcBorders>
              <w:top w:val="nil"/>
              <w:bottom w:val="nil"/>
            </w:tcBorders>
            <w:noWrap/>
            <w:tcMar>
              <w:top w:w="13" w:type="dxa"/>
              <w:left w:w="13" w:type="dxa"/>
              <w:bottom w:w="0" w:type="dxa"/>
              <w:right w:w="13" w:type="dxa"/>
            </w:tcMar>
            <w:vAlign w:val="bottom"/>
          </w:tcPr>
          <w:p w14:paraId="252EC869" w14:textId="77777777" w:rsidR="00377892" w:rsidRDefault="00377892">
            <w:pPr>
              <w:pStyle w:val="Tabletext"/>
            </w:pPr>
            <w:r>
              <w:t>12/31/ 2001</w:t>
            </w:r>
          </w:p>
        </w:tc>
        <w:tc>
          <w:tcPr>
            <w:tcW w:w="1440" w:type="dxa"/>
            <w:tcBorders>
              <w:top w:val="nil"/>
              <w:bottom w:val="nil"/>
            </w:tcBorders>
            <w:noWrap/>
            <w:tcMar>
              <w:top w:w="13" w:type="dxa"/>
              <w:left w:w="13" w:type="dxa"/>
              <w:bottom w:w="0" w:type="dxa"/>
              <w:right w:w="13" w:type="dxa"/>
            </w:tcMar>
            <w:vAlign w:val="bottom"/>
          </w:tcPr>
          <w:p w14:paraId="0ECB2243" w14:textId="77777777" w:rsidR="00377892" w:rsidRDefault="00377892">
            <w:pPr>
              <w:pStyle w:val="Tabletext"/>
            </w:pPr>
            <w:r>
              <w:t>Interest Paid</w:t>
            </w:r>
          </w:p>
        </w:tc>
        <w:tc>
          <w:tcPr>
            <w:tcW w:w="1170" w:type="dxa"/>
            <w:tcBorders>
              <w:top w:val="nil"/>
              <w:bottom w:val="nil"/>
            </w:tcBorders>
            <w:noWrap/>
            <w:tcMar>
              <w:top w:w="13" w:type="dxa"/>
              <w:left w:w="13" w:type="dxa"/>
              <w:bottom w:w="0" w:type="dxa"/>
              <w:right w:w="13" w:type="dxa"/>
            </w:tcMar>
            <w:vAlign w:val="bottom"/>
          </w:tcPr>
          <w:p w14:paraId="21EE2E12" w14:textId="77777777" w:rsidR="00377892" w:rsidRDefault="00377892">
            <w:pPr>
              <w:pStyle w:val="Tabletext"/>
              <w:ind w:right="150"/>
              <w:jc w:val="right"/>
            </w:pPr>
            <w:r>
              <w:t xml:space="preserve">65.42 </w:t>
            </w:r>
          </w:p>
        </w:tc>
        <w:tc>
          <w:tcPr>
            <w:tcW w:w="1170" w:type="dxa"/>
            <w:tcBorders>
              <w:top w:val="nil"/>
              <w:bottom w:val="nil"/>
            </w:tcBorders>
            <w:noWrap/>
            <w:tcMar>
              <w:top w:w="13" w:type="dxa"/>
              <w:left w:w="13" w:type="dxa"/>
              <w:bottom w:w="0" w:type="dxa"/>
              <w:right w:w="13" w:type="dxa"/>
            </w:tcMar>
            <w:vAlign w:val="bottom"/>
          </w:tcPr>
          <w:p w14:paraId="496A3830" w14:textId="77777777" w:rsidR="00377892" w:rsidRDefault="00377892">
            <w:pPr>
              <w:pStyle w:val="Tabletext"/>
              <w:ind w:right="150"/>
              <w:jc w:val="right"/>
            </w:pPr>
            <w:r>
              <w:t>1,000.00</w:t>
            </w:r>
          </w:p>
        </w:tc>
      </w:tr>
      <w:tr w:rsidR="00377892" w14:paraId="12813EB7" w14:textId="77777777">
        <w:trPr>
          <w:trHeight w:val="270"/>
        </w:trPr>
        <w:tc>
          <w:tcPr>
            <w:tcW w:w="1463" w:type="dxa"/>
            <w:tcBorders>
              <w:top w:val="nil"/>
              <w:bottom w:val="double" w:sz="6" w:space="0" w:color="000000"/>
            </w:tcBorders>
            <w:noWrap/>
            <w:tcMar>
              <w:top w:w="13" w:type="dxa"/>
              <w:left w:w="13" w:type="dxa"/>
              <w:bottom w:w="0" w:type="dxa"/>
              <w:right w:w="13" w:type="dxa"/>
            </w:tcMar>
            <w:vAlign w:val="bottom"/>
          </w:tcPr>
          <w:p w14:paraId="433B06E7" w14:textId="77777777" w:rsidR="00377892" w:rsidRDefault="00377892">
            <w:pPr>
              <w:pStyle w:val="Tabletext"/>
            </w:pPr>
            <w:r>
              <w:t>1/1 2002</w:t>
            </w:r>
          </w:p>
        </w:tc>
        <w:tc>
          <w:tcPr>
            <w:tcW w:w="1440" w:type="dxa"/>
            <w:tcBorders>
              <w:top w:val="nil"/>
              <w:bottom w:val="double" w:sz="6" w:space="0" w:color="000000"/>
            </w:tcBorders>
            <w:noWrap/>
            <w:tcMar>
              <w:top w:w="13" w:type="dxa"/>
              <w:left w:w="13" w:type="dxa"/>
              <w:bottom w:w="0" w:type="dxa"/>
              <w:right w:w="13" w:type="dxa"/>
            </w:tcMar>
            <w:vAlign w:val="bottom"/>
          </w:tcPr>
          <w:p w14:paraId="4A84B3EB" w14:textId="77777777" w:rsidR="00377892" w:rsidRDefault="00377892">
            <w:pPr>
              <w:pStyle w:val="Tabletext"/>
            </w:pPr>
            <w:r>
              <w:t>Withdrawal</w:t>
            </w:r>
          </w:p>
        </w:tc>
        <w:tc>
          <w:tcPr>
            <w:tcW w:w="1170" w:type="dxa"/>
            <w:tcBorders>
              <w:top w:val="nil"/>
              <w:bottom w:val="double" w:sz="6" w:space="0" w:color="000000"/>
            </w:tcBorders>
            <w:noWrap/>
            <w:tcMar>
              <w:top w:w="13" w:type="dxa"/>
              <w:left w:w="13" w:type="dxa"/>
              <w:bottom w:w="0" w:type="dxa"/>
              <w:right w:w="13" w:type="dxa"/>
            </w:tcMar>
            <w:vAlign w:val="bottom"/>
          </w:tcPr>
          <w:p w14:paraId="5FF71CB4" w14:textId="77777777" w:rsidR="00377892" w:rsidRDefault="00377892">
            <w:pPr>
              <w:pStyle w:val="Tabletext"/>
              <w:ind w:right="150"/>
              <w:jc w:val="right"/>
            </w:pPr>
            <w:r>
              <w:t xml:space="preserve">1,000.00 </w:t>
            </w:r>
          </w:p>
        </w:tc>
        <w:tc>
          <w:tcPr>
            <w:tcW w:w="1170" w:type="dxa"/>
            <w:tcBorders>
              <w:top w:val="nil"/>
              <w:bottom w:val="double" w:sz="6" w:space="0" w:color="000000"/>
            </w:tcBorders>
            <w:noWrap/>
            <w:tcMar>
              <w:top w:w="13" w:type="dxa"/>
              <w:left w:w="13" w:type="dxa"/>
              <w:bottom w:w="0" w:type="dxa"/>
              <w:right w:w="13" w:type="dxa"/>
            </w:tcMar>
            <w:vAlign w:val="bottom"/>
          </w:tcPr>
          <w:p w14:paraId="26151988" w14:textId="77777777" w:rsidR="00377892" w:rsidRDefault="00377892">
            <w:pPr>
              <w:pStyle w:val="Tabletext"/>
              <w:ind w:right="150"/>
              <w:jc w:val="right"/>
            </w:pPr>
            <w:r>
              <w:t>0</w:t>
            </w:r>
          </w:p>
        </w:tc>
      </w:tr>
    </w:tbl>
    <w:p w14:paraId="034FB0D3" w14:textId="77777777" w:rsidR="00377892" w:rsidRDefault="00377892">
      <w:pPr>
        <w:pStyle w:val="MTDisplayEquation"/>
        <w:ind w:firstLine="0"/>
      </w:pPr>
      <w:r>
        <w:t>So the Present Value of the promise is $934.58 + $873.44 = $1808.02.  Ha</w:t>
      </w:r>
      <w:r>
        <w:t>v</w:t>
      </w:r>
      <w:r>
        <w:t xml:space="preserve">ing $1808.02 is equivalent to having $1000 next year and $1000 the year after, </w:t>
      </w:r>
      <w:r>
        <w:rPr>
          <w:i/>
          <w:iCs/>
        </w:rPr>
        <w:t>if</w:t>
      </w:r>
      <w:r>
        <w:t xml:space="preserve"> you have access to a gua</w:t>
      </w:r>
      <w:r>
        <w:t>r</w:t>
      </w:r>
      <w:r>
        <w:t>anteed 7% rate of return.  Exhibit 1 shows how this works in d</w:t>
      </w:r>
      <w:r>
        <w:t>e</w:t>
      </w:r>
      <w:r>
        <w:t>tail.</w:t>
      </w:r>
    </w:p>
    <w:p w14:paraId="233F46ED" w14:textId="77777777" w:rsidR="00377892" w:rsidRDefault="00377892">
      <w:r>
        <w:t xml:space="preserve">Generalizing what we just did, the present value of an amount of money </w:t>
      </w:r>
      <w:r>
        <w:rPr>
          <w:i/>
          <w:iCs/>
        </w:rPr>
        <w:t>X</w:t>
      </w:r>
      <w:r>
        <w:rPr>
          <w:i/>
          <w:iCs/>
          <w:vertAlign w:val="subscript"/>
        </w:rPr>
        <w:t>N</w:t>
      </w:r>
      <w:r>
        <w:t xml:space="preserve"> received N years from now, discounted at i</w:t>
      </w:r>
      <w:r>
        <w:t>n</w:t>
      </w:r>
      <w:r>
        <w:t xml:space="preserve">terest rate </w:t>
      </w:r>
      <w:r>
        <w:rPr>
          <w:i/>
          <w:iCs/>
        </w:rPr>
        <w:t>r</w:t>
      </w:r>
      <w:r>
        <w:t>, is</w:t>
      </w:r>
    </w:p>
    <w:p w14:paraId="4D90B563" w14:textId="77777777" w:rsidR="00377892" w:rsidRDefault="00377892">
      <w:pPr>
        <w:pStyle w:val="MTDisplayEquation"/>
        <w:pBdr>
          <w:top w:val="single" w:sz="4" w:space="1" w:color="auto"/>
          <w:left w:val="single" w:sz="4" w:space="4" w:color="auto"/>
          <w:bottom w:val="single" w:sz="4" w:space="1" w:color="auto"/>
          <w:right w:val="single" w:sz="4" w:space="4" w:color="auto"/>
        </w:pBdr>
      </w:pPr>
      <w:r>
        <w:tab/>
      </w:r>
      <w:r>
        <w:rPr>
          <w:position w:val="-34"/>
        </w:rPr>
        <w:object w:dxaOrig="1359" w:dyaOrig="780" w14:anchorId="06CC8AC7">
          <v:shape id="_x0000_i1027" type="#_x0000_t75" style="width:68.25pt;height:39pt" o:ole="">
            <v:imagedata r:id="rId17" o:title=""/>
          </v:shape>
          <o:OLEObject Type="Embed" ProgID="Equation.DSMT4" ShapeID="_x0000_i1027" DrawAspect="Content" ObjectID="_1837601734" r:id="rId18"/>
        </w:object>
      </w:r>
      <w:r>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490176"/>
      <w:r>
        <w:instrText>(</w:instrText>
      </w:r>
      <w:fldSimple w:instr=" SEQ MTEqn \c \* Arabic \* MERGEFORMAT ">
        <w:r w:rsidR="00990BFC">
          <w:rPr>
            <w:noProof/>
          </w:rPr>
          <w:instrText>1</w:instrText>
        </w:r>
      </w:fldSimple>
      <w:r>
        <w:instrText>)</w:instrText>
      </w:r>
      <w:bookmarkEnd w:id="0"/>
      <w:r>
        <w:fldChar w:fldCharType="end"/>
      </w:r>
    </w:p>
    <w:p w14:paraId="438B65CA" w14:textId="77777777" w:rsidR="00377892" w:rsidRDefault="00377892">
      <w:pPr>
        <w:ind w:firstLine="0"/>
      </w:pPr>
      <w:r>
        <w:t xml:space="preserve">This is the key formula used in discounting.  To discount several amounts of money, we just discount each one separately and sum the results.  In Joanne’s case, the application of </w:t>
      </w:r>
      <w:r>
        <w:fldChar w:fldCharType="begin"/>
      </w:r>
      <w:r>
        <w:instrText xml:space="preserve"> GOTOBUTTON ZEqnNum490176  \* MERGEFORMAT </w:instrText>
      </w:r>
      <w:fldSimple w:instr=" REF ZEqnNum490176 \! \* MERGEFORMAT ">
        <w:r w:rsidR="00990BFC">
          <w:instrText>(1)</w:instrText>
        </w:r>
      </w:fldSimple>
      <w:r>
        <w:fldChar w:fldCharType="end"/>
      </w:r>
      <w:r>
        <w:t xml:space="preserve"> to each of the two pa</w:t>
      </w:r>
      <w:r>
        <w:t>y</w:t>
      </w:r>
      <w:r>
        <w:t>ments gives</w:t>
      </w:r>
    </w:p>
    <w:p w14:paraId="55CCD385" w14:textId="77777777" w:rsidR="00377892" w:rsidRDefault="00377892">
      <w:pPr>
        <w:pStyle w:val="MTDisplayEquation"/>
        <w:ind w:firstLine="0"/>
        <w:jc w:val="center"/>
      </w:pPr>
      <w:r>
        <w:rPr>
          <w:position w:val="-30"/>
        </w:rPr>
        <w:object w:dxaOrig="2820" w:dyaOrig="660" w14:anchorId="6FF4A1E2">
          <v:shape id="_x0000_i1028" type="#_x0000_t75" style="width:141pt;height:33pt" o:ole="">
            <v:imagedata r:id="rId19" o:title=""/>
          </v:shape>
          <o:OLEObject Type="Embed" ProgID="Equation.DSMT4" ShapeID="_x0000_i1028" DrawAspect="Content" ObjectID="_1837601735" r:id="rId20"/>
        </w:object>
      </w:r>
      <w:r>
        <w:t>.</w:t>
      </w:r>
    </w:p>
    <w:p w14:paraId="2DDB66B1" w14:textId="77777777" w:rsidR="00377892" w:rsidRDefault="00377892">
      <w:pPr>
        <w:pStyle w:val="Heading4"/>
      </w:pPr>
      <w:r>
        <w:t>An Annuity</w:t>
      </w:r>
    </w:p>
    <w:p w14:paraId="54FF51D1" w14:textId="77777777" w:rsidR="00377892" w:rsidRDefault="00377892">
      <w:r>
        <w:t>Annuities are level payment streams extending over a period of time.  Suppose, for example, Joanne were to receive $1000 every year, “forever.” This is called an inf</w:t>
      </w:r>
      <w:r>
        <w:t>i</w:t>
      </w:r>
      <w:r>
        <w:t>nite annuity.  What is the PV of that?  (For the moment, ignore the fact that Joanne probably won’t live forever.)  Summing the infinite series isn’t hard . . . and the a</w:t>
      </w:r>
      <w:r>
        <w:t>n</w:t>
      </w:r>
      <w:r>
        <w:t>swer is</w:t>
      </w:r>
    </w:p>
    <w:p w14:paraId="61F29DA2" w14:textId="77777777" w:rsidR="00377892" w:rsidRDefault="00377892">
      <w:pPr>
        <w:jc w:val="center"/>
      </w:pPr>
      <w:r>
        <w:rPr>
          <w:position w:val="-22"/>
        </w:rPr>
        <w:object w:dxaOrig="2320" w:dyaOrig="580" w14:anchorId="16F35C65">
          <v:shape id="_x0000_i1029" type="#_x0000_t75" style="width:116.25pt;height:29.25pt" o:ole="">
            <v:imagedata r:id="rId21" o:title=""/>
          </v:shape>
          <o:OLEObject Type="Embed" ProgID="Equation.DSMT4" ShapeID="_x0000_i1029" DrawAspect="Content" ObjectID="_1837601736" r:id="rId22"/>
        </w:object>
      </w:r>
      <w:r>
        <w:t>.</w:t>
      </w:r>
    </w:p>
    <w:p w14:paraId="33964078" w14:textId="77777777" w:rsidR="00377892" w:rsidRDefault="00377892">
      <w:pPr>
        <w:ind w:firstLine="0"/>
      </w:pPr>
      <w:r>
        <w:t>The answer should be obvious in retr</w:t>
      </w:r>
      <w:r>
        <w:t>o</w:t>
      </w:r>
      <w:r>
        <w:t>spect.  The PV is the just exactly the amount of money needed so that 7% interest on it every year is $1000.  If Joanne had $14,285.71 invested at 7%, she would receive $1000 per year “forever.”  The formula genera</w:t>
      </w:r>
      <w:r>
        <w:t>l</w:t>
      </w:r>
      <w:r>
        <w:t>izes, of course, to any amount of money rather than just $1000.  What is the PV of $20 per year received fo</w:t>
      </w:r>
      <w:r>
        <w:t>r</w:t>
      </w:r>
      <w:r>
        <w:t>ever at a discount rate of 10%?  Easy, its 20/0.1 = $200.</w:t>
      </w:r>
    </w:p>
    <w:p w14:paraId="263415A9" w14:textId="77777777" w:rsidR="00377892" w:rsidRDefault="00377892">
      <w:r>
        <w:t>We ignored the fact that Joanne won’t live forever.  How bad was that assum</w:t>
      </w:r>
      <w:r>
        <w:t>p</w:t>
      </w:r>
      <w:r>
        <w:t>tion?  To get a handle on it, we turn to the formula for a finite annuity.  What is the pr</w:t>
      </w:r>
      <w:r>
        <w:t>e</w:t>
      </w:r>
      <w:r>
        <w:t>sent value of $X received each year, starting one year from now, over N years (N pa</w:t>
      </w:r>
      <w:r>
        <w:t>y</w:t>
      </w:r>
      <w:r>
        <w:t>ments)?  Skipping over how to work this out, the a</w:t>
      </w:r>
      <w:r>
        <w:t>n</w:t>
      </w:r>
      <w:r>
        <w:t>swer is</w:t>
      </w:r>
      <w:r>
        <w:rPr>
          <w:position w:val="-4"/>
        </w:rPr>
        <w:object w:dxaOrig="180" w:dyaOrig="260" w14:anchorId="112C3F2C">
          <v:shape id="_x0000_i1030" type="#_x0000_t75" style="width:9pt;height:12.75pt" o:ole="">
            <v:imagedata r:id="rId13" o:title=""/>
          </v:shape>
          <o:OLEObject Type="Embed" ProgID="Equation.DSMT4" ShapeID="_x0000_i1030" DrawAspect="Content" ObjectID="_1837601737" r:id="rId23"/>
        </w:object>
      </w:r>
    </w:p>
    <w:p w14:paraId="372FB49C" w14:textId="77777777" w:rsidR="00377892" w:rsidRDefault="00377892">
      <w:pPr>
        <w:pStyle w:val="MTDisplayEquation"/>
      </w:pPr>
      <w:r>
        <w:tab/>
      </w:r>
      <w:r>
        <w:rPr>
          <w:position w:val="-28"/>
        </w:rPr>
        <w:object w:dxaOrig="2020" w:dyaOrig="680" w14:anchorId="69804277">
          <v:shape id="_x0000_i1031" type="#_x0000_t75" style="width:101.25pt;height:33.75pt" o:ole="">
            <v:imagedata r:id="rId24" o:title=""/>
          </v:shape>
          <o:OLEObject Type="Embed" ProgID="Equation.DSMT4" ShapeID="_x0000_i1031" DrawAspect="Content" ObjectID="_1837601738" r:id="rId25"/>
        </w:object>
      </w:r>
      <w:r>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673465"/>
      <w:bookmarkStart w:id="2" w:name="ZEqnNum645681"/>
      <w:bookmarkStart w:id="3" w:name="ZEqnNum188986"/>
      <w:bookmarkStart w:id="4" w:name="ZEqnNum938812"/>
      <w:bookmarkStart w:id="5" w:name="ZEqnNum612654"/>
      <w:bookmarkStart w:id="6" w:name="ZEqnNum434983"/>
      <w:r>
        <w:instrText>(</w:instrText>
      </w:r>
      <w:fldSimple w:instr=" SEQ MTEqn \c \* Arabic \* MERGEFORMAT ">
        <w:r w:rsidR="00990BFC">
          <w:rPr>
            <w:noProof/>
          </w:rPr>
          <w:instrText>2</w:instrText>
        </w:r>
      </w:fldSimple>
      <w:r>
        <w:instrText>)</w:instrText>
      </w:r>
      <w:bookmarkEnd w:id="1"/>
      <w:bookmarkEnd w:id="2"/>
      <w:bookmarkEnd w:id="3"/>
      <w:bookmarkEnd w:id="4"/>
      <w:bookmarkEnd w:id="5"/>
      <w:bookmarkEnd w:id="6"/>
      <w:r>
        <w:fldChar w:fldCharType="end"/>
      </w:r>
    </w:p>
    <w:p w14:paraId="3C3091B3" w14:textId="77777777" w:rsidR="00377892" w:rsidRDefault="00377892">
      <w:pPr>
        <w:pStyle w:val="MTDisplayEquation"/>
        <w:ind w:firstLine="0"/>
      </w:pPr>
      <w:r>
        <w:lastRenderedPageBreak/>
        <w:t>Looking at the formula, notice that the term outside the brackets is the value of the inf</w:t>
      </w:r>
      <w:r>
        <w:t>i</w:t>
      </w:r>
      <w:r>
        <w:t>nite ann</w:t>
      </w:r>
      <w:r>
        <w:t>u</w:t>
      </w:r>
      <w:r>
        <w:t xml:space="preserve">ity.  Inside the brackets is an adjustment for the fact that the annuity stops in N years.  Usually we don’t have to use </w:t>
      </w:r>
      <w:r>
        <w:fldChar w:fldCharType="begin"/>
      </w:r>
      <w:r>
        <w:instrText xml:space="preserve"> GOTOBUTTON ZEqnNum673465  \* MERGEFORMAT </w:instrText>
      </w:r>
      <w:fldSimple w:instr=" REF ZEqnNum673465 \! \* MERGEFORMAT ">
        <w:r w:rsidR="00990BFC">
          <w:instrText>(2)</w:instrText>
        </w:r>
      </w:fldSimple>
      <w:r>
        <w:fldChar w:fldCharType="end"/>
      </w:r>
      <w:r>
        <w:t xml:space="preserve"> because there is a simple Excel worksheet fun</w:t>
      </w:r>
      <w:r>
        <w:t>c</w:t>
      </w:r>
      <w:r>
        <w:t xml:space="preserve">tion that does this.  Use Excel function </w:t>
      </w:r>
      <w:r>
        <w:rPr>
          <w:rFonts w:ascii="Arial" w:hAnsi="Arial" w:cs="Arial"/>
          <w:b/>
          <w:bCs/>
        </w:rPr>
        <w:t>PV</w:t>
      </w:r>
      <w:r>
        <w:t xml:space="preserve">(r, N, X) to </w:t>
      </w:r>
      <w:r w:rsidR="0059543B">
        <w:t>i</w:t>
      </w:r>
      <w:r w:rsidR="0059543B">
        <w:t>m</w:t>
      </w:r>
      <w:r w:rsidR="0059543B">
        <w:t>plement</w:t>
      </w:r>
      <w:r>
        <w:fldChar w:fldCharType="begin"/>
      </w:r>
      <w:r>
        <w:instrText xml:space="preserve"> GOTOBUTTON ZEqnNum645681  \* MERGEFORMAT </w:instrText>
      </w:r>
      <w:fldSimple w:instr=" REF ZEqnNum645681 \! \* MERGEFORMAT ">
        <w:r w:rsidR="00990BFC">
          <w:instrText>(2)</w:instrText>
        </w:r>
      </w:fldSimple>
      <w:r>
        <w:fldChar w:fldCharType="end"/>
      </w:r>
      <w:r>
        <w:t xml:space="preserve">.  </w:t>
      </w:r>
    </w:p>
    <w:p w14:paraId="2E524F61" w14:textId="77777777" w:rsidR="00377892" w:rsidRDefault="00377892">
      <w:pPr>
        <w:pStyle w:val="MTDisplayEquation"/>
        <w:tabs>
          <w:tab w:val="clear" w:pos="4320"/>
          <w:tab w:val="clear" w:pos="8640"/>
        </w:tabs>
      </w:pPr>
      <w:r>
        <w:t xml:space="preserve">If Joanne is 25 years old and expects to live to be 80, her $1000 per year annuity will last for 55 years.  The present value of $1000 received each year for 55 yeas at 7% is given by Excel as </w:t>
      </w:r>
      <w:r>
        <w:rPr>
          <w:rFonts w:ascii="Arial" w:hAnsi="Arial"/>
          <w:b/>
        </w:rPr>
        <w:t>PV</w:t>
      </w:r>
      <w:r>
        <w:t>(0.07, 55, -1000) = $13,939.94.  So the difference between the value of the 55 year annuity and the infinite annuity is $345.78, about 2.5%.  Why is the difference so small?  After all, forever is a lot longer than 55 years!  Because of discoun</w:t>
      </w:r>
      <w:r>
        <w:t>t</w:t>
      </w:r>
      <w:r>
        <w:t>ing.  The difference between the finite annuity and the infinite annuity is a delayed inf</w:t>
      </w:r>
      <w:r>
        <w:t>i</w:t>
      </w:r>
      <w:r>
        <w:t>nite annuity</w:t>
      </w:r>
      <w:r>
        <w:sym w:font="Symbol" w:char="F0BE"/>
      </w:r>
      <w:r>
        <w:t>if Joanne were to receive the 55 year annuity and then r</w:t>
      </w:r>
      <w:r>
        <w:t>e</w:t>
      </w:r>
      <w:r>
        <w:t>ceive an infinite annuity, it would be the same as an infinite annuity starting now.  So the value of an inf</w:t>
      </w:r>
      <w:r>
        <w:t>i</w:t>
      </w:r>
      <w:r>
        <w:t>nite annuity starting 55 years from now is only $345.78.  Check it out:</w:t>
      </w:r>
    </w:p>
    <w:p w14:paraId="26BBFD6E" w14:textId="77777777" w:rsidR="00377892" w:rsidRDefault="00377892">
      <w:pPr>
        <w:pStyle w:val="MTDisplayEquation"/>
      </w:pPr>
      <w:r>
        <w:tab/>
      </w:r>
      <w:r>
        <w:rPr>
          <w:position w:val="-32"/>
        </w:rPr>
        <w:object w:dxaOrig="2840" w:dyaOrig="639" w14:anchorId="51759F73">
          <v:shape id="_x0000_i1032" type="#_x0000_t75" style="width:141.75pt;height:32.25pt" o:ole="">
            <v:imagedata r:id="rId26" o:title=""/>
          </v:shape>
          <o:OLEObject Type="Embed" ProgID="Equation.DSMT4" ShapeID="_x0000_i1032" DrawAspect="Content" ObjectID="_1837601739" r:id="rId27"/>
        </w:object>
      </w:r>
      <w:r>
        <w:t>.</w:t>
      </w:r>
    </w:p>
    <w:p w14:paraId="14F6197D" w14:textId="77777777" w:rsidR="00377892" w:rsidRDefault="00377892">
      <w:pPr>
        <w:pStyle w:val="MTDisplayEquation"/>
        <w:ind w:firstLine="0"/>
      </w:pPr>
      <w:r>
        <w:t>That’s the power of discounting.  $1000 forever has a present value of only $14,286.  And that money received 55 years from now has only a value of $346.  It seems amazing to most people, but the power of compound interest is all that is at work here.  Of course the converse is also true and continues to amaze people.  Retirement planning is esse</w:t>
      </w:r>
      <w:r>
        <w:t>n</w:t>
      </w:r>
      <w:r>
        <w:t>tially the insight that if you start early it isn’t that hard.</w:t>
      </w:r>
    </w:p>
    <w:p w14:paraId="403C908D" w14:textId="77777777" w:rsidR="00377892" w:rsidRDefault="00377892"/>
    <w:p w14:paraId="6E823747" w14:textId="77777777" w:rsidR="00377892" w:rsidRDefault="00377892">
      <w:pPr>
        <w:pStyle w:val="Heading4"/>
      </w:pPr>
      <w:r>
        <w:t>Mortgages and Loans</w:t>
      </w:r>
    </w:p>
    <w:p w14:paraId="148F98A1" w14:textId="77777777" w:rsidR="00377892" w:rsidRDefault="00377892">
      <w:r>
        <w:t xml:space="preserve">The finite annuity formula governs mortgages and loans.  Given any three of the four variables in </w:t>
      </w:r>
      <w:r>
        <w:fldChar w:fldCharType="begin"/>
      </w:r>
      <w:r>
        <w:instrText xml:space="preserve"> GOTOBUTTON ZEqnNum434983  \* MERGEFORMAT </w:instrText>
      </w:r>
      <w:fldSimple w:instr=" REF ZEqnNum434983 \! \* MERGEFORMAT ">
        <w:r w:rsidR="00990BFC">
          <w:instrText>(2)</w:instrText>
        </w:r>
      </w:fldSimple>
      <w:r>
        <w:fldChar w:fldCharType="end"/>
      </w:r>
      <w:r>
        <w:t>, the fourth can be calculated.  Excel has a whole set of wor</w:t>
      </w:r>
      <w:r>
        <w:t>k</w:t>
      </w:r>
      <w:r>
        <w:t>sheet functions to do just that:</w:t>
      </w:r>
    </w:p>
    <w:p w14:paraId="63DF1973" w14:textId="77777777" w:rsidR="00377892" w:rsidRDefault="00377892">
      <w:pPr>
        <w:tabs>
          <w:tab w:val="left" w:pos="2880"/>
        </w:tabs>
        <w:ind w:left="2880" w:hanging="2160"/>
      </w:pPr>
      <w:r>
        <w:rPr>
          <w:rFonts w:ascii="Arial" w:hAnsi="Arial"/>
          <w:b/>
        </w:rPr>
        <w:t>RATE</w:t>
      </w:r>
      <w:r>
        <w:t>(N,X,PV)</w:t>
      </w:r>
      <w:r>
        <w:rPr>
          <w:rStyle w:val="FootnoteReference"/>
        </w:rPr>
        <w:footnoteReference w:id="1"/>
      </w:r>
      <w:r>
        <w:tab/>
        <w:t>Tells the rate if you know the other variables. Solved by iter</w:t>
      </w:r>
      <w:r>
        <w:t>a</w:t>
      </w:r>
      <w:r>
        <w:t>tion: There is no simple formula.</w:t>
      </w:r>
    </w:p>
    <w:p w14:paraId="00E03D21" w14:textId="77777777" w:rsidR="00377892" w:rsidRDefault="00377892">
      <w:pPr>
        <w:tabs>
          <w:tab w:val="left" w:pos="2880"/>
        </w:tabs>
        <w:ind w:left="2880" w:hanging="2160"/>
      </w:pPr>
      <w:r>
        <w:rPr>
          <w:rFonts w:ascii="Arial" w:hAnsi="Arial"/>
          <w:b/>
        </w:rPr>
        <w:t>PV</w:t>
      </w:r>
      <w:r>
        <w:t>(r,N,X)</w:t>
      </w:r>
      <w:r>
        <w:tab/>
        <w:t xml:space="preserve">Gives the mortgage or loan amount from </w:t>
      </w:r>
      <w:r>
        <w:fldChar w:fldCharType="begin"/>
      </w:r>
      <w:r>
        <w:instrText xml:space="preserve"> GOTOBUTTON ZEqnNum188986  \* MERGEFORMAT </w:instrText>
      </w:r>
      <w:fldSimple w:instr=" REF ZEqnNum188986 \! \* MERGEFORMAT ">
        <w:r w:rsidR="00990BFC">
          <w:instrText>(2)</w:instrText>
        </w:r>
      </w:fldSimple>
      <w:r>
        <w:fldChar w:fldCharType="end"/>
      </w:r>
      <w:r>
        <w:t>. Reverses the sign of PV relative to X.</w:t>
      </w:r>
    </w:p>
    <w:p w14:paraId="3595C121" w14:textId="77777777" w:rsidR="00377892" w:rsidRDefault="00377892">
      <w:pPr>
        <w:tabs>
          <w:tab w:val="left" w:pos="2880"/>
        </w:tabs>
        <w:ind w:left="2880" w:hanging="2160"/>
      </w:pPr>
      <w:r>
        <w:rPr>
          <w:rFonts w:ascii="Arial" w:hAnsi="Arial"/>
          <w:b/>
        </w:rPr>
        <w:t>PMT</w:t>
      </w:r>
      <w:r>
        <w:t>(r,N,PV)</w:t>
      </w:r>
      <w:r>
        <w:tab/>
        <w:t>Is the formula for the periodic payment given the rate, duration, and mortgage amount. R</w:t>
      </w:r>
      <w:r>
        <w:t>e</w:t>
      </w:r>
      <w:r>
        <w:t>verses the sign of X relative to PV.</w:t>
      </w:r>
    </w:p>
    <w:p w14:paraId="4D1ED3EC" w14:textId="77777777" w:rsidR="00377892" w:rsidRDefault="00377892">
      <w:pPr>
        <w:tabs>
          <w:tab w:val="left" w:pos="2880"/>
        </w:tabs>
        <w:ind w:left="2880" w:hanging="2160"/>
      </w:pPr>
      <w:r>
        <w:rPr>
          <w:rFonts w:ascii="Arial" w:hAnsi="Arial"/>
          <w:b/>
        </w:rPr>
        <w:t>NPER</w:t>
      </w:r>
      <w:r>
        <w:t>(r,X,PV)</w:t>
      </w:r>
      <w:r>
        <w:tab/>
        <w:t>Tells the duration if you know the rate, payment, and amount.</w:t>
      </w:r>
    </w:p>
    <w:p w14:paraId="32B4EE3C" w14:textId="77777777" w:rsidR="00377892" w:rsidRDefault="00377892">
      <w:r>
        <w:t>One trick to using these functions is that loans and mortgages are usually di</w:t>
      </w:r>
      <w:r>
        <w:t>s</w:t>
      </w:r>
      <w:r>
        <w:t xml:space="preserve">counted monthly.  So you have to be careful to make N the number of months and to make </w:t>
      </w:r>
      <w:r>
        <w:rPr>
          <w:i/>
          <w:iCs/>
        </w:rPr>
        <w:t>r</w:t>
      </w:r>
      <w:r>
        <w:t xml:space="preserve"> the monthly interest rate.  Because annual rates are almost always nominal, the stated annual rate is just 12 times the real monthly rate.  So an 8% mor</w:t>
      </w:r>
      <w:r>
        <w:t>t</w:t>
      </w:r>
      <w:r>
        <w:t>gage has an 8/12 = 0.667% monthly rate.</w:t>
      </w:r>
    </w:p>
    <w:p w14:paraId="6224440B" w14:textId="77777777" w:rsidR="00377892" w:rsidRDefault="00377892">
      <w:r>
        <w:lastRenderedPageBreak/>
        <w:t>How much will you pay for a $750,000 30-year mortgage at 7.5%?  Use Excel to show that =PMT(0.075/12, 30*12, 750,000) = -$5,244.11 (the negative is supposed to show that it is a payment whereas PV is a withdrawal.).  That’s the monthly payment.  Another way of saying this is “At a di</w:t>
      </w:r>
      <w:r>
        <w:t>s</w:t>
      </w:r>
      <w:r>
        <w:t>count rate of 0.667% per month, the present value of $5244.11 received each month for 30 years is $750,000.”</w:t>
      </w:r>
    </w:p>
    <w:p w14:paraId="24534871" w14:textId="77777777" w:rsidR="00377892" w:rsidRDefault="00377892">
      <w:pPr>
        <w:pStyle w:val="Heading3"/>
      </w:pPr>
      <w:r>
        <w:t>Present Value as a Criterion of Choice</w:t>
      </w:r>
    </w:p>
    <w:p w14:paraId="2A0EE6DA" w14:textId="77777777" w:rsidR="00377892" w:rsidRDefault="00377892">
      <w:r>
        <w:t>The standard professional approach to comparing (valuing) streams of money is to compare the present values of the streams.  In the previous section we looked at co</w:t>
      </w:r>
      <w:r>
        <w:t>n</w:t>
      </w:r>
      <w:r>
        <w:t>stant streams</w:t>
      </w:r>
      <w:r>
        <w:sym w:font="Symbol" w:char="F0BE"/>
      </w:r>
      <w:r>
        <w:t>annuities.  But, in general, money streams are not necessarily constant.  Ho</w:t>
      </w:r>
      <w:r>
        <w:t>w</w:t>
      </w:r>
      <w:r w:rsidR="0059543B">
        <w:t>ever, t</w:t>
      </w:r>
      <w:r>
        <w:t>hat poses no difficulty.  The present value of a stream of payments is just the sum of the present values of each payment.  That is, if the pa</w:t>
      </w:r>
      <w:r>
        <w:t>y</w:t>
      </w:r>
      <w:r>
        <w:t xml:space="preserve">ment received in year </w:t>
      </w:r>
      <w:r>
        <w:rPr>
          <w:i/>
          <w:iCs/>
        </w:rPr>
        <w:t>K</w:t>
      </w:r>
      <w:r>
        <w:t xml:space="preserve"> is </w:t>
      </w:r>
      <w:r>
        <w:rPr>
          <w:i/>
          <w:iCs/>
        </w:rPr>
        <w:t>X</w:t>
      </w:r>
      <w:r>
        <w:rPr>
          <w:i/>
          <w:iCs/>
          <w:vertAlign w:val="subscript"/>
        </w:rPr>
        <w:t>K</w:t>
      </w:r>
      <w:r>
        <w:t xml:space="preserve">, then that one payment’s present value is </w:t>
      </w:r>
      <w:r>
        <w:rPr>
          <w:position w:val="-10"/>
        </w:rPr>
        <w:object w:dxaOrig="1120" w:dyaOrig="340" w14:anchorId="67B3D71A">
          <v:shape id="_x0000_i1033" type="#_x0000_t75" style="width:56.25pt;height:17.25pt" o:ole="">
            <v:imagedata r:id="rId28" o:title=""/>
          </v:shape>
          <o:OLEObject Type="Embed" ProgID="Equation.DSMT4" ShapeID="_x0000_i1033" DrawAspect="Content" ObjectID="_1837601740" r:id="rId29"/>
        </w:object>
      </w:r>
      <w:r>
        <w:t>.  The pr</w:t>
      </w:r>
      <w:r>
        <w:t>e</w:t>
      </w:r>
      <w:r>
        <w:t xml:space="preserve">sent value of the whole stream, </w:t>
      </w:r>
      <w:r>
        <w:rPr>
          <w:i/>
          <w:iCs/>
        </w:rPr>
        <w:t>K</w:t>
      </w:r>
      <w:r>
        <w:t xml:space="preserve"> = 1, 2 … </w:t>
      </w:r>
      <w:r>
        <w:rPr>
          <w:i/>
          <w:iCs/>
        </w:rPr>
        <w:t>N</w:t>
      </w:r>
      <w:r>
        <w:t xml:space="preserve"> is given by</w:t>
      </w:r>
    </w:p>
    <w:p w14:paraId="18BAFDD5" w14:textId="77777777" w:rsidR="00377892" w:rsidRDefault="00377892">
      <w:pPr>
        <w:pStyle w:val="MTDisplayEquation"/>
      </w:pPr>
      <w:r>
        <w:tab/>
      </w:r>
      <w:r>
        <w:rPr>
          <w:position w:val="-28"/>
        </w:rPr>
        <w:object w:dxaOrig="1560" w:dyaOrig="639" w14:anchorId="47668252">
          <v:shape id="_x0000_i1034" type="#_x0000_t75" style="width:78pt;height:32.25pt" o:ole="">
            <v:imagedata r:id="rId30" o:title=""/>
          </v:shape>
          <o:OLEObject Type="Embed" ProgID="Equation.DSMT4" ShapeID="_x0000_i1034" DrawAspect="Content" ObjectID="_1837601741"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90BFC">
          <w:rPr>
            <w:noProof/>
          </w:rPr>
          <w:instrText>3</w:instrText>
        </w:r>
      </w:fldSimple>
      <w:r>
        <w:instrText>)</w:instrText>
      </w:r>
      <w:r>
        <w:fldChar w:fldCharType="end"/>
      </w:r>
    </w:p>
    <w:p w14:paraId="58A8968A" w14:textId="77777777" w:rsidR="00377892" w:rsidRDefault="00377892">
      <w:pPr>
        <w:pStyle w:val="MTDisplayEquation"/>
        <w:tabs>
          <w:tab w:val="clear" w:pos="4320"/>
          <w:tab w:val="clear" w:pos="8640"/>
        </w:tabs>
      </w:pPr>
      <w:r>
        <w:t>In Excel, the NPV function takes care of this calcul</w:t>
      </w:r>
      <w:r>
        <w:t>a</w:t>
      </w:r>
      <w:r>
        <w:t>tion.  The specification =</w:t>
      </w:r>
      <w:r>
        <w:rPr>
          <w:rFonts w:ascii="Arial" w:hAnsi="Arial"/>
          <w:b/>
        </w:rPr>
        <w:t>NPV</w:t>
      </w:r>
      <w:r>
        <w:t>(0.1,C1:C10) computes the present value of the cash flows co</w:t>
      </w:r>
      <w:r>
        <w:t>n</w:t>
      </w:r>
      <w:r>
        <w:t>tained in cells C1 through C10, using a 10% discount rate.</w:t>
      </w:r>
      <w:r>
        <w:rPr>
          <w:rStyle w:val="FootnoteReference"/>
        </w:rPr>
        <w:footnoteReference w:id="2"/>
      </w:r>
      <w:r>
        <w:t xml:space="preserve">  </w:t>
      </w:r>
    </w:p>
    <w:p w14:paraId="56A414E2" w14:textId="77777777" w:rsidR="00377892" w:rsidRDefault="00377892">
      <w:pPr>
        <w:pStyle w:val="MTDisplayEquation"/>
        <w:tabs>
          <w:tab w:val="clear" w:pos="4320"/>
          <w:tab w:val="clear" w:pos="8640"/>
        </w:tabs>
      </w:pPr>
      <w:r>
        <w:t>As an example of using present values to make a d</w:t>
      </w:r>
      <w:r>
        <w:t>e</w:t>
      </w:r>
      <w:r>
        <w:t>cision, consider a duplicating machine having an expected useful life of five years.  The manufacturer offers a maint</w:t>
      </w:r>
      <w:r>
        <w:t>e</w:t>
      </w:r>
      <w:r>
        <w:t>nance contract costing $375 per year.  The buyer estimates that his own maint</w:t>
      </w:r>
      <w:r>
        <w:t>e</w:t>
      </w:r>
      <w:r>
        <w:t>nance people could handle almost all maintenance problems, but that his exper</w:t>
      </w:r>
      <w:r>
        <w:t>i</w:t>
      </w:r>
      <w:r>
        <w:t>ence is that the costs would rise each year.  Based on experience, he est</w:t>
      </w:r>
      <w:r>
        <w:t>i</w:t>
      </w:r>
      <w:r>
        <w:t>mates his maintenance costs as rising linearly from $200 in the first year to $600 in the fifth (and last) year of ow</w:t>
      </w:r>
      <w:r>
        <w:t>n</w:t>
      </w:r>
      <w:r>
        <w:t>ership.  Should he take the contract or engage in self-maintenance?  Exhibit 2 shows the two streams of e</w:t>
      </w:r>
      <w:r>
        <w:t>x</w:t>
      </w:r>
      <w:r>
        <w:t>pense.</w:t>
      </w:r>
    </w:p>
    <w:tbl>
      <w:tblPr>
        <w:tblpPr w:leftFromText="288" w:rightFromText="288" w:topFromText="144" w:bottomFromText="144" w:vertAnchor="page" w:horzAnchor="margin" w:tblpY="6305"/>
        <w:tblOverlap w:val="never"/>
        <w:tblW w:w="2183"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0" w:type="dxa"/>
          <w:right w:w="0" w:type="dxa"/>
        </w:tblCellMar>
        <w:tblLook w:val="00AB" w:firstRow="1" w:lastRow="0" w:firstColumn="1" w:lastColumn="0" w:noHBand="0" w:noVBand="0"/>
      </w:tblPr>
      <w:tblGrid>
        <w:gridCol w:w="653"/>
        <w:gridCol w:w="810"/>
        <w:gridCol w:w="720"/>
      </w:tblGrid>
      <w:tr w:rsidR="00377892" w14:paraId="7F89629E" w14:textId="77777777">
        <w:trPr>
          <w:cantSplit/>
          <w:trHeight w:val="255"/>
        </w:trPr>
        <w:tc>
          <w:tcPr>
            <w:tcW w:w="2183" w:type="dxa"/>
            <w:gridSpan w:val="3"/>
            <w:noWrap/>
            <w:tcMar>
              <w:top w:w="13" w:type="dxa"/>
              <w:left w:w="13" w:type="dxa"/>
              <w:bottom w:w="0" w:type="dxa"/>
              <w:right w:w="13" w:type="dxa"/>
            </w:tcMar>
            <w:vAlign w:val="bottom"/>
          </w:tcPr>
          <w:p w14:paraId="6FC1F964" w14:textId="77777777" w:rsidR="00377892" w:rsidRDefault="00377892">
            <w:pPr>
              <w:pStyle w:val="TableInTitle"/>
            </w:pPr>
            <w:r>
              <w:t>Exhibit 2</w:t>
            </w:r>
            <w:r>
              <w:br/>
              <w:t xml:space="preserve">Maintenance </w:t>
            </w:r>
            <w:r>
              <w:br/>
              <w:t>E</w:t>
            </w:r>
            <w:r>
              <w:t>x</w:t>
            </w:r>
            <w:r>
              <w:t>penses</w:t>
            </w:r>
          </w:p>
        </w:tc>
      </w:tr>
      <w:tr w:rsidR="00377892" w14:paraId="0876B631" w14:textId="77777777">
        <w:trPr>
          <w:cantSplit/>
          <w:trHeight w:val="422"/>
        </w:trPr>
        <w:tc>
          <w:tcPr>
            <w:tcW w:w="653" w:type="dxa"/>
            <w:tcBorders>
              <w:bottom w:val="single" w:sz="6" w:space="0" w:color="000000"/>
            </w:tcBorders>
            <w:noWrap/>
            <w:tcMar>
              <w:top w:w="13" w:type="dxa"/>
              <w:left w:w="13" w:type="dxa"/>
              <w:bottom w:w="0" w:type="dxa"/>
              <w:right w:w="13" w:type="dxa"/>
            </w:tcMar>
            <w:vAlign w:val="bottom"/>
          </w:tcPr>
          <w:p w14:paraId="549939D0" w14:textId="77777777" w:rsidR="00377892" w:rsidRDefault="00377892">
            <w:pPr>
              <w:pStyle w:val="Tabletext"/>
              <w:ind w:left="0" w:right="113"/>
              <w:jc w:val="right"/>
            </w:pPr>
            <w:r>
              <w:t>Year</w:t>
            </w:r>
          </w:p>
        </w:tc>
        <w:tc>
          <w:tcPr>
            <w:tcW w:w="810" w:type="dxa"/>
            <w:tcBorders>
              <w:bottom w:val="single" w:sz="6" w:space="0" w:color="000000"/>
            </w:tcBorders>
            <w:noWrap/>
            <w:tcMar>
              <w:top w:w="13" w:type="dxa"/>
              <w:left w:w="13" w:type="dxa"/>
              <w:bottom w:w="0" w:type="dxa"/>
              <w:right w:w="13" w:type="dxa"/>
            </w:tcMar>
            <w:vAlign w:val="bottom"/>
          </w:tcPr>
          <w:p w14:paraId="154BC87E" w14:textId="77777777" w:rsidR="00377892" w:rsidRDefault="00377892">
            <w:pPr>
              <w:pStyle w:val="Tabletext"/>
              <w:ind w:left="0" w:right="113"/>
              <w:jc w:val="right"/>
            </w:pPr>
            <w:r>
              <w:t>No-Co</w:t>
            </w:r>
            <w:r>
              <w:t>n</w:t>
            </w:r>
            <w:r>
              <w:t>tract</w:t>
            </w:r>
          </w:p>
        </w:tc>
        <w:tc>
          <w:tcPr>
            <w:tcW w:w="720" w:type="dxa"/>
            <w:tcBorders>
              <w:bottom w:val="single" w:sz="6" w:space="0" w:color="000000"/>
            </w:tcBorders>
            <w:noWrap/>
            <w:tcMar>
              <w:top w:w="13" w:type="dxa"/>
              <w:left w:w="13" w:type="dxa"/>
              <w:bottom w:w="0" w:type="dxa"/>
              <w:right w:w="13" w:type="dxa"/>
            </w:tcMar>
            <w:vAlign w:val="bottom"/>
          </w:tcPr>
          <w:p w14:paraId="17573AC8" w14:textId="77777777" w:rsidR="00377892" w:rsidRDefault="00377892">
            <w:pPr>
              <w:pStyle w:val="Tabletext"/>
              <w:ind w:left="0" w:right="113"/>
              <w:jc w:val="right"/>
            </w:pPr>
            <w:r>
              <w:t>Co</w:t>
            </w:r>
            <w:r>
              <w:t>n</w:t>
            </w:r>
            <w:r>
              <w:t>tract</w:t>
            </w:r>
          </w:p>
        </w:tc>
      </w:tr>
      <w:tr w:rsidR="00377892" w14:paraId="166C0959" w14:textId="77777777">
        <w:trPr>
          <w:cantSplit/>
          <w:trHeight w:val="255"/>
        </w:trPr>
        <w:tc>
          <w:tcPr>
            <w:tcW w:w="653" w:type="dxa"/>
            <w:tcBorders>
              <w:top w:val="single" w:sz="6" w:space="0" w:color="000000"/>
              <w:bottom w:val="nil"/>
            </w:tcBorders>
            <w:noWrap/>
            <w:tcMar>
              <w:top w:w="13" w:type="dxa"/>
              <w:left w:w="13" w:type="dxa"/>
              <w:bottom w:w="0" w:type="dxa"/>
              <w:right w:w="13" w:type="dxa"/>
            </w:tcMar>
            <w:vAlign w:val="bottom"/>
          </w:tcPr>
          <w:p w14:paraId="4D383DBB" w14:textId="77777777" w:rsidR="00377892" w:rsidRDefault="00377892">
            <w:pPr>
              <w:pStyle w:val="Tabletext"/>
              <w:ind w:left="0" w:right="113"/>
              <w:jc w:val="right"/>
            </w:pPr>
            <w:r>
              <w:t>1</w:t>
            </w:r>
          </w:p>
        </w:tc>
        <w:tc>
          <w:tcPr>
            <w:tcW w:w="810" w:type="dxa"/>
            <w:tcBorders>
              <w:top w:val="single" w:sz="6" w:space="0" w:color="000000"/>
              <w:bottom w:val="nil"/>
            </w:tcBorders>
            <w:noWrap/>
            <w:tcMar>
              <w:top w:w="13" w:type="dxa"/>
              <w:left w:w="13" w:type="dxa"/>
              <w:bottom w:w="0" w:type="dxa"/>
              <w:right w:w="13" w:type="dxa"/>
            </w:tcMar>
            <w:vAlign w:val="bottom"/>
          </w:tcPr>
          <w:p w14:paraId="01A5172A" w14:textId="77777777" w:rsidR="00377892" w:rsidRDefault="00377892">
            <w:pPr>
              <w:pStyle w:val="Tabletext"/>
              <w:ind w:left="0" w:right="113"/>
              <w:jc w:val="right"/>
            </w:pPr>
            <w:r>
              <w:t>200</w:t>
            </w:r>
          </w:p>
        </w:tc>
        <w:tc>
          <w:tcPr>
            <w:tcW w:w="720" w:type="dxa"/>
            <w:tcBorders>
              <w:top w:val="single" w:sz="6" w:space="0" w:color="000000"/>
              <w:bottom w:val="nil"/>
            </w:tcBorders>
            <w:noWrap/>
            <w:tcMar>
              <w:top w:w="13" w:type="dxa"/>
              <w:left w:w="13" w:type="dxa"/>
              <w:bottom w:w="0" w:type="dxa"/>
              <w:right w:w="13" w:type="dxa"/>
            </w:tcMar>
            <w:vAlign w:val="bottom"/>
          </w:tcPr>
          <w:p w14:paraId="35764CC6" w14:textId="77777777" w:rsidR="00377892" w:rsidRDefault="00377892">
            <w:pPr>
              <w:pStyle w:val="Tabletext"/>
              <w:ind w:left="0" w:right="113"/>
              <w:jc w:val="right"/>
            </w:pPr>
            <w:r>
              <w:t>375</w:t>
            </w:r>
          </w:p>
        </w:tc>
      </w:tr>
      <w:tr w:rsidR="00377892" w14:paraId="0B1BD044" w14:textId="77777777">
        <w:trPr>
          <w:cantSplit/>
          <w:trHeight w:val="255"/>
        </w:trPr>
        <w:tc>
          <w:tcPr>
            <w:tcW w:w="653" w:type="dxa"/>
            <w:tcBorders>
              <w:top w:val="nil"/>
              <w:bottom w:val="nil"/>
            </w:tcBorders>
            <w:noWrap/>
            <w:tcMar>
              <w:top w:w="13" w:type="dxa"/>
              <w:left w:w="13" w:type="dxa"/>
              <w:bottom w:w="0" w:type="dxa"/>
              <w:right w:w="13" w:type="dxa"/>
            </w:tcMar>
            <w:vAlign w:val="bottom"/>
          </w:tcPr>
          <w:p w14:paraId="49AF49DD" w14:textId="77777777" w:rsidR="00377892" w:rsidRDefault="00377892">
            <w:pPr>
              <w:pStyle w:val="Tabletext"/>
              <w:ind w:left="0" w:right="113"/>
              <w:jc w:val="right"/>
            </w:pPr>
            <w:r>
              <w:t>2</w:t>
            </w:r>
          </w:p>
        </w:tc>
        <w:tc>
          <w:tcPr>
            <w:tcW w:w="810" w:type="dxa"/>
            <w:tcBorders>
              <w:top w:val="nil"/>
              <w:bottom w:val="nil"/>
            </w:tcBorders>
            <w:noWrap/>
            <w:tcMar>
              <w:top w:w="13" w:type="dxa"/>
              <w:left w:w="13" w:type="dxa"/>
              <w:bottom w:w="0" w:type="dxa"/>
              <w:right w:w="13" w:type="dxa"/>
            </w:tcMar>
            <w:vAlign w:val="bottom"/>
          </w:tcPr>
          <w:p w14:paraId="64B17568" w14:textId="77777777" w:rsidR="00377892" w:rsidRDefault="00377892">
            <w:pPr>
              <w:pStyle w:val="Tabletext"/>
              <w:ind w:left="0" w:right="113"/>
              <w:jc w:val="right"/>
            </w:pPr>
            <w:r>
              <w:t>300</w:t>
            </w:r>
          </w:p>
        </w:tc>
        <w:tc>
          <w:tcPr>
            <w:tcW w:w="720" w:type="dxa"/>
            <w:tcBorders>
              <w:top w:val="nil"/>
              <w:bottom w:val="nil"/>
            </w:tcBorders>
            <w:noWrap/>
            <w:tcMar>
              <w:top w:w="13" w:type="dxa"/>
              <w:left w:w="13" w:type="dxa"/>
              <w:bottom w:w="0" w:type="dxa"/>
              <w:right w:w="13" w:type="dxa"/>
            </w:tcMar>
            <w:vAlign w:val="bottom"/>
          </w:tcPr>
          <w:p w14:paraId="06F1F39F" w14:textId="77777777" w:rsidR="00377892" w:rsidRDefault="00377892">
            <w:pPr>
              <w:pStyle w:val="Tabletext"/>
              <w:ind w:left="0" w:right="113"/>
              <w:jc w:val="right"/>
            </w:pPr>
            <w:r>
              <w:t>375</w:t>
            </w:r>
          </w:p>
        </w:tc>
      </w:tr>
      <w:tr w:rsidR="00377892" w14:paraId="3318F076" w14:textId="77777777">
        <w:trPr>
          <w:cantSplit/>
          <w:trHeight w:val="255"/>
        </w:trPr>
        <w:tc>
          <w:tcPr>
            <w:tcW w:w="653" w:type="dxa"/>
            <w:tcBorders>
              <w:top w:val="nil"/>
              <w:bottom w:val="nil"/>
            </w:tcBorders>
            <w:noWrap/>
            <w:tcMar>
              <w:top w:w="13" w:type="dxa"/>
              <w:left w:w="13" w:type="dxa"/>
              <w:bottom w:w="0" w:type="dxa"/>
              <w:right w:w="13" w:type="dxa"/>
            </w:tcMar>
            <w:vAlign w:val="bottom"/>
          </w:tcPr>
          <w:p w14:paraId="45116857" w14:textId="77777777" w:rsidR="00377892" w:rsidRDefault="00377892">
            <w:pPr>
              <w:pStyle w:val="Tabletext"/>
              <w:ind w:left="0" w:right="113"/>
              <w:jc w:val="right"/>
            </w:pPr>
            <w:r>
              <w:t>3</w:t>
            </w:r>
          </w:p>
        </w:tc>
        <w:tc>
          <w:tcPr>
            <w:tcW w:w="810" w:type="dxa"/>
            <w:tcBorders>
              <w:top w:val="nil"/>
              <w:bottom w:val="nil"/>
            </w:tcBorders>
            <w:noWrap/>
            <w:tcMar>
              <w:top w:w="13" w:type="dxa"/>
              <w:left w:w="13" w:type="dxa"/>
              <w:bottom w:w="0" w:type="dxa"/>
              <w:right w:w="13" w:type="dxa"/>
            </w:tcMar>
            <w:vAlign w:val="bottom"/>
          </w:tcPr>
          <w:p w14:paraId="47DCAED1" w14:textId="77777777" w:rsidR="00377892" w:rsidRDefault="00377892">
            <w:pPr>
              <w:pStyle w:val="Tabletext"/>
              <w:ind w:left="0" w:right="113"/>
              <w:jc w:val="right"/>
            </w:pPr>
            <w:r>
              <w:t>400</w:t>
            </w:r>
          </w:p>
        </w:tc>
        <w:tc>
          <w:tcPr>
            <w:tcW w:w="720" w:type="dxa"/>
            <w:tcBorders>
              <w:top w:val="nil"/>
              <w:bottom w:val="nil"/>
            </w:tcBorders>
            <w:noWrap/>
            <w:tcMar>
              <w:top w:w="13" w:type="dxa"/>
              <w:left w:w="13" w:type="dxa"/>
              <w:bottom w:w="0" w:type="dxa"/>
              <w:right w:w="13" w:type="dxa"/>
            </w:tcMar>
            <w:vAlign w:val="bottom"/>
          </w:tcPr>
          <w:p w14:paraId="782B6043" w14:textId="77777777" w:rsidR="00377892" w:rsidRDefault="00377892">
            <w:pPr>
              <w:pStyle w:val="Tabletext"/>
              <w:ind w:left="0" w:right="113"/>
              <w:jc w:val="right"/>
            </w:pPr>
            <w:r>
              <w:t>375</w:t>
            </w:r>
          </w:p>
        </w:tc>
      </w:tr>
      <w:tr w:rsidR="00377892" w14:paraId="0F24CDBD" w14:textId="77777777">
        <w:trPr>
          <w:cantSplit/>
          <w:trHeight w:val="255"/>
        </w:trPr>
        <w:tc>
          <w:tcPr>
            <w:tcW w:w="653" w:type="dxa"/>
            <w:tcBorders>
              <w:top w:val="nil"/>
              <w:bottom w:val="nil"/>
            </w:tcBorders>
            <w:noWrap/>
            <w:tcMar>
              <w:top w:w="13" w:type="dxa"/>
              <w:left w:w="13" w:type="dxa"/>
              <w:bottom w:w="0" w:type="dxa"/>
              <w:right w:w="13" w:type="dxa"/>
            </w:tcMar>
            <w:vAlign w:val="bottom"/>
          </w:tcPr>
          <w:p w14:paraId="5ECDBE19" w14:textId="77777777" w:rsidR="00377892" w:rsidRDefault="00377892">
            <w:pPr>
              <w:pStyle w:val="Tabletext"/>
              <w:ind w:left="0" w:right="113"/>
              <w:jc w:val="right"/>
            </w:pPr>
            <w:r>
              <w:t>4</w:t>
            </w:r>
          </w:p>
        </w:tc>
        <w:tc>
          <w:tcPr>
            <w:tcW w:w="810" w:type="dxa"/>
            <w:tcBorders>
              <w:top w:val="nil"/>
              <w:bottom w:val="nil"/>
            </w:tcBorders>
            <w:noWrap/>
            <w:tcMar>
              <w:top w:w="13" w:type="dxa"/>
              <w:left w:w="13" w:type="dxa"/>
              <w:bottom w:w="0" w:type="dxa"/>
              <w:right w:w="13" w:type="dxa"/>
            </w:tcMar>
            <w:vAlign w:val="bottom"/>
          </w:tcPr>
          <w:p w14:paraId="1602C01E" w14:textId="77777777" w:rsidR="00377892" w:rsidRDefault="00377892">
            <w:pPr>
              <w:pStyle w:val="Tabletext"/>
              <w:ind w:left="0" w:right="113"/>
              <w:jc w:val="right"/>
            </w:pPr>
            <w:r>
              <w:t>500</w:t>
            </w:r>
          </w:p>
        </w:tc>
        <w:tc>
          <w:tcPr>
            <w:tcW w:w="720" w:type="dxa"/>
            <w:tcBorders>
              <w:top w:val="nil"/>
              <w:bottom w:val="nil"/>
            </w:tcBorders>
            <w:noWrap/>
            <w:tcMar>
              <w:top w:w="13" w:type="dxa"/>
              <w:left w:w="13" w:type="dxa"/>
              <w:bottom w:w="0" w:type="dxa"/>
              <w:right w:w="13" w:type="dxa"/>
            </w:tcMar>
            <w:vAlign w:val="bottom"/>
          </w:tcPr>
          <w:p w14:paraId="0290FC1E" w14:textId="77777777" w:rsidR="00377892" w:rsidRDefault="00377892">
            <w:pPr>
              <w:pStyle w:val="Tabletext"/>
              <w:ind w:left="0" w:right="113"/>
              <w:jc w:val="right"/>
            </w:pPr>
            <w:r>
              <w:t>375</w:t>
            </w:r>
          </w:p>
        </w:tc>
      </w:tr>
      <w:tr w:rsidR="00377892" w14:paraId="4F29CE26" w14:textId="77777777">
        <w:trPr>
          <w:cantSplit/>
          <w:trHeight w:val="255"/>
        </w:trPr>
        <w:tc>
          <w:tcPr>
            <w:tcW w:w="653" w:type="dxa"/>
            <w:tcBorders>
              <w:top w:val="nil"/>
              <w:bottom w:val="double" w:sz="6" w:space="0" w:color="000000"/>
            </w:tcBorders>
            <w:noWrap/>
            <w:tcMar>
              <w:top w:w="13" w:type="dxa"/>
              <w:left w:w="13" w:type="dxa"/>
              <w:bottom w:w="0" w:type="dxa"/>
              <w:right w:w="13" w:type="dxa"/>
            </w:tcMar>
            <w:vAlign w:val="bottom"/>
          </w:tcPr>
          <w:p w14:paraId="11F5800A" w14:textId="77777777" w:rsidR="00377892" w:rsidRDefault="00377892">
            <w:pPr>
              <w:pStyle w:val="Tabletext"/>
              <w:ind w:left="0" w:right="113"/>
              <w:jc w:val="right"/>
            </w:pPr>
            <w:r>
              <w:t>5</w:t>
            </w:r>
          </w:p>
        </w:tc>
        <w:tc>
          <w:tcPr>
            <w:tcW w:w="810" w:type="dxa"/>
            <w:tcBorders>
              <w:top w:val="nil"/>
              <w:bottom w:val="double" w:sz="6" w:space="0" w:color="000000"/>
            </w:tcBorders>
            <w:noWrap/>
            <w:tcMar>
              <w:top w:w="13" w:type="dxa"/>
              <w:left w:w="13" w:type="dxa"/>
              <w:bottom w:w="0" w:type="dxa"/>
              <w:right w:w="13" w:type="dxa"/>
            </w:tcMar>
            <w:vAlign w:val="bottom"/>
          </w:tcPr>
          <w:p w14:paraId="123DC8D7" w14:textId="77777777" w:rsidR="00377892" w:rsidRDefault="00377892">
            <w:pPr>
              <w:pStyle w:val="Tabletext"/>
              <w:ind w:left="0" w:right="113"/>
              <w:jc w:val="right"/>
            </w:pPr>
            <w:r>
              <w:t>600</w:t>
            </w:r>
          </w:p>
        </w:tc>
        <w:tc>
          <w:tcPr>
            <w:tcW w:w="720" w:type="dxa"/>
            <w:tcBorders>
              <w:top w:val="nil"/>
              <w:bottom w:val="double" w:sz="6" w:space="0" w:color="000000"/>
            </w:tcBorders>
            <w:noWrap/>
            <w:tcMar>
              <w:top w:w="13" w:type="dxa"/>
              <w:left w:w="13" w:type="dxa"/>
              <w:bottom w:w="0" w:type="dxa"/>
              <w:right w:w="13" w:type="dxa"/>
            </w:tcMar>
            <w:vAlign w:val="bottom"/>
          </w:tcPr>
          <w:p w14:paraId="674EA556" w14:textId="77777777" w:rsidR="00377892" w:rsidRDefault="00377892">
            <w:pPr>
              <w:pStyle w:val="Tabletext"/>
              <w:ind w:left="0" w:right="113"/>
              <w:jc w:val="right"/>
            </w:pPr>
            <w:r>
              <w:t>375</w:t>
            </w:r>
          </w:p>
        </w:tc>
      </w:tr>
    </w:tbl>
    <w:p w14:paraId="64A88840" w14:textId="77777777" w:rsidR="00000000" w:rsidRDefault="00000000">
      <w:pPr>
        <w:spacing w:before="0"/>
        <w:rPr>
          <w:vanish/>
        </w:rPr>
      </w:pPr>
    </w:p>
    <w:tbl>
      <w:tblPr>
        <w:tblpPr w:leftFromText="180" w:rightFromText="180" w:vertAnchor="text" w:horzAnchor="margin" w:tblpXSpec="right" w:tblpY="372"/>
        <w:tblOverlap w:val="never"/>
        <w:tblW w:w="2363"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0" w:type="dxa"/>
          <w:right w:w="0" w:type="dxa"/>
        </w:tblCellMar>
        <w:tblLook w:val="00AB" w:firstRow="1" w:lastRow="0" w:firstColumn="1" w:lastColumn="0" w:noHBand="0" w:noVBand="0"/>
      </w:tblPr>
      <w:tblGrid>
        <w:gridCol w:w="743"/>
        <w:gridCol w:w="900"/>
        <w:gridCol w:w="720"/>
      </w:tblGrid>
      <w:tr w:rsidR="00AB6344" w14:paraId="25915102" w14:textId="77777777" w:rsidTr="00AB6344">
        <w:trPr>
          <w:trHeight w:val="255"/>
        </w:trPr>
        <w:tc>
          <w:tcPr>
            <w:tcW w:w="2363" w:type="dxa"/>
            <w:gridSpan w:val="3"/>
            <w:noWrap/>
            <w:tcMar>
              <w:top w:w="13" w:type="dxa"/>
              <w:left w:w="13" w:type="dxa"/>
              <w:bottom w:w="0" w:type="dxa"/>
              <w:right w:w="13" w:type="dxa"/>
            </w:tcMar>
            <w:vAlign w:val="bottom"/>
          </w:tcPr>
          <w:p w14:paraId="3490797C" w14:textId="77777777" w:rsidR="00AB6344" w:rsidRDefault="00AB6344" w:rsidP="00AB6344">
            <w:pPr>
              <w:pStyle w:val="TableInTitle"/>
            </w:pPr>
            <w:r>
              <w:t>Exhibit 3</w:t>
            </w:r>
            <w:r>
              <w:br/>
              <w:t>Present Values</w:t>
            </w:r>
          </w:p>
        </w:tc>
      </w:tr>
      <w:tr w:rsidR="00AB6344" w14:paraId="7AC32F08" w14:textId="77777777" w:rsidTr="00AB6344">
        <w:trPr>
          <w:trHeight w:val="255"/>
        </w:trPr>
        <w:tc>
          <w:tcPr>
            <w:tcW w:w="743" w:type="dxa"/>
            <w:tcBorders>
              <w:bottom w:val="single" w:sz="6" w:space="0" w:color="000000"/>
            </w:tcBorders>
            <w:noWrap/>
            <w:tcMar>
              <w:top w:w="13" w:type="dxa"/>
              <w:left w:w="13" w:type="dxa"/>
              <w:bottom w:w="0" w:type="dxa"/>
              <w:right w:w="13" w:type="dxa"/>
            </w:tcMar>
            <w:vAlign w:val="bottom"/>
          </w:tcPr>
          <w:p w14:paraId="52DD6DBA" w14:textId="77777777" w:rsidR="00AB6344" w:rsidRDefault="00AB6344" w:rsidP="00AB6344">
            <w:pPr>
              <w:pStyle w:val="Tabletext"/>
            </w:pPr>
            <w:r>
              <w:t>Di</w:t>
            </w:r>
            <w:r>
              <w:t>s</w:t>
            </w:r>
            <w:r>
              <w:t xml:space="preserve">count </w:t>
            </w:r>
            <w:r>
              <w:br/>
              <w:t>Rate</w:t>
            </w:r>
          </w:p>
        </w:tc>
        <w:tc>
          <w:tcPr>
            <w:tcW w:w="900" w:type="dxa"/>
            <w:tcBorders>
              <w:bottom w:val="single" w:sz="6" w:space="0" w:color="000000"/>
            </w:tcBorders>
            <w:noWrap/>
            <w:tcMar>
              <w:top w:w="13" w:type="dxa"/>
              <w:left w:w="13" w:type="dxa"/>
              <w:bottom w:w="0" w:type="dxa"/>
              <w:right w:w="13" w:type="dxa"/>
            </w:tcMar>
            <w:vAlign w:val="bottom"/>
          </w:tcPr>
          <w:p w14:paraId="13C754A9" w14:textId="77777777" w:rsidR="00AB6344" w:rsidRDefault="00AB6344" w:rsidP="00AB6344">
            <w:pPr>
              <w:pStyle w:val="Tabletext"/>
            </w:pPr>
            <w:r>
              <w:t xml:space="preserve"> No-Co</w:t>
            </w:r>
            <w:r>
              <w:t>n</w:t>
            </w:r>
            <w:r>
              <w:t xml:space="preserve">tract </w:t>
            </w:r>
          </w:p>
        </w:tc>
        <w:tc>
          <w:tcPr>
            <w:tcW w:w="720" w:type="dxa"/>
            <w:tcBorders>
              <w:bottom w:val="single" w:sz="6" w:space="0" w:color="000000"/>
            </w:tcBorders>
            <w:noWrap/>
            <w:tcMar>
              <w:top w:w="13" w:type="dxa"/>
              <w:left w:w="13" w:type="dxa"/>
              <w:bottom w:w="0" w:type="dxa"/>
              <w:right w:w="13" w:type="dxa"/>
            </w:tcMar>
            <w:vAlign w:val="bottom"/>
          </w:tcPr>
          <w:p w14:paraId="610793EF" w14:textId="77777777" w:rsidR="00AB6344" w:rsidRDefault="00AB6344" w:rsidP="00AB6344">
            <w:pPr>
              <w:pStyle w:val="Tabletext"/>
            </w:pPr>
            <w:r>
              <w:t xml:space="preserve"> Co</w:t>
            </w:r>
            <w:r>
              <w:t>n</w:t>
            </w:r>
            <w:r>
              <w:t xml:space="preserve">tract </w:t>
            </w:r>
          </w:p>
        </w:tc>
      </w:tr>
      <w:tr w:rsidR="00AB6344" w14:paraId="52C7BCEA" w14:textId="77777777" w:rsidTr="00AB6344">
        <w:trPr>
          <w:trHeight w:val="255"/>
        </w:trPr>
        <w:tc>
          <w:tcPr>
            <w:tcW w:w="743" w:type="dxa"/>
            <w:tcBorders>
              <w:top w:val="single" w:sz="6" w:space="0" w:color="000000"/>
              <w:bottom w:val="nil"/>
            </w:tcBorders>
            <w:noWrap/>
            <w:tcMar>
              <w:top w:w="13" w:type="dxa"/>
              <w:left w:w="13" w:type="dxa"/>
              <w:bottom w:w="0" w:type="dxa"/>
              <w:right w:w="13" w:type="dxa"/>
            </w:tcMar>
            <w:vAlign w:val="bottom"/>
          </w:tcPr>
          <w:p w14:paraId="2CF045BC" w14:textId="77777777" w:rsidR="00AB6344" w:rsidRDefault="00AB6344" w:rsidP="00AB6344">
            <w:pPr>
              <w:pStyle w:val="Tabletext"/>
            </w:pPr>
            <w:r>
              <w:t>6%</w:t>
            </w:r>
          </w:p>
        </w:tc>
        <w:tc>
          <w:tcPr>
            <w:tcW w:w="900" w:type="dxa"/>
            <w:tcBorders>
              <w:top w:val="single" w:sz="6" w:space="0" w:color="000000"/>
              <w:bottom w:val="nil"/>
            </w:tcBorders>
            <w:noWrap/>
            <w:tcMar>
              <w:top w:w="13" w:type="dxa"/>
              <w:left w:w="13" w:type="dxa"/>
              <w:bottom w:w="0" w:type="dxa"/>
              <w:right w:w="13" w:type="dxa"/>
            </w:tcMar>
            <w:vAlign w:val="bottom"/>
          </w:tcPr>
          <w:p w14:paraId="18B012A5" w14:textId="77777777" w:rsidR="00AB6344" w:rsidRDefault="00AB6344" w:rsidP="00AB6344">
            <w:pPr>
              <w:pStyle w:val="Tabletext"/>
            </w:pPr>
            <w:r>
              <w:t>1,636</w:t>
            </w:r>
          </w:p>
        </w:tc>
        <w:tc>
          <w:tcPr>
            <w:tcW w:w="720" w:type="dxa"/>
            <w:tcBorders>
              <w:top w:val="single" w:sz="6" w:space="0" w:color="000000"/>
              <w:bottom w:val="nil"/>
            </w:tcBorders>
            <w:noWrap/>
            <w:tcMar>
              <w:top w:w="13" w:type="dxa"/>
              <w:left w:w="13" w:type="dxa"/>
              <w:bottom w:w="0" w:type="dxa"/>
              <w:right w:w="13" w:type="dxa"/>
            </w:tcMar>
            <w:vAlign w:val="bottom"/>
          </w:tcPr>
          <w:p w14:paraId="35C7F326" w14:textId="77777777" w:rsidR="00AB6344" w:rsidRDefault="00AB6344" w:rsidP="00AB6344">
            <w:pPr>
              <w:pStyle w:val="Tabletext"/>
            </w:pPr>
            <w:r>
              <w:t>1,580</w:t>
            </w:r>
          </w:p>
        </w:tc>
      </w:tr>
      <w:tr w:rsidR="00AB6344" w14:paraId="3823B166" w14:textId="77777777" w:rsidTr="00AB6344">
        <w:trPr>
          <w:trHeight w:val="255"/>
        </w:trPr>
        <w:tc>
          <w:tcPr>
            <w:tcW w:w="743" w:type="dxa"/>
            <w:tcBorders>
              <w:top w:val="nil"/>
              <w:bottom w:val="nil"/>
            </w:tcBorders>
            <w:noWrap/>
            <w:tcMar>
              <w:top w:w="13" w:type="dxa"/>
              <w:left w:w="13" w:type="dxa"/>
              <w:bottom w:w="0" w:type="dxa"/>
              <w:right w:w="13" w:type="dxa"/>
            </w:tcMar>
            <w:vAlign w:val="bottom"/>
          </w:tcPr>
          <w:p w14:paraId="53A73B1E" w14:textId="77777777" w:rsidR="00AB6344" w:rsidRDefault="00AB6344" w:rsidP="00AB6344">
            <w:pPr>
              <w:pStyle w:val="Tabletext"/>
            </w:pPr>
            <w:r>
              <w:t>10%</w:t>
            </w:r>
          </w:p>
        </w:tc>
        <w:tc>
          <w:tcPr>
            <w:tcW w:w="900" w:type="dxa"/>
            <w:tcBorders>
              <w:top w:val="nil"/>
              <w:bottom w:val="nil"/>
            </w:tcBorders>
            <w:noWrap/>
            <w:tcMar>
              <w:top w:w="13" w:type="dxa"/>
              <w:left w:w="13" w:type="dxa"/>
              <w:bottom w:w="0" w:type="dxa"/>
              <w:right w:w="13" w:type="dxa"/>
            </w:tcMar>
            <w:vAlign w:val="bottom"/>
          </w:tcPr>
          <w:p w14:paraId="5193CD22" w14:textId="77777777" w:rsidR="00AB6344" w:rsidRDefault="00AB6344" w:rsidP="00AB6344">
            <w:pPr>
              <w:pStyle w:val="Tabletext"/>
            </w:pPr>
            <w:r>
              <w:t>1,444</w:t>
            </w:r>
          </w:p>
        </w:tc>
        <w:tc>
          <w:tcPr>
            <w:tcW w:w="720" w:type="dxa"/>
            <w:tcBorders>
              <w:top w:val="nil"/>
              <w:bottom w:val="nil"/>
            </w:tcBorders>
            <w:noWrap/>
            <w:tcMar>
              <w:top w:w="13" w:type="dxa"/>
              <w:left w:w="13" w:type="dxa"/>
              <w:bottom w:w="0" w:type="dxa"/>
              <w:right w:w="13" w:type="dxa"/>
            </w:tcMar>
            <w:vAlign w:val="bottom"/>
          </w:tcPr>
          <w:p w14:paraId="2E316606" w14:textId="77777777" w:rsidR="00AB6344" w:rsidRDefault="00AB6344" w:rsidP="00AB6344">
            <w:pPr>
              <w:pStyle w:val="Tabletext"/>
            </w:pPr>
            <w:r>
              <w:t>1,422</w:t>
            </w:r>
          </w:p>
        </w:tc>
      </w:tr>
      <w:tr w:rsidR="00AB6344" w14:paraId="349224D3" w14:textId="77777777" w:rsidTr="00AB6344">
        <w:trPr>
          <w:trHeight w:val="255"/>
        </w:trPr>
        <w:tc>
          <w:tcPr>
            <w:tcW w:w="743" w:type="dxa"/>
            <w:tcBorders>
              <w:top w:val="nil"/>
              <w:bottom w:val="nil"/>
            </w:tcBorders>
            <w:noWrap/>
            <w:tcMar>
              <w:top w:w="13" w:type="dxa"/>
              <w:left w:w="13" w:type="dxa"/>
              <w:bottom w:w="0" w:type="dxa"/>
              <w:right w:w="13" w:type="dxa"/>
            </w:tcMar>
            <w:vAlign w:val="bottom"/>
          </w:tcPr>
          <w:p w14:paraId="4C5958E4" w14:textId="77777777" w:rsidR="00AB6344" w:rsidRDefault="00AB6344" w:rsidP="00AB6344">
            <w:pPr>
              <w:pStyle w:val="Tabletext"/>
            </w:pPr>
            <w:r>
              <w:t>15%</w:t>
            </w:r>
          </w:p>
        </w:tc>
        <w:tc>
          <w:tcPr>
            <w:tcW w:w="900" w:type="dxa"/>
            <w:tcBorders>
              <w:top w:val="nil"/>
              <w:bottom w:val="nil"/>
            </w:tcBorders>
            <w:noWrap/>
            <w:tcMar>
              <w:top w:w="13" w:type="dxa"/>
              <w:left w:w="13" w:type="dxa"/>
              <w:bottom w:w="0" w:type="dxa"/>
              <w:right w:w="13" w:type="dxa"/>
            </w:tcMar>
            <w:vAlign w:val="bottom"/>
          </w:tcPr>
          <w:p w14:paraId="1AB3FD92" w14:textId="77777777" w:rsidR="00AB6344" w:rsidRDefault="00AB6344" w:rsidP="00AB6344">
            <w:pPr>
              <w:pStyle w:val="Tabletext"/>
            </w:pPr>
            <w:r>
              <w:t>1,248</w:t>
            </w:r>
          </w:p>
        </w:tc>
        <w:tc>
          <w:tcPr>
            <w:tcW w:w="720" w:type="dxa"/>
            <w:tcBorders>
              <w:top w:val="nil"/>
              <w:bottom w:val="nil"/>
            </w:tcBorders>
            <w:noWrap/>
            <w:tcMar>
              <w:top w:w="13" w:type="dxa"/>
              <w:left w:w="13" w:type="dxa"/>
              <w:bottom w:w="0" w:type="dxa"/>
              <w:right w:w="13" w:type="dxa"/>
            </w:tcMar>
            <w:vAlign w:val="bottom"/>
          </w:tcPr>
          <w:p w14:paraId="06137C3F" w14:textId="77777777" w:rsidR="00AB6344" w:rsidRDefault="00AB6344" w:rsidP="00AB6344">
            <w:pPr>
              <w:pStyle w:val="Tabletext"/>
            </w:pPr>
            <w:r>
              <w:t>1,257</w:t>
            </w:r>
          </w:p>
        </w:tc>
      </w:tr>
      <w:tr w:rsidR="00AB6344" w14:paraId="5281A6CC" w14:textId="77777777" w:rsidTr="00AB6344">
        <w:trPr>
          <w:trHeight w:val="255"/>
        </w:trPr>
        <w:tc>
          <w:tcPr>
            <w:tcW w:w="743" w:type="dxa"/>
            <w:tcBorders>
              <w:top w:val="nil"/>
              <w:bottom w:val="double" w:sz="6" w:space="0" w:color="000000"/>
            </w:tcBorders>
            <w:noWrap/>
            <w:tcMar>
              <w:top w:w="13" w:type="dxa"/>
              <w:left w:w="13" w:type="dxa"/>
              <w:bottom w:w="0" w:type="dxa"/>
              <w:right w:w="13" w:type="dxa"/>
            </w:tcMar>
            <w:vAlign w:val="bottom"/>
          </w:tcPr>
          <w:p w14:paraId="659B855F" w14:textId="77777777" w:rsidR="00AB6344" w:rsidRDefault="00AB6344" w:rsidP="00AB6344">
            <w:pPr>
              <w:pStyle w:val="Tabletext"/>
            </w:pPr>
            <w:r>
              <w:t>20%</w:t>
            </w:r>
          </w:p>
        </w:tc>
        <w:tc>
          <w:tcPr>
            <w:tcW w:w="900" w:type="dxa"/>
            <w:tcBorders>
              <w:top w:val="nil"/>
              <w:bottom w:val="double" w:sz="6" w:space="0" w:color="000000"/>
            </w:tcBorders>
            <w:noWrap/>
            <w:tcMar>
              <w:top w:w="13" w:type="dxa"/>
              <w:left w:w="13" w:type="dxa"/>
              <w:bottom w:w="0" w:type="dxa"/>
              <w:right w:w="13" w:type="dxa"/>
            </w:tcMar>
            <w:vAlign w:val="bottom"/>
          </w:tcPr>
          <w:p w14:paraId="1A587BBC" w14:textId="77777777" w:rsidR="00AB6344" w:rsidRDefault="00AB6344" w:rsidP="00AB6344">
            <w:pPr>
              <w:pStyle w:val="Tabletext"/>
            </w:pPr>
            <w:r>
              <w:t>1,089</w:t>
            </w:r>
          </w:p>
        </w:tc>
        <w:tc>
          <w:tcPr>
            <w:tcW w:w="720" w:type="dxa"/>
            <w:tcBorders>
              <w:top w:val="nil"/>
              <w:bottom w:val="double" w:sz="6" w:space="0" w:color="000000"/>
            </w:tcBorders>
            <w:noWrap/>
            <w:tcMar>
              <w:top w:w="13" w:type="dxa"/>
              <w:left w:w="13" w:type="dxa"/>
              <w:bottom w:w="0" w:type="dxa"/>
              <w:right w:w="13" w:type="dxa"/>
            </w:tcMar>
            <w:vAlign w:val="bottom"/>
          </w:tcPr>
          <w:p w14:paraId="4F8F9631" w14:textId="77777777" w:rsidR="00AB6344" w:rsidRDefault="00AB6344" w:rsidP="00AB6344">
            <w:pPr>
              <w:pStyle w:val="Tabletext"/>
            </w:pPr>
            <w:r>
              <w:t>1,121</w:t>
            </w:r>
          </w:p>
        </w:tc>
      </w:tr>
    </w:tbl>
    <w:p w14:paraId="4F9529D6" w14:textId="77777777" w:rsidR="00377892" w:rsidRDefault="00377892">
      <w:r>
        <w:t>To compare these two streams, we take their present values.  But at what discount (inte</w:t>
      </w:r>
      <w:r>
        <w:t>r</w:t>
      </w:r>
      <w:r>
        <w:t>est) rate?  Let’s see what happens as several different discount rates.  Exhibit 3 di</w:t>
      </w:r>
      <w:r>
        <w:t>s</w:t>
      </w:r>
      <w:r>
        <w:t>plays the present values (PVs) of the two streams at 6%, 10%, 15%, and 20% di</w:t>
      </w:r>
      <w:r>
        <w:t>s</w:t>
      </w:r>
      <w:r>
        <w:t>count rates.</w:t>
      </w:r>
    </w:p>
    <w:p w14:paraId="2872DF1E" w14:textId="77777777" w:rsidR="00377892" w:rsidRDefault="00377892">
      <w:r>
        <w:t>Before going further, be sure you understand E</w:t>
      </w:r>
      <w:r>
        <w:t>x</w:t>
      </w:r>
      <w:r>
        <w:t xml:space="preserve">hibit 3.  At a simple mechanical level, the first PV is constructed by using Excel’s </w:t>
      </w:r>
      <w:r>
        <w:rPr>
          <w:rFonts w:ascii="Arial" w:hAnsi="Arial"/>
          <w:b/>
        </w:rPr>
        <w:t>NPV</w:t>
      </w:r>
      <w:r>
        <w:t xml:space="preserve"> fun</w:t>
      </w:r>
      <w:r>
        <w:t>c</w:t>
      </w:r>
      <w:r>
        <w:t>tion.  If the cells containing the No-Contract flows are B2:B6 (in E</w:t>
      </w:r>
      <w:r>
        <w:t>x</w:t>
      </w:r>
      <w:r>
        <w:t xml:space="preserve">hibit 2), then </w:t>
      </w:r>
      <w:r>
        <w:rPr>
          <w:rFonts w:ascii="Arial" w:hAnsi="Arial"/>
          <w:b/>
        </w:rPr>
        <w:t>NPV</w:t>
      </w:r>
      <w:r>
        <w:t>(0.06,B2:B6)=1636.  And so on.  Now go back to defin</w:t>
      </w:r>
      <w:r>
        <w:t>i</w:t>
      </w:r>
      <w:r>
        <w:t>tions.  This means that if we had a bank account that paid 6% per year interest, and if we depo</w:t>
      </w:r>
      <w:r>
        <w:t>s</w:t>
      </w:r>
      <w:r>
        <w:t xml:space="preserve">ited $1636 into that account today, then we could make the payments shown in </w:t>
      </w:r>
      <w:r>
        <w:lastRenderedPageBreak/>
        <w:t>the second co</w:t>
      </w:r>
      <w:r>
        <w:t>l</w:t>
      </w:r>
      <w:r>
        <w:t>umn of Exhibit 4 for each of the next 5 years.   At the end of 5 years the account would be empty.  Just like Joanne’s problem</w:t>
      </w:r>
      <w:r>
        <w:sym w:font="Symbol" w:char="F0BE"/>
      </w:r>
      <w:r>
        <w:t>were we started, u</w:t>
      </w:r>
      <w:r>
        <w:t>s</w:t>
      </w:r>
      <w:r>
        <w:t xml:space="preserve">ing Exhibit 1.  </w:t>
      </w:r>
    </w:p>
    <w:p w14:paraId="59E65CB6" w14:textId="77777777" w:rsidR="00377892" w:rsidRDefault="00377892">
      <w:r>
        <w:t>Do we have a 6% account available?  The bank only pays 4% on savings.  We could i</w:t>
      </w:r>
      <w:r>
        <w:t>n</w:t>
      </w:r>
      <w:r>
        <w:t>vest in a CD and earn a bit more than 6%.  Should we use that rate?  What if someone has recently earned 80% in the stock market last year, should they use that di</w:t>
      </w:r>
      <w:r>
        <w:t>s</w:t>
      </w:r>
      <w:r>
        <w:t xml:space="preserve">count rate?  </w:t>
      </w:r>
    </w:p>
    <w:p w14:paraId="757F91A6" w14:textId="77777777" w:rsidR="00377892" w:rsidRDefault="00377892">
      <w:r>
        <w:t xml:space="preserve">The long answer is “take the Finance courses.  That is what they are about.”  The short answer is that a company should discount these money flows at </w:t>
      </w:r>
      <w:r w:rsidR="0059543B">
        <w:t xml:space="preserve">the </w:t>
      </w:r>
      <w:r>
        <w:t>best rate it can earn elsewhere under similar risk conditions. Again, to fully understand the term “risk conditions,” you need to study finance.  Turning again to the short answer, if the unce</w:t>
      </w:r>
      <w:r>
        <w:t>r</w:t>
      </w:r>
      <w:r>
        <w:t>tainty in the future cash flows has nothing to do with the economy as a whole or the i</w:t>
      </w:r>
      <w:r>
        <w:t>n</w:t>
      </w:r>
      <w:r>
        <w:t>dustry, then the risk is fully diversifiable and you should use a low risk-free rate (T-Bills).  If the u</w:t>
      </w:r>
      <w:r>
        <w:t>n</w:t>
      </w:r>
      <w:r>
        <w:t xml:space="preserve">certainty matches the uncertainties for the firm as a whole, you should use the weighted average cost of capital.  </w:t>
      </w:r>
    </w:p>
    <w:p w14:paraId="3A037DD9" w14:textId="77777777" w:rsidR="00377892" w:rsidRDefault="00377892">
      <w:r>
        <w:t>Most of the time, real companies use discount rates that are much higher than those coming from finance theory.  Today (year 2000), the cost of capital for most indu</w:t>
      </w:r>
      <w:r>
        <w:t>s</w:t>
      </w:r>
      <w:r>
        <w:t xml:space="preserve">trial firms is </w:t>
      </w:r>
      <w:r w:rsidR="0059543B">
        <w:t xml:space="preserve">about </w:t>
      </w:r>
      <w:r>
        <w:t>8%.  Yet you will see corporate ma</w:t>
      </w:r>
      <w:r>
        <w:t>n</w:t>
      </w:r>
      <w:r>
        <w:t>agements using 15% and 20% discount rates.  Many companies set high di</w:t>
      </w:r>
      <w:r>
        <w:t>s</w:t>
      </w:r>
      <w:r>
        <w:t>count rates with the idea that setting a high “hurdle rate” will increase profits. This is a mistake</w:t>
      </w:r>
      <w:r>
        <w:sym w:font="Symbol" w:char="F0BE"/>
      </w:r>
      <w:r>
        <w:t>high hurdle rates distort dec</w:t>
      </w:r>
      <w:r>
        <w:t>i</w:t>
      </w:r>
      <w:r>
        <w:t>sions and reject perfectly good projects.  Others set high discount rates b</w:t>
      </w:r>
      <w:r>
        <w:t>e</w:t>
      </w:r>
      <w:r>
        <w:t>cause they really do want to discount the future heavily</w:t>
      </w:r>
      <w:r>
        <w:sym w:font="Symbol" w:char="F0BE"/>
      </w:r>
      <w:r>
        <w:t>for whatever reason, they don’t trust nu</w:t>
      </w:r>
      <w:r>
        <w:t>m</w:t>
      </w:r>
      <w:r>
        <w:t>bers about the distant future.  I have seen companies take a 10% after-tax cost of capital and double it because, they say, they are going to work with before tax nu</w:t>
      </w:r>
      <w:r>
        <w:t>m</w:t>
      </w:r>
      <w:r>
        <w:t>bers.  That is horribly incorrect reasoning.  Tax rates cut your cash flow propo</w:t>
      </w:r>
      <w:r>
        <w:t>r</w:t>
      </w:r>
      <w:r>
        <w:t>tionately; discount rates reduce the impact of cash flow exponentially with fut</w:t>
      </w:r>
      <w:r>
        <w:t>u</w:t>
      </w:r>
      <w:r>
        <w:t xml:space="preserve">rity.  </w:t>
      </w:r>
    </w:p>
    <w:p w14:paraId="32FFC114" w14:textId="77777777" w:rsidR="00377892" w:rsidRDefault="00377892">
      <w:r>
        <w:t>Returning to Exhibit 5, we see that at 6% and 10%, the Contract is less expensive than No-Contract.  At 15% and 20%, the No-Contract option is less expensive.  This makes sense b</w:t>
      </w:r>
      <w:r>
        <w:t>e</w:t>
      </w:r>
      <w:r>
        <w:t>cause the No-Contract option has rising cash flows.  As we increase the discount rate, we lessen the i</w:t>
      </w:r>
      <w:r>
        <w:t>m</w:t>
      </w:r>
      <w:r>
        <w:t>pact of these higher cash flows later on.  The crossover discount rate is 13.4% in this case</w:t>
      </w:r>
      <w:r>
        <w:sym w:font="Symbol" w:char="F0BE"/>
      </w:r>
      <w:r>
        <w:t>at that discount rate, both options are equally costly.  So if the company’s disc</w:t>
      </w:r>
      <w:r w:rsidR="00806DDF">
        <w:t>ount rate is less than 13.4%, it</w:t>
      </w:r>
      <w:r>
        <w:t xml:space="preserve"> should sign the Contract.</w:t>
      </w:r>
    </w:p>
    <w:p w14:paraId="189EEE8A" w14:textId="77777777" w:rsidR="00377892" w:rsidRDefault="00377892">
      <w:pPr>
        <w:pStyle w:val="Heading3"/>
      </w:pPr>
      <w:r>
        <w:t>Comparing Cash Flows with Different Durations</w:t>
      </w:r>
    </w:p>
    <w:tbl>
      <w:tblPr>
        <w:tblpPr w:leftFromText="288" w:rightFromText="288" w:topFromText="144" w:bottomFromText="144" w:vertAnchor="text" w:horzAnchor="margin" w:tblpY="1599"/>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F" w:firstRow="1" w:lastRow="0" w:firstColumn="1" w:lastColumn="0" w:noHBand="0" w:noVBand="0"/>
      </w:tblPr>
      <w:tblGrid>
        <w:gridCol w:w="970"/>
        <w:gridCol w:w="832"/>
        <w:gridCol w:w="831"/>
        <w:gridCol w:w="831"/>
        <w:gridCol w:w="831"/>
        <w:gridCol w:w="746"/>
        <w:gridCol w:w="746"/>
        <w:gridCol w:w="794"/>
        <w:gridCol w:w="794"/>
        <w:gridCol w:w="761"/>
      </w:tblGrid>
      <w:tr w:rsidR="00377892" w14:paraId="29B2F01E" w14:textId="77777777">
        <w:tblPrEx>
          <w:tblCellMar>
            <w:top w:w="0" w:type="dxa"/>
            <w:bottom w:w="0" w:type="dxa"/>
          </w:tblCellMar>
        </w:tblPrEx>
        <w:trPr>
          <w:cantSplit/>
        </w:trPr>
        <w:tc>
          <w:tcPr>
            <w:tcW w:w="8136" w:type="dxa"/>
            <w:gridSpan w:val="10"/>
          </w:tcPr>
          <w:p w14:paraId="2431E88B" w14:textId="77777777" w:rsidR="00377892" w:rsidRDefault="00377892">
            <w:pPr>
              <w:pStyle w:val="TableInTitle"/>
            </w:pPr>
            <w:r>
              <w:t>Exhibit 6</w:t>
            </w:r>
            <w:r>
              <w:br/>
              <w:t>Annual Salary Histories ($000)</w:t>
            </w:r>
          </w:p>
        </w:tc>
      </w:tr>
      <w:tr w:rsidR="00377892" w14:paraId="0F315273" w14:textId="77777777">
        <w:tblPrEx>
          <w:tblCellMar>
            <w:top w:w="0" w:type="dxa"/>
            <w:bottom w:w="0" w:type="dxa"/>
          </w:tblCellMar>
        </w:tblPrEx>
        <w:tc>
          <w:tcPr>
            <w:tcW w:w="970" w:type="dxa"/>
          </w:tcPr>
          <w:p w14:paraId="50B27DA6" w14:textId="77777777" w:rsidR="00377892" w:rsidRDefault="00377892">
            <w:pPr>
              <w:pStyle w:val="Tabletext"/>
            </w:pPr>
            <w:r>
              <w:t>Year</w:t>
            </w:r>
          </w:p>
        </w:tc>
        <w:tc>
          <w:tcPr>
            <w:tcW w:w="832" w:type="dxa"/>
            <w:tcBorders>
              <w:top w:val="single" w:sz="6" w:space="0" w:color="000000"/>
              <w:bottom w:val="single" w:sz="6" w:space="0" w:color="000000"/>
              <w:right w:val="nil"/>
            </w:tcBorders>
          </w:tcPr>
          <w:p w14:paraId="6A8B1F78" w14:textId="77777777" w:rsidR="00377892" w:rsidRDefault="00377892">
            <w:pPr>
              <w:pStyle w:val="Tabletext"/>
            </w:pPr>
            <w:r>
              <w:t>1</w:t>
            </w:r>
          </w:p>
        </w:tc>
        <w:tc>
          <w:tcPr>
            <w:tcW w:w="831" w:type="dxa"/>
            <w:tcBorders>
              <w:top w:val="single" w:sz="6" w:space="0" w:color="000000"/>
              <w:left w:val="nil"/>
              <w:bottom w:val="single" w:sz="6" w:space="0" w:color="000000"/>
              <w:right w:val="nil"/>
            </w:tcBorders>
          </w:tcPr>
          <w:p w14:paraId="76433A72" w14:textId="77777777" w:rsidR="00377892" w:rsidRDefault="00377892">
            <w:pPr>
              <w:pStyle w:val="Tabletext"/>
            </w:pPr>
            <w:r>
              <w:t>2</w:t>
            </w:r>
          </w:p>
        </w:tc>
        <w:tc>
          <w:tcPr>
            <w:tcW w:w="831" w:type="dxa"/>
            <w:tcBorders>
              <w:top w:val="single" w:sz="6" w:space="0" w:color="000000"/>
              <w:left w:val="nil"/>
              <w:bottom w:val="single" w:sz="6" w:space="0" w:color="000000"/>
              <w:right w:val="nil"/>
            </w:tcBorders>
          </w:tcPr>
          <w:p w14:paraId="0C263149" w14:textId="77777777" w:rsidR="00377892" w:rsidRDefault="00377892">
            <w:pPr>
              <w:pStyle w:val="Tabletext"/>
            </w:pPr>
            <w:r>
              <w:t>3</w:t>
            </w:r>
          </w:p>
        </w:tc>
        <w:tc>
          <w:tcPr>
            <w:tcW w:w="831" w:type="dxa"/>
            <w:tcBorders>
              <w:top w:val="single" w:sz="6" w:space="0" w:color="000000"/>
              <w:left w:val="nil"/>
              <w:bottom w:val="single" w:sz="6" w:space="0" w:color="000000"/>
              <w:right w:val="nil"/>
            </w:tcBorders>
          </w:tcPr>
          <w:p w14:paraId="303D7963" w14:textId="77777777" w:rsidR="00377892" w:rsidRDefault="00377892">
            <w:pPr>
              <w:pStyle w:val="Tabletext"/>
            </w:pPr>
            <w:r>
              <w:t>4</w:t>
            </w:r>
          </w:p>
        </w:tc>
        <w:tc>
          <w:tcPr>
            <w:tcW w:w="746" w:type="dxa"/>
            <w:tcBorders>
              <w:top w:val="single" w:sz="6" w:space="0" w:color="000000"/>
              <w:left w:val="nil"/>
              <w:bottom w:val="single" w:sz="6" w:space="0" w:color="000000"/>
              <w:right w:val="nil"/>
            </w:tcBorders>
          </w:tcPr>
          <w:p w14:paraId="4166A9D3" w14:textId="77777777" w:rsidR="00377892" w:rsidRDefault="00377892">
            <w:pPr>
              <w:pStyle w:val="Tabletext"/>
            </w:pPr>
            <w:r>
              <w:t>5</w:t>
            </w:r>
          </w:p>
        </w:tc>
        <w:tc>
          <w:tcPr>
            <w:tcW w:w="746" w:type="dxa"/>
            <w:tcBorders>
              <w:top w:val="single" w:sz="6" w:space="0" w:color="000000"/>
              <w:left w:val="nil"/>
              <w:bottom w:val="single" w:sz="6" w:space="0" w:color="000000"/>
              <w:right w:val="nil"/>
            </w:tcBorders>
          </w:tcPr>
          <w:p w14:paraId="1A8DDBD8" w14:textId="77777777" w:rsidR="00377892" w:rsidRDefault="00377892">
            <w:pPr>
              <w:pStyle w:val="Tabletext"/>
            </w:pPr>
            <w:r>
              <w:t>6</w:t>
            </w:r>
          </w:p>
        </w:tc>
        <w:tc>
          <w:tcPr>
            <w:tcW w:w="794" w:type="dxa"/>
            <w:tcBorders>
              <w:top w:val="single" w:sz="6" w:space="0" w:color="000000"/>
              <w:left w:val="nil"/>
              <w:bottom w:val="single" w:sz="6" w:space="0" w:color="000000"/>
              <w:right w:val="nil"/>
            </w:tcBorders>
          </w:tcPr>
          <w:p w14:paraId="4F37BF4A" w14:textId="77777777" w:rsidR="00377892" w:rsidRDefault="00377892">
            <w:pPr>
              <w:pStyle w:val="Tabletext"/>
            </w:pPr>
            <w:r>
              <w:t>7</w:t>
            </w:r>
          </w:p>
        </w:tc>
        <w:tc>
          <w:tcPr>
            <w:tcW w:w="794" w:type="dxa"/>
            <w:tcBorders>
              <w:top w:val="single" w:sz="6" w:space="0" w:color="000000"/>
              <w:left w:val="nil"/>
              <w:bottom w:val="single" w:sz="6" w:space="0" w:color="000000"/>
              <w:right w:val="nil"/>
            </w:tcBorders>
          </w:tcPr>
          <w:p w14:paraId="28B26136" w14:textId="77777777" w:rsidR="00377892" w:rsidRDefault="00377892">
            <w:pPr>
              <w:pStyle w:val="Tabletext"/>
            </w:pPr>
            <w:r>
              <w:t>8</w:t>
            </w:r>
          </w:p>
        </w:tc>
        <w:tc>
          <w:tcPr>
            <w:tcW w:w="761" w:type="dxa"/>
            <w:tcBorders>
              <w:top w:val="single" w:sz="6" w:space="0" w:color="000000"/>
              <w:left w:val="nil"/>
              <w:bottom w:val="single" w:sz="6" w:space="0" w:color="000000"/>
            </w:tcBorders>
          </w:tcPr>
          <w:p w14:paraId="5E481A99" w14:textId="77777777" w:rsidR="00377892" w:rsidRDefault="00377892">
            <w:pPr>
              <w:pStyle w:val="Tabletext"/>
            </w:pPr>
            <w:r>
              <w:t>9</w:t>
            </w:r>
          </w:p>
        </w:tc>
      </w:tr>
      <w:tr w:rsidR="00377892" w14:paraId="5E49EBD4" w14:textId="77777777">
        <w:tblPrEx>
          <w:tblCellMar>
            <w:top w:w="0" w:type="dxa"/>
            <w:bottom w:w="0" w:type="dxa"/>
          </w:tblCellMar>
        </w:tblPrEx>
        <w:tc>
          <w:tcPr>
            <w:tcW w:w="970" w:type="dxa"/>
          </w:tcPr>
          <w:p w14:paraId="7234CAB5" w14:textId="77777777" w:rsidR="00377892" w:rsidRDefault="00377892">
            <w:pPr>
              <w:pStyle w:val="Tabletext"/>
            </w:pPr>
            <w:r>
              <w:t>Type I</w:t>
            </w:r>
          </w:p>
        </w:tc>
        <w:tc>
          <w:tcPr>
            <w:tcW w:w="832" w:type="dxa"/>
            <w:tcBorders>
              <w:top w:val="single" w:sz="6" w:space="0" w:color="000000"/>
              <w:bottom w:val="single" w:sz="6" w:space="0" w:color="000000"/>
              <w:right w:val="nil"/>
            </w:tcBorders>
          </w:tcPr>
          <w:p w14:paraId="6E518626" w14:textId="77777777" w:rsidR="00377892" w:rsidRDefault="00377892">
            <w:pPr>
              <w:pStyle w:val="Tabletext"/>
            </w:pPr>
            <w:r>
              <w:t>30</w:t>
            </w:r>
          </w:p>
        </w:tc>
        <w:tc>
          <w:tcPr>
            <w:tcW w:w="831" w:type="dxa"/>
            <w:tcBorders>
              <w:top w:val="single" w:sz="6" w:space="0" w:color="000000"/>
              <w:left w:val="nil"/>
              <w:bottom w:val="single" w:sz="6" w:space="0" w:color="000000"/>
              <w:right w:val="nil"/>
            </w:tcBorders>
          </w:tcPr>
          <w:p w14:paraId="48945E82" w14:textId="77777777" w:rsidR="00377892" w:rsidRDefault="00377892">
            <w:pPr>
              <w:pStyle w:val="Tabletext"/>
            </w:pPr>
            <w:r>
              <w:t>33</w:t>
            </w:r>
          </w:p>
        </w:tc>
        <w:tc>
          <w:tcPr>
            <w:tcW w:w="831" w:type="dxa"/>
            <w:tcBorders>
              <w:top w:val="single" w:sz="6" w:space="0" w:color="000000"/>
              <w:left w:val="nil"/>
              <w:bottom w:val="single" w:sz="6" w:space="0" w:color="000000"/>
              <w:right w:val="nil"/>
            </w:tcBorders>
          </w:tcPr>
          <w:p w14:paraId="7EFA810E" w14:textId="77777777" w:rsidR="00377892" w:rsidRDefault="00377892">
            <w:pPr>
              <w:pStyle w:val="Tabletext"/>
            </w:pPr>
            <w:r>
              <w:t>36</w:t>
            </w:r>
          </w:p>
        </w:tc>
        <w:tc>
          <w:tcPr>
            <w:tcW w:w="831" w:type="dxa"/>
            <w:tcBorders>
              <w:top w:val="single" w:sz="6" w:space="0" w:color="000000"/>
              <w:left w:val="nil"/>
              <w:bottom w:val="single" w:sz="6" w:space="0" w:color="000000"/>
              <w:right w:val="nil"/>
            </w:tcBorders>
          </w:tcPr>
          <w:p w14:paraId="6B360280" w14:textId="77777777" w:rsidR="00377892" w:rsidRDefault="00377892">
            <w:pPr>
              <w:pStyle w:val="Tabletext"/>
            </w:pPr>
            <w:r>
              <w:t>40</w:t>
            </w:r>
          </w:p>
        </w:tc>
        <w:tc>
          <w:tcPr>
            <w:tcW w:w="746" w:type="dxa"/>
            <w:tcBorders>
              <w:top w:val="single" w:sz="6" w:space="0" w:color="000000"/>
              <w:left w:val="nil"/>
              <w:bottom w:val="single" w:sz="6" w:space="0" w:color="000000"/>
              <w:right w:val="nil"/>
            </w:tcBorders>
          </w:tcPr>
          <w:p w14:paraId="120AD1A1" w14:textId="77777777" w:rsidR="00377892" w:rsidRDefault="00377892">
            <w:pPr>
              <w:pStyle w:val="Tabletext"/>
            </w:pPr>
            <w:r>
              <w:t>44</w:t>
            </w:r>
          </w:p>
        </w:tc>
        <w:tc>
          <w:tcPr>
            <w:tcW w:w="746" w:type="dxa"/>
            <w:tcBorders>
              <w:top w:val="single" w:sz="6" w:space="0" w:color="000000"/>
              <w:left w:val="nil"/>
              <w:bottom w:val="single" w:sz="6" w:space="0" w:color="000000"/>
              <w:right w:val="nil"/>
            </w:tcBorders>
          </w:tcPr>
          <w:p w14:paraId="4418BAF8" w14:textId="77777777" w:rsidR="00377892" w:rsidRDefault="00377892">
            <w:pPr>
              <w:pStyle w:val="Tabletext"/>
            </w:pPr>
          </w:p>
        </w:tc>
        <w:tc>
          <w:tcPr>
            <w:tcW w:w="794" w:type="dxa"/>
            <w:tcBorders>
              <w:top w:val="single" w:sz="6" w:space="0" w:color="000000"/>
              <w:left w:val="nil"/>
              <w:bottom w:val="single" w:sz="6" w:space="0" w:color="000000"/>
              <w:right w:val="nil"/>
            </w:tcBorders>
          </w:tcPr>
          <w:p w14:paraId="03C99FC1" w14:textId="77777777" w:rsidR="00377892" w:rsidRDefault="00377892">
            <w:pPr>
              <w:pStyle w:val="Tabletext"/>
            </w:pPr>
          </w:p>
        </w:tc>
        <w:tc>
          <w:tcPr>
            <w:tcW w:w="794" w:type="dxa"/>
            <w:tcBorders>
              <w:top w:val="single" w:sz="6" w:space="0" w:color="000000"/>
              <w:left w:val="nil"/>
              <w:bottom w:val="single" w:sz="6" w:space="0" w:color="000000"/>
              <w:right w:val="nil"/>
            </w:tcBorders>
          </w:tcPr>
          <w:p w14:paraId="6902528D" w14:textId="77777777" w:rsidR="00377892" w:rsidRDefault="00377892">
            <w:pPr>
              <w:pStyle w:val="Tabletext"/>
            </w:pPr>
          </w:p>
        </w:tc>
        <w:tc>
          <w:tcPr>
            <w:tcW w:w="761" w:type="dxa"/>
            <w:tcBorders>
              <w:top w:val="single" w:sz="6" w:space="0" w:color="000000"/>
              <w:left w:val="nil"/>
              <w:bottom w:val="single" w:sz="6" w:space="0" w:color="000000"/>
            </w:tcBorders>
          </w:tcPr>
          <w:p w14:paraId="1925E835" w14:textId="77777777" w:rsidR="00377892" w:rsidRDefault="00377892">
            <w:pPr>
              <w:pStyle w:val="Tabletext"/>
            </w:pPr>
          </w:p>
        </w:tc>
      </w:tr>
      <w:tr w:rsidR="00377892" w14:paraId="463442F1" w14:textId="77777777">
        <w:tblPrEx>
          <w:tblCellMar>
            <w:top w:w="0" w:type="dxa"/>
            <w:bottom w:w="0" w:type="dxa"/>
          </w:tblCellMar>
        </w:tblPrEx>
        <w:tc>
          <w:tcPr>
            <w:tcW w:w="970" w:type="dxa"/>
          </w:tcPr>
          <w:p w14:paraId="54E91528" w14:textId="77777777" w:rsidR="00377892" w:rsidRDefault="00377892">
            <w:pPr>
              <w:pStyle w:val="Tabletext"/>
            </w:pPr>
            <w:r>
              <w:t>Type II</w:t>
            </w:r>
          </w:p>
        </w:tc>
        <w:tc>
          <w:tcPr>
            <w:tcW w:w="832" w:type="dxa"/>
            <w:tcBorders>
              <w:top w:val="single" w:sz="6" w:space="0" w:color="000000"/>
              <w:bottom w:val="double" w:sz="6" w:space="0" w:color="000000"/>
              <w:right w:val="nil"/>
            </w:tcBorders>
          </w:tcPr>
          <w:p w14:paraId="0CDD8403" w14:textId="77777777" w:rsidR="00377892" w:rsidRDefault="00377892">
            <w:pPr>
              <w:pStyle w:val="Tabletext"/>
            </w:pPr>
            <w:r>
              <w:t>26</w:t>
            </w:r>
          </w:p>
        </w:tc>
        <w:tc>
          <w:tcPr>
            <w:tcW w:w="831" w:type="dxa"/>
            <w:tcBorders>
              <w:top w:val="single" w:sz="6" w:space="0" w:color="000000"/>
              <w:left w:val="nil"/>
              <w:bottom w:val="double" w:sz="6" w:space="0" w:color="000000"/>
              <w:right w:val="nil"/>
            </w:tcBorders>
          </w:tcPr>
          <w:p w14:paraId="291E30D2" w14:textId="77777777" w:rsidR="00377892" w:rsidRDefault="00377892">
            <w:pPr>
              <w:pStyle w:val="Tabletext"/>
            </w:pPr>
            <w:r>
              <w:t>28</w:t>
            </w:r>
          </w:p>
        </w:tc>
        <w:tc>
          <w:tcPr>
            <w:tcW w:w="831" w:type="dxa"/>
            <w:tcBorders>
              <w:top w:val="single" w:sz="6" w:space="0" w:color="000000"/>
              <w:left w:val="nil"/>
              <w:bottom w:val="double" w:sz="6" w:space="0" w:color="000000"/>
              <w:right w:val="nil"/>
            </w:tcBorders>
          </w:tcPr>
          <w:p w14:paraId="0643B7F1" w14:textId="77777777" w:rsidR="00377892" w:rsidRDefault="00377892">
            <w:pPr>
              <w:pStyle w:val="Tabletext"/>
            </w:pPr>
            <w:r>
              <w:t>31</w:t>
            </w:r>
          </w:p>
        </w:tc>
        <w:tc>
          <w:tcPr>
            <w:tcW w:w="831" w:type="dxa"/>
            <w:tcBorders>
              <w:top w:val="single" w:sz="6" w:space="0" w:color="000000"/>
              <w:left w:val="nil"/>
              <w:bottom w:val="double" w:sz="6" w:space="0" w:color="000000"/>
              <w:right w:val="nil"/>
            </w:tcBorders>
          </w:tcPr>
          <w:p w14:paraId="6EF44F3F" w14:textId="77777777" w:rsidR="00377892" w:rsidRDefault="00377892">
            <w:pPr>
              <w:pStyle w:val="Tabletext"/>
            </w:pPr>
            <w:r>
              <w:t>34</w:t>
            </w:r>
          </w:p>
        </w:tc>
        <w:tc>
          <w:tcPr>
            <w:tcW w:w="746" w:type="dxa"/>
            <w:tcBorders>
              <w:top w:val="single" w:sz="6" w:space="0" w:color="000000"/>
              <w:left w:val="nil"/>
              <w:bottom w:val="double" w:sz="6" w:space="0" w:color="000000"/>
              <w:right w:val="nil"/>
            </w:tcBorders>
          </w:tcPr>
          <w:p w14:paraId="2D9114A8" w14:textId="77777777" w:rsidR="00377892" w:rsidRDefault="00377892">
            <w:pPr>
              <w:pStyle w:val="Tabletext"/>
            </w:pPr>
            <w:r>
              <w:t>38</w:t>
            </w:r>
          </w:p>
        </w:tc>
        <w:tc>
          <w:tcPr>
            <w:tcW w:w="746" w:type="dxa"/>
            <w:tcBorders>
              <w:top w:val="single" w:sz="6" w:space="0" w:color="000000"/>
              <w:left w:val="nil"/>
              <w:bottom w:val="double" w:sz="6" w:space="0" w:color="000000"/>
              <w:right w:val="nil"/>
            </w:tcBorders>
          </w:tcPr>
          <w:p w14:paraId="31D232BF" w14:textId="77777777" w:rsidR="00377892" w:rsidRDefault="00377892">
            <w:pPr>
              <w:pStyle w:val="Tabletext"/>
            </w:pPr>
            <w:r>
              <w:t>41</w:t>
            </w:r>
          </w:p>
        </w:tc>
        <w:tc>
          <w:tcPr>
            <w:tcW w:w="794" w:type="dxa"/>
            <w:tcBorders>
              <w:top w:val="single" w:sz="6" w:space="0" w:color="000000"/>
              <w:left w:val="nil"/>
              <w:bottom w:val="double" w:sz="6" w:space="0" w:color="000000"/>
              <w:right w:val="nil"/>
            </w:tcBorders>
          </w:tcPr>
          <w:p w14:paraId="67F18853" w14:textId="77777777" w:rsidR="00377892" w:rsidRDefault="00377892">
            <w:pPr>
              <w:pStyle w:val="Tabletext"/>
            </w:pPr>
            <w:r>
              <w:t>46</w:t>
            </w:r>
          </w:p>
        </w:tc>
        <w:tc>
          <w:tcPr>
            <w:tcW w:w="794" w:type="dxa"/>
            <w:tcBorders>
              <w:top w:val="single" w:sz="6" w:space="0" w:color="000000"/>
              <w:left w:val="nil"/>
              <w:bottom w:val="double" w:sz="6" w:space="0" w:color="000000"/>
              <w:right w:val="nil"/>
            </w:tcBorders>
          </w:tcPr>
          <w:p w14:paraId="3807C82C" w14:textId="77777777" w:rsidR="00377892" w:rsidRDefault="00377892">
            <w:pPr>
              <w:pStyle w:val="Tabletext"/>
            </w:pPr>
            <w:r>
              <w:t>50</w:t>
            </w:r>
          </w:p>
        </w:tc>
        <w:tc>
          <w:tcPr>
            <w:tcW w:w="761" w:type="dxa"/>
            <w:tcBorders>
              <w:top w:val="single" w:sz="6" w:space="0" w:color="000000"/>
              <w:left w:val="nil"/>
              <w:bottom w:val="double" w:sz="6" w:space="0" w:color="000000"/>
            </w:tcBorders>
          </w:tcPr>
          <w:p w14:paraId="1D9708AB" w14:textId="77777777" w:rsidR="00377892" w:rsidRDefault="00377892">
            <w:pPr>
              <w:pStyle w:val="Tabletext"/>
            </w:pPr>
            <w:r>
              <w:t>55</w:t>
            </w:r>
          </w:p>
        </w:tc>
      </w:tr>
    </w:tbl>
    <w:p w14:paraId="5DF8E194" w14:textId="77777777" w:rsidR="00377892" w:rsidRDefault="00377892">
      <w:pPr>
        <w:pStyle w:val="MTDisplayEquation"/>
        <w:tabs>
          <w:tab w:val="clear" w:pos="4320"/>
          <w:tab w:val="clear" w:pos="8640"/>
        </w:tabs>
      </w:pPr>
      <w:r>
        <w:t>In the “maintenance contract problem,” both options had the same duration: 5 years.  When the decision alternatives have different durations, new issues arise.  Co</w:t>
      </w:r>
      <w:r>
        <w:t>n</w:t>
      </w:r>
      <w:r>
        <w:t>sider the pro</w:t>
      </w:r>
      <w:r>
        <w:t>b</w:t>
      </w:r>
      <w:r>
        <w:t>lem facing PriceAndersonHouse.  It recruited administrative assistants from a number of schools, but there were two basic patterns.  Recruits from Type I schools were more expensive, co</w:t>
      </w:r>
      <w:r>
        <w:t>m</w:t>
      </w:r>
      <w:r>
        <w:t xml:space="preserve">manding starting salaries of $30,000.  Recruits from Type II schools less expensive, starting at $26,000.  However, recruits from School I tended to stay with the firm for only 5 years, moving on to other opportunities.  Recruits from School II </w:t>
      </w:r>
      <w:r>
        <w:lastRenderedPageBreak/>
        <w:t>stayed an average of  9 years.  Both types of recruit received regular raises du</w:t>
      </w:r>
      <w:r>
        <w:t>r</w:t>
      </w:r>
      <w:r>
        <w:t>ing their careers.  Exhibit 6 displays the average pay pa</w:t>
      </w:r>
      <w:r>
        <w:t>t</w:t>
      </w:r>
      <w:r>
        <w:t>terns for recruits from School I and from School II.</w:t>
      </w:r>
    </w:p>
    <w:p w14:paraId="2FF2D64A" w14:textId="77777777" w:rsidR="00377892" w:rsidRDefault="00377892">
      <w:pPr>
        <w:pStyle w:val="MTDisplayEquation"/>
        <w:tabs>
          <w:tab w:val="clear" w:pos="4320"/>
          <w:tab w:val="clear" w:pos="8640"/>
        </w:tabs>
      </w:pPr>
      <w:r>
        <w:t>The par</w:t>
      </w:r>
      <w:r>
        <w:t>t</w:t>
      </w:r>
      <w:r>
        <w:t>ners felt that the differences in productivity between these two types of recruits could be ignored</w:t>
      </w:r>
      <w:r>
        <w:sym w:font="Symbol" w:char="F0BE"/>
      </w:r>
      <w:r>
        <w:t>differences between individuals far outweighed the diffe</w:t>
      </w:r>
      <w:r>
        <w:t>r</w:t>
      </w:r>
      <w:r>
        <w:t>ences between the schools.  They were interested, however, in the cost difference b</w:t>
      </w:r>
      <w:r>
        <w:t>e</w:t>
      </w:r>
      <w:r>
        <w:t>tween the two career tracks.  Their di</w:t>
      </w:r>
      <w:r>
        <w:t>s</w:t>
      </w:r>
      <w:r>
        <w:t>count rate was 8%.</w:t>
      </w:r>
    </w:p>
    <w:p w14:paraId="1213A176" w14:textId="77777777" w:rsidR="00377892" w:rsidRDefault="00377892">
      <w:pPr>
        <w:pStyle w:val="MTDisplayEquation"/>
        <w:tabs>
          <w:tab w:val="clear" w:pos="4320"/>
          <w:tab w:val="clear" w:pos="8640"/>
        </w:tabs>
      </w:pPr>
      <w:r>
        <w:t>Taking the present value of both expense streams is easy with Excel.  Use =</w:t>
      </w:r>
      <w:r>
        <w:rPr>
          <w:rFonts w:ascii="Arial" w:hAnsi="Arial"/>
          <w:b/>
        </w:rPr>
        <w:t>NPV</w:t>
      </w:r>
      <w:r>
        <w:t>(0.08,[cell range]) to find the following:</w:t>
      </w:r>
    </w:p>
    <w:p w14:paraId="1625F7C6" w14:textId="77777777" w:rsidR="00377892" w:rsidRDefault="00377892">
      <w:pPr>
        <w:ind w:left="720" w:firstLine="0"/>
      </w:pPr>
      <w:r>
        <w:t>NPV (5 years) Type I Schools:</w:t>
      </w:r>
      <w:r>
        <w:tab/>
      </w:r>
      <w:r>
        <w:tab/>
      </w:r>
      <w:r>
        <w:tab/>
        <w:t>$142,579</w:t>
      </w:r>
      <w:r>
        <w:br/>
        <w:t>NPV (10 years) Type II Schools:</w:t>
      </w:r>
      <w:r>
        <w:tab/>
      </w:r>
      <w:r>
        <w:tab/>
        <w:t>$230,746</w:t>
      </w:r>
    </w:p>
    <w:p w14:paraId="499F1A7B" w14:textId="77777777" w:rsidR="00377892" w:rsidRDefault="00377892">
      <w:pPr>
        <w:pStyle w:val="nodent"/>
      </w:pPr>
      <w:r>
        <w:t xml:space="preserve">The Type II recruits are more expensive.  But </w:t>
      </w:r>
      <w:r>
        <w:rPr>
          <w:i/>
          <w:iCs/>
        </w:rPr>
        <w:t>of course</w:t>
      </w:r>
      <w:r>
        <w:t xml:space="preserve"> they are, they stay almost twice as long!  The simple present value computation is not really useful in comparing these two alternatives. The pro</w:t>
      </w:r>
      <w:r>
        <w:t>b</w:t>
      </w:r>
      <w:r>
        <w:t>lem is that the durations differ.  Put differently, the comparison in year 6-9 between $0 for Type I and $40-59K for Type II is not accurate.  If a Type I person leaves, they have to be r</w:t>
      </w:r>
      <w:r>
        <w:t>e</w:t>
      </w:r>
      <w:r>
        <w:t>placed.  So the company is paying someone to do that work during years 6-9.  What numbers should we put in those four empty cells?  If we start to repeat the Type I salaries, assuming a</w:t>
      </w:r>
      <w:r>
        <w:t>n</w:t>
      </w:r>
      <w:r>
        <w:t>other Type I is hired, the series now goes out to year 10.  Now the series for Type II needs to be e</w:t>
      </w:r>
      <w:r>
        <w:t>x</w:t>
      </w:r>
      <w:r>
        <w:t xml:space="preserve">tended, and so on. </w:t>
      </w:r>
    </w:p>
    <w:p w14:paraId="77C7B952" w14:textId="77777777" w:rsidR="00377892" w:rsidRDefault="00377892">
      <w:r>
        <w:t>There is a simpler way.  Rather than extend the series, let’s annualize each pr</w:t>
      </w:r>
      <w:r>
        <w:t>e</w:t>
      </w:r>
      <w:r>
        <w:t xml:space="preserve">sent value.  That is, turn $142,759 into a 5-year annuity at 8%.  Using Excel, </w:t>
      </w:r>
      <w:r>
        <w:rPr>
          <w:rFonts w:ascii="Arial" w:hAnsi="Arial"/>
          <w:b/>
        </w:rPr>
        <w:t>PMT</w:t>
      </w:r>
      <w:r>
        <w:t xml:space="preserve">(0.08,5,-142759)=$35,710.  That means that a Type I recruit’s salary expense is equivalent to an annual </w:t>
      </w:r>
      <w:r>
        <w:rPr>
          <w:i/>
          <w:iCs/>
        </w:rPr>
        <w:t>constant</w:t>
      </w:r>
      <w:r>
        <w:t xml:space="preserve"> payment of $35,710.  That pattern is very easy to extend beyond the fifth year</w:t>
      </w:r>
      <w:r>
        <w:sym w:font="Symbol" w:char="F0BE"/>
      </w:r>
      <w:r>
        <w:t>it just stays constant.  Sim</w:t>
      </w:r>
      <w:r>
        <w:t>i</w:t>
      </w:r>
      <w:r>
        <w:t xml:space="preserve">larly, the 9-year annuity for Type II recruits is </w:t>
      </w:r>
      <w:r>
        <w:rPr>
          <w:rFonts w:ascii="Arial" w:hAnsi="Arial"/>
          <w:b/>
        </w:rPr>
        <w:t>PMT</w:t>
      </w:r>
      <w:r>
        <w:t>(0.08,9,-239746)=$34,388.  Now we have two numbers that are compar</w:t>
      </w:r>
      <w:r>
        <w:t>a</w:t>
      </w:r>
      <w:r>
        <w:t>ble:  $35.7K for Type I and $34.4K for Type II.</w:t>
      </w:r>
    </w:p>
    <w:p w14:paraId="441D7A6C" w14:textId="77777777" w:rsidR="00377892" w:rsidRDefault="00377892">
      <w:pPr>
        <w:pStyle w:val="MTDisplayEquation"/>
        <w:tabs>
          <w:tab w:val="clear" w:pos="4320"/>
          <w:tab w:val="clear" w:pos="8640"/>
        </w:tabs>
      </w:pPr>
      <w:r>
        <w:t>So, the Type II recruits are cheaper.  Notice that we used present values (or pr</w:t>
      </w:r>
      <w:r>
        <w:t>e</w:t>
      </w:r>
      <w:r>
        <w:t>sent costs) in getting this answer, but the present value numbers were then inputs to the annuity-value calculation.  The key assumption in this analysis was that the pa</w:t>
      </w:r>
      <w:r>
        <w:t>t</w:t>
      </w:r>
      <w:r>
        <w:t>terns will repeat indefinitely, so that the comparison of annuity values makes sense.  If you demand present values rather than annuity values, they are easy to get:  just divide the infinite a</w:t>
      </w:r>
      <w:r>
        <w:t>n</w:t>
      </w:r>
      <w:r>
        <w:t>nuity value by the discount rate.  That is, for Type I the present value of an infinite stream of hires is 35.7/.08 = $446K, and the present value of an infinite stream of Type II r</w:t>
      </w:r>
      <w:r>
        <w:t>e</w:t>
      </w:r>
      <w:r>
        <w:t>cruits is 34.4/.08=$430K.</w:t>
      </w:r>
    </w:p>
    <w:p w14:paraId="39EE4FFC" w14:textId="77777777" w:rsidR="00377892" w:rsidRDefault="00377892">
      <w:r>
        <w:t>To summarize:  If you want to compare options of different duration, and are willing to a</w:t>
      </w:r>
      <w:r>
        <w:t>s</w:t>
      </w:r>
      <w:r>
        <w:t>sume that each option is repeated indefinitely, then the easiest method is to (1) get the NPV of the cash flows, and (2) convert the PV to an annuity using the PMT function.  To get the NPV of the infinite s</w:t>
      </w:r>
      <w:r>
        <w:t>e</w:t>
      </w:r>
      <w:r>
        <w:t>quence of repetitions, (3) divide the annuity amount by the discount rate.</w:t>
      </w:r>
    </w:p>
    <w:p w14:paraId="067F4CB8" w14:textId="77777777" w:rsidR="00377892" w:rsidRDefault="00377892">
      <w:r>
        <w:t>There is another way of doing this calculation. You could instead use the present value formula for repeated patterns.  If a pattern lasting T years has present value V, and the pattern is repeated indefinitely every T years, then the present value of the infinite stream of repeated pa</w:t>
      </w:r>
      <w:r>
        <w:t>t</w:t>
      </w:r>
      <w:r>
        <w:t>terns is</w:t>
      </w:r>
    </w:p>
    <w:p w14:paraId="5CAEDDF9" w14:textId="77777777" w:rsidR="00377892" w:rsidRDefault="00377892">
      <w:pPr>
        <w:pStyle w:val="MTDisplayEquation"/>
      </w:pPr>
      <w:r>
        <w:lastRenderedPageBreak/>
        <w:tab/>
      </w:r>
      <w:r>
        <w:rPr>
          <w:position w:val="-62"/>
        </w:rPr>
        <w:object w:dxaOrig="1620" w:dyaOrig="980" w14:anchorId="42A26067">
          <v:shape id="_x0000_i1035" type="#_x0000_t75" style="width:81pt;height:48.75pt" o:ole="">
            <v:imagedata r:id="rId32" o:title=""/>
          </v:shape>
          <o:OLEObject Type="Embed" ProgID="Equation.DSMT4" ShapeID="_x0000_i1035" DrawAspect="Content" ObjectID="_1837601742" r:id="rId33"/>
        </w:object>
      </w:r>
      <w: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90BFC">
          <w:rPr>
            <w:noProof/>
          </w:rPr>
          <w:instrText>4</w:instrText>
        </w:r>
      </w:fldSimple>
      <w:r>
        <w:instrText>)</w:instrText>
      </w:r>
      <w:r>
        <w:fldChar w:fldCharType="end"/>
      </w:r>
    </w:p>
    <w:p w14:paraId="3B867CF6" w14:textId="77777777" w:rsidR="00377892" w:rsidRDefault="00377892">
      <w:pPr>
        <w:pStyle w:val="Heading3"/>
      </w:pPr>
    </w:p>
    <w:p w14:paraId="3174CB99" w14:textId="77777777" w:rsidR="00377892" w:rsidRDefault="00377892">
      <w:pPr>
        <w:pStyle w:val="Heading3"/>
      </w:pPr>
      <w:r>
        <w:t>Exercises</w:t>
      </w:r>
    </w:p>
    <w:p w14:paraId="68B38B70" w14:textId="77777777" w:rsidR="00377892" w:rsidRDefault="00377892">
      <w:pPr>
        <w:pStyle w:val="nodent"/>
        <w:rPr>
          <w:b/>
          <w:bCs/>
          <w:i/>
          <w:iCs/>
        </w:rPr>
      </w:pPr>
      <w:r>
        <w:rPr>
          <w:b/>
          <w:bCs/>
          <w:i/>
          <w:iCs/>
        </w:rPr>
        <w:t>Don’t look at the answers until you have worked these out.</w:t>
      </w:r>
    </w:p>
    <w:p w14:paraId="4AF9463E" w14:textId="77777777" w:rsidR="00377892" w:rsidRDefault="00377892">
      <w:pPr>
        <w:numPr>
          <w:ilvl w:val="0"/>
          <w:numId w:val="7"/>
        </w:numPr>
      </w:pPr>
      <w:r>
        <w:t>What is the present value of $100 received 10 years from now? Use a discount rate of 9%.</w:t>
      </w:r>
    </w:p>
    <w:p w14:paraId="58088A58" w14:textId="77777777" w:rsidR="00377892" w:rsidRDefault="00377892">
      <w:pPr>
        <w:numPr>
          <w:ilvl w:val="0"/>
          <w:numId w:val="7"/>
        </w:numPr>
      </w:pPr>
      <w:r>
        <w:t>What is the present value of $100 received each year for the next 10 years, starting at the end of this year, discounted at 10%?</w:t>
      </w:r>
    </w:p>
    <w:p w14:paraId="5AB0394B" w14:textId="77777777" w:rsidR="00377892" w:rsidRDefault="00377892">
      <w:pPr>
        <w:numPr>
          <w:ilvl w:val="0"/>
          <w:numId w:val="7"/>
        </w:numPr>
      </w:pPr>
      <w:r>
        <w:t>What is the answer to question 2 if the ten payments start immediately instead of one year from now?</w:t>
      </w:r>
    </w:p>
    <w:p w14:paraId="3592DE98" w14:textId="77777777" w:rsidR="00377892" w:rsidRDefault="00377892">
      <w:pPr>
        <w:numPr>
          <w:ilvl w:val="0"/>
          <w:numId w:val="7"/>
        </w:numPr>
      </w:pPr>
      <w:r>
        <w:t>A 30-year mortgage loan on $600,000 is offered at a nominal interest rate of 7.25%.  What is the monthly payment?</w:t>
      </w:r>
    </w:p>
    <w:p w14:paraId="5E7239B8" w14:textId="77777777" w:rsidR="00377892" w:rsidRDefault="00377892">
      <w:pPr>
        <w:numPr>
          <w:ilvl w:val="0"/>
          <w:numId w:val="7"/>
        </w:numPr>
      </w:pPr>
      <w:r>
        <w:t>Joanne would like to have $1,000,000 put aside for retirement by the time she reaches age 65, 40 years from now.  How much should she put aside each year to a</w:t>
      </w:r>
      <w:r>
        <w:t>c</w:t>
      </w:r>
      <w:r>
        <w:t>cumulate this sum, assu</w:t>
      </w:r>
      <w:r>
        <w:t>m</w:t>
      </w:r>
      <w:r>
        <w:t>ing a discount (interest) rate of 7%?</w:t>
      </w:r>
    </w:p>
    <w:p w14:paraId="5F1D3324" w14:textId="77777777" w:rsidR="00377892" w:rsidRDefault="00377892">
      <w:pPr>
        <w:numPr>
          <w:ilvl w:val="0"/>
          <w:numId w:val="7"/>
        </w:numPr>
      </w:pPr>
      <w:r>
        <w:t>Joanne believes that her income will grow at about 2% per year over the next 40 years.  She would like to put aside each year a fixed fraction of her (growing) i</w:t>
      </w:r>
      <w:r>
        <w:t>n</w:t>
      </w:r>
      <w:r>
        <w:t>come.  How much should she put aside this year to start accumulating the $1 million she wants at the end of 40 years?</w:t>
      </w:r>
    </w:p>
    <w:p w14:paraId="7E3FCA1C" w14:textId="77777777" w:rsidR="00377892" w:rsidRDefault="00377892">
      <w:pPr>
        <w:numPr>
          <w:ilvl w:val="0"/>
          <w:numId w:val="7"/>
        </w:numPr>
      </w:pPr>
      <w:r>
        <w:t>A company is buying a machine that will last about 5 years.  Management estimates that maintenance will cost $100,000 the first year and increase by 10% each year thereafter.  The selling company offers a 3-year maintenance contract for $125,000. At the end of the contract, another 3-year contract can be purchased for the same price.  If the company’s discount rate is 8%, which is the better deal?</w:t>
      </w:r>
    </w:p>
    <w:p w14:paraId="703992CC" w14:textId="77777777" w:rsidR="00377892" w:rsidRDefault="00377892">
      <w:pPr>
        <w:pStyle w:val="Heading3"/>
      </w:pPr>
      <w:r>
        <w:br w:type="page"/>
      </w:r>
      <w:r>
        <w:lastRenderedPageBreak/>
        <w:t>Answers</w:t>
      </w:r>
    </w:p>
    <w:p w14:paraId="6BC19B69" w14:textId="77777777" w:rsidR="00377892" w:rsidRDefault="00377892">
      <w:pPr>
        <w:numPr>
          <w:ilvl w:val="0"/>
          <w:numId w:val="8"/>
        </w:numPr>
      </w:pPr>
      <w:r>
        <w:rPr>
          <w:position w:val="-32"/>
        </w:rPr>
        <w:object w:dxaOrig="3159" w:dyaOrig="700" w14:anchorId="7A6EAB83">
          <v:shape id="_x0000_i1036" type="#_x0000_t75" style="width:158.25pt;height:35.25pt" o:ole="">
            <v:imagedata r:id="rId34" o:title=""/>
          </v:shape>
          <o:OLEObject Type="Embed" ProgID="Equation.DSMT4" ShapeID="_x0000_i1036" DrawAspect="Content" ObjectID="_1837601743" r:id="rId35"/>
        </w:object>
      </w:r>
      <w:r>
        <w:t>.</w:t>
      </w:r>
    </w:p>
    <w:p w14:paraId="7D73FC5C" w14:textId="77777777" w:rsidR="00377892" w:rsidRDefault="00377892">
      <w:pPr>
        <w:numPr>
          <w:ilvl w:val="0"/>
          <w:numId w:val="8"/>
        </w:numPr>
      </w:pPr>
      <w:r>
        <w:t>Excel function PV(0.1,10,-100) = $614.46.</w:t>
      </w:r>
    </w:p>
    <w:p w14:paraId="65A540F1" w14:textId="77777777" w:rsidR="00377892" w:rsidRDefault="00377892">
      <w:pPr>
        <w:numPr>
          <w:ilvl w:val="0"/>
          <w:numId w:val="8"/>
        </w:numPr>
      </w:pPr>
      <w:r>
        <w:t>Multiply by 1.1 to bring it forward one year.  614.46(1.1)=$675.9.</w:t>
      </w:r>
    </w:p>
    <w:p w14:paraId="0FB95092" w14:textId="77777777" w:rsidR="00377892" w:rsidRDefault="00377892">
      <w:pPr>
        <w:numPr>
          <w:ilvl w:val="0"/>
          <w:numId w:val="8"/>
        </w:numPr>
      </w:pPr>
      <w:r>
        <w:t xml:space="preserve">Excel </w:t>
      </w:r>
      <w:r>
        <w:rPr>
          <w:rFonts w:ascii="Arial" w:hAnsi="Arial"/>
          <w:b/>
        </w:rPr>
        <w:t>PMT</w:t>
      </w:r>
      <w:r>
        <w:t>(0.0725/12, 360, -600000) = $4,093.06.</w:t>
      </w:r>
    </w:p>
    <w:p w14:paraId="53549D8C" w14:textId="77777777" w:rsidR="00377892" w:rsidRDefault="00377892">
      <w:pPr>
        <w:numPr>
          <w:ilvl w:val="0"/>
          <w:numId w:val="8"/>
        </w:numPr>
        <w:jc w:val="left"/>
      </w:pPr>
      <w:r>
        <w:t xml:space="preserve">Two approaches. (A) The present value of $1 million received 40 years from now at 7% is </w:t>
      </w:r>
      <w:r>
        <w:rPr>
          <w:position w:val="-6"/>
        </w:rPr>
        <w:object w:dxaOrig="1400" w:dyaOrig="360" w14:anchorId="02B6BAF4">
          <v:shape id="_x0000_i1037" type="#_x0000_t75" style="width:69.75pt;height:18pt" o:ole="">
            <v:imagedata r:id="rId36" o:title=""/>
          </v:shape>
          <o:OLEObject Type="Embed" ProgID="Equation.DSMT4" ShapeID="_x0000_i1037" DrawAspect="Content" ObjectID="_1837601744" r:id="rId37"/>
        </w:object>
      </w:r>
      <w:r>
        <w:t>=$66780.  The 40-year level annuity associated with this pr</w:t>
      </w:r>
      <w:r>
        <w:t>e</w:t>
      </w:r>
      <w:r>
        <w:t xml:space="preserve">sent value is Excel </w:t>
      </w:r>
      <w:r>
        <w:rPr>
          <w:rFonts w:ascii="Arial" w:hAnsi="Arial"/>
          <w:b/>
        </w:rPr>
        <w:t>PMT</w:t>
      </w:r>
      <w:r>
        <w:t>(0.07,40, -66780) = $5009 per year.  (B) Simply use the E</w:t>
      </w:r>
      <w:r>
        <w:t>x</w:t>
      </w:r>
      <w:r>
        <w:t xml:space="preserve">cel </w:t>
      </w:r>
      <w:r>
        <w:rPr>
          <w:rFonts w:ascii="Arial" w:hAnsi="Arial"/>
          <w:b/>
        </w:rPr>
        <w:t>PMT</w:t>
      </w:r>
      <w:r>
        <w:t xml:space="preserve"> function with the future value option rather than the present value option (see Excel Help).  </w:t>
      </w:r>
      <w:r>
        <w:rPr>
          <w:rFonts w:ascii="Arial" w:hAnsi="Arial"/>
          <w:b/>
        </w:rPr>
        <w:t>PMT</w:t>
      </w:r>
      <w:r>
        <w:t>(0.07, 40, , -1000000) = $5009.</w:t>
      </w:r>
    </w:p>
    <w:p w14:paraId="702CD9A6" w14:textId="77777777" w:rsidR="00377892" w:rsidRDefault="00377892">
      <w:pPr>
        <w:numPr>
          <w:ilvl w:val="0"/>
          <w:numId w:val="8"/>
        </w:numPr>
      </w:pPr>
      <w:r>
        <w:t>Set up an Excel worksheet with an amount saved at the end of year 1 (say $1000), growing by 2% each year thereafter.  Pay interest on the beginning balance at 7% per year.  Use goal seek to find a final balance of $1 million.  Find that the answer is $3916.5.</w:t>
      </w:r>
    </w:p>
    <w:p w14:paraId="03A6B4B0" w14:textId="77777777" w:rsidR="00377892" w:rsidRDefault="00377892">
      <w:pPr>
        <w:numPr>
          <w:ilvl w:val="0"/>
          <w:numId w:val="8"/>
        </w:numPr>
      </w:pPr>
      <w:r>
        <w:t>Set up a worksheet with the growing payment stream (100, 110, 121, 133.1, 146.41) and get its NPV at 8% to be $480.43K.  Convert this to an annuity using PMT(0.08,5,-480.43) = $120.33K.  The other stream is already an annuity at $125K.  The self-maintenance option is less expensive.</w:t>
      </w:r>
    </w:p>
    <w:sectPr w:rsidR="00377892">
      <w:type w:val="continuous"/>
      <w:pgSz w:w="12240" w:h="15840" w:code="1"/>
      <w:pgMar w:top="1440" w:right="25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3E32" w14:textId="77777777" w:rsidR="00D31F37" w:rsidRDefault="00D31F37">
      <w:pPr>
        <w:spacing w:before="0"/>
      </w:pPr>
      <w:r>
        <w:separator/>
      </w:r>
    </w:p>
  </w:endnote>
  <w:endnote w:type="continuationSeparator" w:id="0">
    <w:p w14:paraId="6D54A758" w14:textId="77777777" w:rsidR="00D31F37" w:rsidRDefault="00D31F3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6898" w14:textId="77777777" w:rsidR="00AB6344" w:rsidRDefault="00AB63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5ADB" w14:textId="77777777" w:rsidR="00377892" w:rsidRDefault="00377892">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A6AB" w14:textId="77777777" w:rsidR="00377892" w:rsidRDefault="00377892">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D23A" w14:textId="77777777" w:rsidR="00D31F37" w:rsidRDefault="00D31F37">
      <w:pPr>
        <w:spacing w:before="0"/>
      </w:pPr>
      <w:r>
        <w:separator/>
      </w:r>
    </w:p>
  </w:footnote>
  <w:footnote w:type="continuationSeparator" w:id="0">
    <w:p w14:paraId="17595682" w14:textId="77777777" w:rsidR="00D31F37" w:rsidRDefault="00D31F37">
      <w:pPr>
        <w:spacing w:before="0"/>
      </w:pPr>
      <w:r>
        <w:continuationSeparator/>
      </w:r>
    </w:p>
  </w:footnote>
  <w:footnote w:id="1">
    <w:p w14:paraId="25D9E8BE" w14:textId="77777777" w:rsidR="00377892" w:rsidRDefault="00377892">
      <w:pPr>
        <w:pStyle w:val="FootnoteText"/>
      </w:pPr>
      <w:r>
        <w:rPr>
          <w:rStyle w:val="FootnoteReference"/>
        </w:rPr>
        <w:footnoteRef/>
      </w:r>
      <w:r>
        <w:t xml:space="preserve"> If you memorize the order of variables in this formula you know the rest. The order is r,N,X,PV.  That ordering is preserved for the parameters in each of the other formulae (that is, remove the dependent var</w:t>
      </w:r>
      <w:r>
        <w:t>i</w:t>
      </w:r>
      <w:r>
        <w:t>able and you have the parameters on the right).</w:t>
      </w:r>
    </w:p>
  </w:footnote>
  <w:footnote w:id="2">
    <w:p w14:paraId="33C29A30" w14:textId="77777777" w:rsidR="00377892" w:rsidRDefault="00377892">
      <w:pPr>
        <w:pStyle w:val="FootnoteText"/>
      </w:pPr>
      <w:r>
        <w:rPr>
          <w:rStyle w:val="FootnoteReference"/>
        </w:rPr>
        <w:footnoteRef/>
      </w:r>
      <w:r>
        <w:t xml:space="preserve"> If the cash flows do not occur at even intervals, check out Excel function XNPV.  It takes as input a vector of cash flows and a second vector of dates.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540E" w14:textId="77777777" w:rsidR="00AB6344" w:rsidRDefault="00AB63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EF9E" w14:textId="1A424DA3" w:rsidR="00377892" w:rsidRDefault="00377892">
    <w:pPr>
      <w:pStyle w:val="Header"/>
      <w:tabs>
        <w:tab w:val="clear" w:pos="8640"/>
        <w:tab w:val="right" w:pos="8550"/>
        <w:tab w:val="right" w:pos="12870"/>
      </w:tabs>
      <w:spacing w:before="0"/>
      <w:ind w:firstLine="0"/>
    </w:pPr>
    <w:r>
      <w:rPr>
        <w:rFonts w:ascii="Arial" w:hAnsi="Arial" w:cs="Arial"/>
        <w:bCs/>
        <w:kern w:val="28"/>
      </w:rPr>
      <w:t>Cost and Value Over Time</w:t>
    </w:r>
    <w:r>
      <w:tab/>
    </w:r>
    <w:r>
      <w:rPr>
        <w:rStyle w:val="PageNumber"/>
      </w:rPr>
      <w:fldChar w:fldCharType="begin"/>
    </w:r>
    <w:r>
      <w:rPr>
        <w:rStyle w:val="PageNumber"/>
      </w:rPr>
      <w:instrText xml:space="preserve"> PAGE </w:instrText>
    </w:r>
    <w:r>
      <w:rPr>
        <w:rStyle w:val="PageNumber"/>
      </w:rPr>
      <w:fldChar w:fldCharType="separate"/>
    </w:r>
    <w:r w:rsidR="00990BFC">
      <w:rPr>
        <w:rStyle w:val="PageNumber"/>
        <w:noProof/>
      </w:rPr>
      <w:t>8</w:t>
    </w:r>
    <w:r>
      <w:rPr>
        <w:rStyle w:val="PageNumber"/>
      </w:rPr>
      <w:fldChar w:fldCharType="end"/>
    </w:r>
    <w:r>
      <w:tab/>
    </w:r>
  </w:p>
  <w:p w14:paraId="493C4FE6" w14:textId="77777777" w:rsidR="00377892" w:rsidRDefault="00377892">
    <w:pPr>
      <w:pStyle w:val="Header"/>
      <w:tabs>
        <w:tab w:val="clear" w:pos="4320"/>
        <w:tab w:val="right" w:pos="8640"/>
      </w:tabs>
      <w:spacing w:before="0"/>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6CBA" w14:textId="77777777" w:rsidR="00377892" w:rsidRDefault="00377892">
    <w:pPr>
      <w:pStyle w:val="Header"/>
      <w:tabs>
        <w:tab w:val="clear" w:pos="4320"/>
        <w:tab w:val="right" w:pos="8640"/>
      </w:tabs>
      <w:spacing w:before="0"/>
      <w:ind w:firstLin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7B26279"/>
    <w:multiLevelType w:val="hybridMultilevel"/>
    <w:tmpl w:val="34D67B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3747B6D"/>
    <w:multiLevelType w:val="hybridMultilevel"/>
    <w:tmpl w:val="90D47F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F0052A4"/>
    <w:multiLevelType w:val="hybridMultilevel"/>
    <w:tmpl w:val="36ACC8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603645D0"/>
    <w:multiLevelType w:val="hybridMultilevel"/>
    <w:tmpl w:val="E1C02D6C"/>
    <w:lvl w:ilvl="0" w:tplc="FC76DDBA">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78393495">
    <w:abstractNumId w:val="5"/>
  </w:num>
  <w:num w:numId="2" w16cid:durableId="1571765176">
    <w:abstractNumId w:val="4"/>
  </w:num>
  <w:num w:numId="3" w16cid:durableId="1219514624">
    <w:abstractNumId w:val="3"/>
  </w:num>
  <w:num w:numId="4" w16cid:durableId="881088957">
    <w:abstractNumId w:val="0"/>
  </w:num>
  <w:num w:numId="5" w16cid:durableId="1933395632">
    <w:abstractNumId w:val="6"/>
  </w:num>
  <w:num w:numId="6" w16cid:durableId="207378474">
    <w:abstractNumId w:val="7"/>
  </w:num>
  <w:num w:numId="7" w16cid:durableId="502555445">
    <w:abstractNumId w:val="1"/>
  </w:num>
  <w:num w:numId="8" w16cid:durableId="1103304763">
    <w:abstractNumId w:val="8"/>
  </w:num>
  <w:num w:numId="9" w16cid:durableId="972633421">
    <w:abstractNumId w:val="2"/>
  </w:num>
  <w:num w:numId="10" w16cid:durableId="436754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displayHorizontalDrawingGridEvery w:val="0"/>
  <w:displayVerticalDrawingGridEvery w:val="0"/>
  <w:doNotUseMarginsForDrawingGridOrigin/>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4205"/>
    <w:rsid w:val="00377892"/>
    <w:rsid w:val="0059543B"/>
    <w:rsid w:val="00627B86"/>
    <w:rsid w:val="00806DDF"/>
    <w:rsid w:val="00990BFC"/>
    <w:rsid w:val="00AB6344"/>
    <w:rsid w:val="00D20FB4"/>
    <w:rsid w:val="00D24205"/>
    <w:rsid w:val="00D31F37"/>
    <w:rsid w:val="00EC7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fill="f" fillcolor="window" stroke="f">
      <v:fill color="window" on="f"/>
      <v:stroke on="f"/>
    </o:shapedefaults>
    <o:shapelayout v:ext="edit">
      <o:idmap v:ext="edit" data="2"/>
    </o:shapelayout>
  </w:shapeDefaults>
  <w:decimalSymbol w:val="."/>
  <w:listSeparator w:val=","/>
  <w14:docId w14:val="02B1F359"/>
  <w15:chartTrackingRefBased/>
  <w15:docId w15:val="{2947BB6D-2E9D-4587-AFE9-7C76DF6A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ind w:firstLine="720"/>
      <w:jc w:val="both"/>
    </w:pPr>
    <w:rPr>
      <w:sz w:val="22"/>
    </w:rPr>
  </w:style>
  <w:style w:type="paragraph" w:styleId="Heading1">
    <w:name w:val="heading 1"/>
    <w:basedOn w:val="Normal"/>
    <w:next w:val="Normal"/>
    <w:qFormat/>
    <w:pPr>
      <w:keepNext/>
      <w:spacing w:before="240" w:after="60"/>
      <w:ind w:firstLine="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after="60"/>
      <w:jc w:val="center"/>
      <w:outlineLvl w:val="2"/>
    </w:pPr>
    <w:rPr>
      <w:rFonts w:ascii="Arial" w:hAnsi="Arial" w:cs="Arial"/>
      <w:b/>
      <w:bCs/>
      <w:kern w:val="24"/>
      <w:sz w:val="24"/>
    </w:rPr>
  </w:style>
  <w:style w:type="paragraph" w:styleId="Heading4">
    <w:name w:val="heading 4"/>
    <w:basedOn w:val="Normal"/>
    <w:next w:val="Normal"/>
    <w:qFormat/>
    <w:pPr>
      <w:keepNext/>
      <w:ind w:hanging="10"/>
      <w:outlineLvl w:val="3"/>
    </w:pPr>
    <w:rPr>
      <w:rFonts w:ascii="Arial" w:hAnsi="Arial" w:cs="Arial"/>
      <w:b/>
      <w:bCs/>
      <w:sz w:val="20"/>
    </w:rPr>
  </w:style>
  <w:style w:type="paragraph" w:styleId="Heading5">
    <w:name w:val="heading 5"/>
    <w:basedOn w:val="Normal"/>
    <w:next w:val="Normal"/>
    <w:qFormat/>
    <w:pPr>
      <w:keepNext/>
      <w:jc w:val="center"/>
      <w:outlineLvl w:val="4"/>
    </w:pPr>
    <w:rPr>
      <w:b/>
      <w:bCs/>
    </w:rPr>
  </w:style>
  <w:style w:type="paragraph" w:styleId="Heading7">
    <w:name w:val="heading 7"/>
    <w:basedOn w:val="Normal"/>
    <w:next w:val="Normal"/>
    <w:qFormat/>
    <w:pPr>
      <w:keepNext/>
      <w:ind w:firstLine="0"/>
      <w:jc w:val="center"/>
      <w:outlineLvl w:val="6"/>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dent">
    <w:name w:val="nodent"/>
    <w:basedOn w:val="Normal"/>
    <w:pPr>
      <w:ind w:firstLine="0"/>
    </w:pPr>
  </w:style>
  <w:style w:type="paragraph" w:customStyle="1" w:styleId="MTDisplayEquation">
    <w:name w:val="MTDisplayEquation"/>
    <w:basedOn w:val="Normal"/>
    <w:pPr>
      <w:tabs>
        <w:tab w:val="center" w:pos="4320"/>
        <w:tab w:val="right" w:pos="8640"/>
      </w:tabs>
    </w:pPr>
  </w:style>
  <w:style w:type="paragraph" w:styleId="FootnoteText">
    <w:name w:val="footnote text"/>
    <w:basedOn w:val="Normal"/>
    <w:semiHidden/>
    <w:pPr>
      <w:ind w:firstLine="180"/>
    </w:pPr>
    <w:rPr>
      <w:sz w:val="20"/>
    </w:rPr>
  </w:style>
  <w:style w:type="character" w:styleId="FootnoteReference">
    <w:name w:val="footnote reference"/>
    <w:semiHidden/>
    <w:rPr>
      <w:vertAlign w:val="superscript"/>
    </w:rPr>
  </w:style>
  <w:style w:type="paragraph" w:customStyle="1" w:styleId="item">
    <w:name w:val="item"/>
    <w:basedOn w:val="nodent"/>
    <w:pPr>
      <w:tabs>
        <w:tab w:val="left" w:pos="1080"/>
      </w:tabs>
      <w:ind w:left="1080" w:hanging="360"/>
    </w:pPr>
  </w:style>
  <w:style w:type="character" w:customStyle="1" w:styleId="MTEquationSection">
    <w:name w:val="MTEquationSection"/>
    <w:rPr>
      <w:vanish/>
      <w:color w:val="FF000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odyText">
    <w:name w:val="Body Text"/>
    <w:basedOn w:val="Normal"/>
    <w:pPr>
      <w:ind w:firstLine="0"/>
    </w:pPr>
    <w:rPr>
      <w:sz w:val="24"/>
      <w:szCs w:val="24"/>
    </w:rPr>
  </w:style>
  <w:style w:type="paragraph" w:customStyle="1" w:styleId="Exhibit">
    <w:name w:val="Exhibit"/>
    <w:basedOn w:val="Normal"/>
    <w:pPr>
      <w:spacing w:after="120"/>
      <w:jc w:val="center"/>
    </w:pPr>
    <w:rPr>
      <w:b/>
      <w:bCs/>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customStyle="1" w:styleId="Tabletext">
    <w:name w:val="Table_text"/>
    <w:basedOn w:val="Normal"/>
    <w:pPr>
      <w:ind w:left="142" w:firstLine="0"/>
    </w:pPr>
    <w:rPr>
      <w:rFonts w:ascii="Arial" w:hAnsi="Arial"/>
      <w:sz w:val="20"/>
    </w:rPr>
  </w:style>
  <w:style w:type="character" w:styleId="FollowedHyperlink">
    <w:name w:val="FollowedHyperlink"/>
    <w:rPr>
      <w:color w:val="800080"/>
      <w:u w:val="single"/>
    </w:rPr>
  </w:style>
  <w:style w:type="paragraph" w:customStyle="1" w:styleId="AGSM">
    <w:name w:val="AGSM"/>
    <w:basedOn w:val="Heading1"/>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pPr>
      <w:framePr w:hSpace="180" w:wrap="notBeside" w:vAnchor="text" w:hAnchor="margin" w:y="-324"/>
      <w:spacing w:before="120" w:after="0"/>
      <w:jc w:val="right"/>
    </w:pPr>
    <w:rPr>
      <w:rFonts w:cs="Arial"/>
      <w:b w:val="0"/>
      <w:bCs/>
      <w:sz w:val="22"/>
    </w:rPr>
  </w:style>
  <w:style w:type="paragraph" w:customStyle="1" w:styleId="Copyright">
    <w:name w:val="Copyright"/>
    <w:basedOn w:val="Heading4"/>
    <w:rPr>
      <w:b w:val="0"/>
      <w:bCs w:val="0"/>
      <w:sz w:val="18"/>
    </w:rPr>
  </w:style>
  <w:style w:type="paragraph" w:customStyle="1" w:styleId="TableInTitle">
    <w:name w:val="Table_In_Title"/>
    <w:basedOn w:val="Tabletext"/>
    <w:pPr>
      <w:jc w:val="center"/>
    </w:pPr>
    <w:rPr>
      <w:rFonts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1.wmf"/><Relationship Id="rId18" Type="http://schemas.openxmlformats.org/officeDocument/2006/relationships/oleObject" Target="embeddings/oleObject3.bin"/><Relationship Id="rId26" Type="http://schemas.openxmlformats.org/officeDocument/2006/relationships/image" Target="media/image7.wmf"/><Relationship Id="rId39" Type="http://schemas.openxmlformats.org/officeDocument/2006/relationships/theme" Target="theme/theme1.xml"/><Relationship Id="rId21" Type="http://schemas.openxmlformats.org/officeDocument/2006/relationships/image" Target="media/image5.wmf"/><Relationship Id="rId34" Type="http://schemas.openxmlformats.org/officeDocument/2006/relationships/image" Target="media/image11.wmf"/><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wmf"/><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oleObject" Target="embeddings/oleObject6.bin"/><Relationship Id="rId28" Type="http://schemas.openxmlformats.org/officeDocument/2006/relationships/image" Target="media/image8.wmf"/><Relationship Id="rId36" Type="http://schemas.openxmlformats.org/officeDocument/2006/relationships/image" Target="media/image12.wmf"/><Relationship Id="rId10" Type="http://schemas.openxmlformats.org/officeDocument/2006/relationships/footer" Target="footer2.xml"/><Relationship Id="rId19" Type="http://schemas.openxmlformats.org/officeDocument/2006/relationships/image" Target="media/image4.wmf"/><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oleObject" Target="embeddings/oleObject8.bin"/><Relationship Id="rId30" Type="http://schemas.openxmlformats.org/officeDocument/2006/relationships/image" Target="media/image9.wmf"/><Relationship Id="rId35" Type="http://schemas.openxmlformats.org/officeDocument/2006/relationships/oleObject" Target="embeddings/oleObject12.bin"/><Relationship Id="rId8" Type="http://schemas.openxmlformats.org/officeDocument/2006/relationships/header" Target="header2.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Numbers 101.dot</Template>
  <TotalTime>0</TotalTime>
  <Pages>8</Pages>
  <Words>3577</Words>
  <Characters>16708</Characters>
  <Application>Microsoft Office Word</Application>
  <DocSecurity>0</DocSecurity>
  <Lines>407</Lines>
  <Paragraphs>209</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subject/>
  <dc:creator>Richard P. Rumelt</dc:creator>
  <cp:keywords/>
  <dc:description/>
  <cp:lastModifiedBy>Richard Rumelt</cp:lastModifiedBy>
  <cp:revision>2</cp:revision>
  <cp:lastPrinted>2003-08-20T04:34:00Z</cp:lastPrinted>
  <dcterms:created xsi:type="dcterms:W3CDTF">2026-04-13T22:08:00Z</dcterms:created>
  <dcterms:modified xsi:type="dcterms:W3CDTF">2026-04-13T22:08:00Z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EquationSection">
    <vt:lpwstr>1</vt:lpwstr>
  </property>
</Properties>
</file>