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B8073" w14:textId="1098BACA" w:rsidR="007A7670" w:rsidRDefault="00ED6A5C" w:rsidP="00A354B1">
      <w:pPr>
        <w:pStyle w:val="Heading1"/>
        <w:jc w:val="center"/>
      </w:pPr>
      <w:r>
        <w:t>Depreciation</w:t>
      </w:r>
      <w:r w:rsidR="00A226B4">
        <w:t xml:space="preserve"> </w:t>
      </w:r>
      <w:r w:rsidR="00540062">
        <w:t xml:space="preserve">and </w:t>
      </w:r>
      <w:r w:rsidR="00A226B4">
        <w:t>Taxes</w:t>
      </w:r>
    </w:p>
    <w:p w14:paraId="64EF145C" w14:textId="3D983B1C" w:rsidR="00A354B1" w:rsidRPr="00A354B1" w:rsidRDefault="00A354B1" w:rsidP="00A354B1">
      <w:pPr>
        <w:jc w:val="center"/>
        <w:rPr>
          <w:sz w:val="28"/>
          <w:szCs w:val="28"/>
        </w:rPr>
      </w:pPr>
      <w:r w:rsidRPr="00A354B1">
        <w:rPr>
          <w:sz w:val="28"/>
          <w:szCs w:val="28"/>
        </w:rPr>
        <w:t>Richard P. Rumelt</w:t>
      </w:r>
    </w:p>
    <w:p w14:paraId="338B9F95" w14:textId="77777777" w:rsidR="000F24D5" w:rsidRDefault="000F24D5"/>
    <w:p w14:paraId="0E75EEE0" w14:textId="77777777" w:rsidR="00581020" w:rsidRDefault="00581020">
      <w:r>
        <w:t xml:space="preserve">The value of a business or project depends on the pattern of cash flows it generates. Taxes are an important part of these cash flows. The complexity arises because corporate taxes are levied on “income,” not cash flow, and the definition of “income” is subject to a great many rules. </w:t>
      </w:r>
      <w:proofErr w:type="gramStart"/>
      <w:r>
        <w:t>In particular, a</w:t>
      </w:r>
      <w:proofErr w:type="gramEnd"/>
      <w:r>
        <w:t xml:space="preserve"> capital expenditure is not an “expense” and is not deductable from income. But the capital asset, once acquired, generates fictitious “depreciation” expenses that do reduce tax payments during the life of the asset.</w:t>
      </w:r>
    </w:p>
    <w:p w14:paraId="5D59AF63" w14:textId="77777777" w:rsidR="00581020" w:rsidRPr="00581020" w:rsidRDefault="00581020" w:rsidP="00581020">
      <w:pPr>
        <w:pStyle w:val="Heading2"/>
      </w:pPr>
      <w:r w:rsidRPr="00581020">
        <w:t>Depreciation</w:t>
      </w:r>
    </w:p>
    <w:p w14:paraId="54AA42A7" w14:textId="77777777" w:rsidR="00581020" w:rsidRDefault="006E5BD8" w:rsidP="00B50108">
      <w:r>
        <w:t>The IRS lets companies depreciate property using the straight-line method or accelerated methods. Under the straight-line method the depreciation</w:t>
      </w:r>
      <w:r w:rsidR="00CA4694">
        <w:t xml:space="preserve"> the as</w:t>
      </w:r>
      <w:r w:rsidR="00A226B4">
        <w:t>set is assigned a useful life (</w:t>
      </w:r>
      <w:r w:rsidR="00CA4694">
        <w:t xml:space="preserve">Life) and only the difference between cost and </w:t>
      </w:r>
      <w:r w:rsidR="00A121BD">
        <w:t xml:space="preserve">expected </w:t>
      </w:r>
      <w:r w:rsidR="00CA4694">
        <w:t xml:space="preserve">salvage value is depreciated. That is, annual depreciation is computed as </w:t>
      </w:r>
      <w:r w:rsidR="00A226B4" w:rsidRPr="00CA4694">
        <w:rPr>
          <w:position w:val="-10"/>
        </w:rPr>
        <w:object w:dxaOrig="3060" w:dyaOrig="320" w14:anchorId="4E40CD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pt;height:15.75pt" o:ole="">
            <v:imagedata r:id="rId7" o:title=""/>
          </v:shape>
          <o:OLEObject Type="Embed" ProgID="Equation.DSMT4" ShapeID="_x0000_i1025" DrawAspect="Content" ObjectID="_1837602053" r:id="rId8"/>
        </w:object>
      </w:r>
      <w:r w:rsidR="00CA4694">
        <w:t xml:space="preserve">. By contrast, accelerated depreciation is taken on the entire cost of the asset, ignoring any salvage </w:t>
      </w:r>
      <w:r w:rsidR="00B50108">
        <w:t>value</w:t>
      </w:r>
      <w:r w:rsidR="000F24D5">
        <w:t xml:space="preserve">. Furthermore, accelerated </w:t>
      </w:r>
      <w:r w:rsidR="00B50108">
        <w:t xml:space="preserve">depreciation charges are front-loaded, being larger in early periods. Since depreciation is a fictitious expense that acts to reduce tax payments, accelerated methods are generally preferred—the absolute amount of depreciation is </w:t>
      </w:r>
      <w:proofErr w:type="gramStart"/>
      <w:r w:rsidR="00B50108">
        <w:t>larger</w:t>
      </w:r>
      <w:proofErr w:type="gramEnd"/>
      <w:r w:rsidR="00B50108">
        <w:t xml:space="preserve"> and the </w:t>
      </w:r>
      <w:proofErr w:type="gramStart"/>
      <w:r w:rsidR="00B50108">
        <w:t>present-value</w:t>
      </w:r>
      <w:proofErr w:type="gramEnd"/>
      <w:r w:rsidR="00B50108">
        <w:t xml:space="preserve"> of front-loaded tax savings is greater.</w:t>
      </w:r>
    </w:p>
    <w:p w14:paraId="22CBEAC5" w14:textId="77777777" w:rsidR="00FF2C8B" w:rsidRDefault="00B50108" w:rsidP="00B50108">
      <w:r>
        <w:t xml:space="preserve">Accelerated depreciation rules and tables are available in IRS Publication 946. The overall idea is that property is placed in a “property class” which determines the depreciation life. </w:t>
      </w:r>
      <w:r w:rsidR="00AE5F34">
        <w:t>The table below provides a quick overview. (The rules for farm equipment, rental property, and Indian property are more complex.)</w:t>
      </w:r>
      <w:r w:rsidR="00A121BD">
        <w:t xml:space="preserve"> </w:t>
      </w:r>
      <w:r w:rsidR="00906B97">
        <w:t xml:space="preserve">As </w:t>
      </w:r>
      <w:r w:rsidR="00A121BD">
        <w:t xml:space="preserve">can be seen, </w:t>
      </w:r>
      <w:r w:rsidR="00906B97">
        <w:t>most business equipment falls in the 5-year or 7-year property classes.</w:t>
      </w:r>
    </w:p>
    <w:p w14:paraId="03FA42D7" w14:textId="77777777" w:rsidR="00AE5F34" w:rsidRDefault="00AE5F34" w:rsidP="00AE5F3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3"/>
        <w:gridCol w:w="4639"/>
        <w:gridCol w:w="2298"/>
      </w:tblGrid>
      <w:tr w:rsidR="00095BC6" w:rsidRPr="00095BC6" w14:paraId="2D976E0E" w14:textId="77777777" w:rsidTr="00095BC6">
        <w:tc>
          <w:tcPr>
            <w:tcW w:w="1728" w:type="dxa"/>
          </w:tcPr>
          <w:p w14:paraId="32E2D938" w14:textId="77777777" w:rsidR="00FF2C8B" w:rsidRPr="00095BC6" w:rsidRDefault="00AE5F34" w:rsidP="00B50108">
            <w:pPr>
              <w:rPr>
                <w:b/>
                <w:i/>
                <w:sz w:val="20"/>
              </w:rPr>
            </w:pPr>
            <w:r w:rsidRPr="00095BC6">
              <w:rPr>
                <w:b/>
                <w:i/>
                <w:sz w:val="20"/>
              </w:rPr>
              <w:t>Property Class</w:t>
            </w:r>
          </w:p>
        </w:tc>
        <w:tc>
          <w:tcPr>
            <w:tcW w:w="4770" w:type="dxa"/>
          </w:tcPr>
          <w:p w14:paraId="43B40C24" w14:textId="77777777" w:rsidR="00FF2C8B" w:rsidRPr="00095BC6" w:rsidRDefault="00AE5F34" w:rsidP="00B50108">
            <w:pPr>
              <w:rPr>
                <w:b/>
                <w:i/>
                <w:sz w:val="20"/>
              </w:rPr>
            </w:pPr>
            <w:r w:rsidRPr="00095BC6">
              <w:rPr>
                <w:b/>
                <w:i/>
                <w:sz w:val="20"/>
              </w:rPr>
              <w:t>Property Examples (non-farm)</w:t>
            </w:r>
          </w:p>
        </w:tc>
        <w:tc>
          <w:tcPr>
            <w:tcW w:w="2358" w:type="dxa"/>
          </w:tcPr>
          <w:p w14:paraId="6D428FE6" w14:textId="77777777" w:rsidR="00FF2C8B" w:rsidRPr="00095BC6" w:rsidRDefault="00AE5F34" w:rsidP="00095BC6">
            <w:pPr>
              <w:jc w:val="center"/>
              <w:rPr>
                <w:b/>
                <w:i/>
                <w:sz w:val="20"/>
              </w:rPr>
            </w:pPr>
            <w:r w:rsidRPr="00095BC6">
              <w:rPr>
                <w:b/>
                <w:i/>
                <w:sz w:val="20"/>
              </w:rPr>
              <w:t>Accelerat</w:t>
            </w:r>
            <w:r w:rsidR="005E65CD" w:rsidRPr="00095BC6">
              <w:rPr>
                <w:b/>
                <w:i/>
                <w:sz w:val="20"/>
              </w:rPr>
              <w:t>ion</w:t>
            </w:r>
            <w:r w:rsidRPr="00095BC6">
              <w:rPr>
                <w:b/>
                <w:i/>
                <w:sz w:val="20"/>
              </w:rPr>
              <w:t xml:space="preserve"> </w:t>
            </w:r>
            <w:r w:rsidR="005E65CD" w:rsidRPr="00095BC6">
              <w:rPr>
                <w:b/>
                <w:i/>
                <w:sz w:val="20"/>
              </w:rPr>
              <w:t>Factor</w:t>
            </w:r>
          </w:p>
        </w:tc>
      </w:tr>
      <w:tr w:rsidR="00095BC6" w:rsidRPr="00095BC6" w14:paraId="5517D985" w14:textId="77777777" w:rsidTr="00095BC6">
        <w:tc>
          <w:tcPr>
            <w:tcW w:w="1728" w:type="dxa"/>
          </w:tcPr>
          <w:p w14:paraId="2565E089" w14:textId="77777777" w:rsidR="00FF2C8B" w:rsidRPr="00095BC6" w:rsidRDefault="00FF2C8B" w:rsidP="00B50108">
            <w:pPr>
              <w:rPr>
                <w:sz w:val="20"/>
              </w:rPr>
            </w:pPr>
            <w:r w:rsidRPr="00095BC6">
              <w:rPr>
                <w:sz w:val="20"/>
              </w:rPr>
              <w:t>3-Year</w:t>
            </w:r>
          </w:p>
        </w:tc>
        <w:tc>
          <w:tcPr>
            <w:tcW w:w="4770" w:type="dxa"/>
          </w:tcPr>
          <w:p w14:paraId="5063AC41" w14:textId="77777777" w:rsidR="00FF2C8B" w:rsidRPr="00095BC6" w:rsidRDefault="00FF2C8B" w:rsidP="00B50108">
            <w:pPr>
              <w:rPr>
                <w:sz w:val="20"/>
              </w:rPr>
            </w:pPr>
            <w:proofErr w:type="gramStart"/>
            <w:r w:rsidRPr="00095BC6">
              <w:rPr>
                <w:sz w:val="20"/>
              </w:rPr>
              <w:t>Race horses</w:t>
            </w:r>
            <w:proofErr w:type="gramEnd"/>
            <w:r w:rsidRPr="00095BC6">
              <w:rPr>
                <w:sz w:val="20"/>
              </w:rPr>
              <w:t>, tractors for road use</w:t>
            </w:r>
          </w:p>
        </w:tc>
        <w:tc>
          <w:tcPr>
            <w:tcW w:w="2358" w:type="dxa"/>
          </w:tcPr>
          <w:p w14:paraId="1AD41434" w14:textId="77777777" w:rsidR="00FF2C8B" w:rsidRPr="00095BC6" w:rsidRDefault="005E65CD" w:rsidP="00095BC6">
            <w:pPr>
              <w:jc w:val="center"/>
              <w:rPr>
                <w:sz w:val="20"/>
              </w:rPr>
            </w:pPr>
            <w:r w:rsidRPr="00095BC6">
              <w:rPr>
                <w:sz w:val="20"/>
              </w:rPr>
              <w:t>2</w:t>
            </w:r>
          </w:p>
        </w:tc>
      </w:tr>
      <w:tr w:rsidR="00095BC6" w:rsidRPr="00095BC6" w14:paraId="72D1C475" w14:textId="77777777" w:rsidTr="00095BC6">
        <w:tc>
          <w:tcPr>
            <w:tcW w:w="1728" w:type="dxa"/>
          </w:tcPr>
          <w:p w14:paraId="0F0099DD" w14:textId="77777777" w:rsidR="00FF2C8B" w:rsidRPr="00095BC6" w:rsidRDefault="00FF2C8B" w:rsidP="00B50108">
            <w:pPr>
              <w:rPr>
                <w:sz w:val="20"/>
              </w:rPr>
            </w:pPr>
            <w:r w:rsidRPr="00095BC6">
              <w:rPr>
                <w:sz w:val="20"/>
              </w:rPr>
              <w:t>5-Year</w:t>
            </w:r>
          </w:p>
        </w:tc>
        <w:tc>
          <w:tcPr>
            <w:tcW w:w="4770" w:type="dxa"/>
          </w:tcPr>
          <w:p w14:paraId="251B5EE5" w14:textId="77777777" w:rsidR="00FF2C8B" w:rsidRPr="00095BC6" w:rsidRDefault="00FF2C8B" w:rsidP="00AE5F34">
            <w:pPr>
              <w:rPr>
                <w:sz w:val="20"/>
              </w:rPr>
            </w:pPr>
            <w:r w:rsidRPr="00095BC6">
              <w:rPr>
                <w:sz w:val="20"/>
              </w:rPr>
              <w:t>Motor vehicles, computers, office equipment, R&amp;D equipment, solar and wind energy equipment</w:t>
            </w:r>
            <w:r w:rsidR="00AE5F34" w:rsidRPr="00095BC6">
              <w:rPr>
                <w:sz w:val="20"/>
              </w:rPr>
              <w:t>, commercial aircraft</w:t>
            </w:r>
          </w:p>
        </w:tc>
        <w:tc>
          <w:tcPr>
            <w:tcW w:w="2358" w:type="dxa"/>
          </w:tcPr>
          <w:p w14:paraId="26144618" w14:textId="77777777" w:rsidR="00FF2C8B" w:rsidRPr="00095BC6" w:rsidRDefault="005E65CD" w:rsidP="00095BC6">
            <w:pPr>
              <w:jc w:val="center"/>
              <w:rPr>
                <w:sz w:val="20"/>
              </w:rPr>
            </w:pPr>
            <w:r w:rsidRPr="00095BC6">
              <w:rPr>
                <w:sz w:val="20"/>
              </w:rPr>
              <w:t>2</w:t>
            </w:r>
          </w:p>
        </w:tc>
      </w:tr>
      <w:tr w:rsidR="00095BC6" w:rsidRPr="00095BC6" w14:paraId="4913FAD5" w14:textId="77777777" w:rsidTr="00095BC6">
        <w:tc>
          <w:tcPr>
            <w:tcW w:w="1728" w:type="dxa"/>
          </w:tcPr>
          <w:p w14:paraId="746AB01E" w14:textId="77777777" w:rsidR="00FF2C8B" w:rsidRPr="00095BC6" w:rsidRDefault="00FF2C8B" w:rsidP="00B50108">
            <w:pPr>
              <w:rPr>
                <w:sz w:val="20"/>
              </w:rPr>
            </w:pPr>
            <w:r w:rsidRPr="00095BC6">
              <w:rPr>
                <w:sz w:val="20"/>
              </w:rPr>
              <w:t>7-Year</w:t>
            </w:r>
          </w:p>
        </w:tc>
        <w:tc>
          <w:tcPr>
            <w:tcW w:w="4770" w:type="dxa"/>
          </w:tcPr>
          <w:p w14:paraId="3BF3533A" w14:textId="77777777" w:rsidR="00FF2C8B" w:rsidRPr="00095BC6" w:rsidRDefault="00FF2C8B" w:rsidP="00AE5F34">
            <w:pPr>
              <w:rPr>
                <w:sz w:val="20"/>
              </w:rPr>
            </w:pPr>
            <w:r w:rsidRPr="00095BC6">
              <w:rPr>
                <w:sz w:val="20"/>
              </w:rPr>
              <w:t xml:space="preserve">Office furniture, </w:t>
            </w:r>
            <w:r w:rsidR="00AE5F34" w:rsidRPr="00095BC6">
              <w:rPr>
                <w:sz w:val="20"/>
              </w:rPr>
              <w:t xml:space="preserve">racetracks, </w:t>
            </w:r>
            <w:r w:rsidRPr="00095BC6">
              <w:rPr>
                <w:sz w:val="20"/>
              </w:rPr>
              <w:t>property not elsewhere classified</w:t>
            </w:r>
          </w:p>
        </w:tc>
        <w:tc>
          <w:tcPr>
            <w:tcW w:w="2358" w:type="dxa"/>
          </w:tcPr>
          <w:p w14:paraId="00CCBA4E" w14:textId="77777777" w:rsidR="00FF2C8B" w:rsidRPr="00095BC6" w:rsidRDefault="005E65CD" w:rsidP="00095BC6">
            <w:pPr>
              <w:jc w:val="center"/>
              <w:rPr>
                <w:sz w:val="20"/>
              </w:rPr>
            </w:pPr>
            <w:r w:rsidRPr="00095BC6">
              <w:rPr>
                <w:sz w:val="20"/>
              </w:rPr>
              <w:t>2</w:t>
            </w:r>
          </w:p>
        </w:tc>
      </w:tr>
      <w:tr w:rsidR="00095BC6" w:rsidRPr="00095BC6" w14:paraId="17B45482" w14:textId="77777777" w:rsidTr="00095BC6">
        <w:tc>
          <w:tcPr>
            <w:tcW w:w="1728" w:type="dxa"/>
          </w:tcPr>
          <w:p w14:paraId="1E8A9593" w14:textId="77777777" w:rsidR="00FF2C8B" w:rsidRPr="00095BC6" w:rsidRDefault="00FF2C8B" w:rsidP="00B50108">
            <w:pPr>
              <w:rPr>
                <w:sz w:val="20"/>
              </w:rPr>
            </w:pPr>
            <w:r w:rsidRPr="00095BC6">
              <w:rPr>
                <w:sz w:val="20"/>
              </w:rPr>
              <w:t>10-Year</w:t>
            </w:r>
          </w:p>
        </w:tc>
        <w:tc>
          <w:tcPr>
            <w:tcW w:w="4770" w:type="dxa"/>
          </w:tcPr>
          <w:p w14:paraId="4598DF53" w14:textId="77777777" w:rsidR="00FF2C8B" w:rsidRPr="00095BC6" w:rsidRDefault="00FF2C8B" w:rsidP="00AE5F34">
            <w:pPr>
              <w:rPr>
                <w:sz w:val="20"/>
              </w:rPr>
            </w:pPr>
            <w:r w:rsidRPr="00095BC6">
              <w:rPr>
                <w:sz w:val="20"/>
              </w:rPr>
              <w:t>Water transport equipment</w:t>
            </w:r>
            <w:r w:rsidR="00AE5F34" w:rsidRPr="00095BC6">
              <w:rPr>
                <w:sz w:val="20"/>
              </w:rPr>
              <w:t>, smart electrical grids</w:t>
            </w:r>
          </w:p>
        </w:tc>
        <w:tc>
          <w:tcPr>
            <w:tcW w:w="2358" w:type="dxa"/>
          </w:tcPr>
          <w:p w14:paraId="14BC5277" w14:textId="77777777" w:rsidR="00FF2C8B" w:rsidRPr="00095BC6" w:rsidRDefault="005E65CD" w:rsidP="00095BC6">
            <w:pPr>
              <w:jc w:val="center"/>
              <w:rPr>
                <w:sz w:val="20"/>
              </w:rPr>
            </w:pPr>
            <w:r w:rsidRPr="00095BC6">
              <w:rPr>
                <w:sz w:val="20"/>
              </w:rPr>
              <w:t>2</w:t>
            </w:r>
          </w:p>
        </w:tc>
      </w:tr>
      <w:tr w:rsidR="00095BC6" w:rsidRPr="00095BC6" w14:paraId="5009B831" w14:textId="77777777" w:rsidTr="00095BC6">
        <w:tc>
          <w:tcPr>
            <w:tcW w:w="1728" w:type="dxa"/>
          </w:tcPr>
          <w:p w14:paraId="7C1AB852" w14:textId="77777777" w:rsidR="00FF2C8B" w:rsidRPr="00095BC6" w:rsidRDefault="00FF2C8B" w:rsidP="00B50108">
            <w:pPr>
              <w:rPr>
                <w:sz w:val="20"/>
              </w:rPr>
            </w:pPr>
            <w:r w:rsidRPr="00095BC6">
              <w:rPr>
                <w:sz w:val="20"/>
              </w:rPr>
              <w:t>15-Year</w:t>
            </w:r>
          </w:p>
        </w:tc>
        <w:tc>
          <w:tcPr>
            <w:tcW w:w="4770" w:type="dxa"/>
          </w:tcPr>
          <w:p w14:paraId="281E0B5D" w14:textId="77777777" w:rsidR="00FF2C8B" w:rsidRPr="00095BC6" w:rsidRDefault="00FF2C8B" w:rsidP="00B50108">
            <w:pPr>
              <w:rPr>
                <w:sz w:val="20"/>
              </w:rPr>
            </w:pPr>
            <w:r w:rsidRPr="00095BC6">
              <w:rPr>
                <w:sz w:val="20"/>
              </w:rPr>
              <w:t>Restaurants, gas stations, utility distribution systems</w:t>
            </w:r>
            <w:r w:rsidR="00AE5F34" w:rsidRPr="00095BC6">
              <w:rPr>
                <w:sz w:val="20"/>
              </w:rPr>
              <w:t>, landscaping</w:t>
            </w:r>
          </w:p>
        </w:tc>
        <w:tc>
          <w:tcPr>
            <w:tcW w:w="2358" w:type="dxa"/>
          </w:tcPr>
          <w:p w14:paraId="23A6C614" w14:textId="77777777" w:rsidR="00FF2C8B" w:rsidRPr="00095BC6" w:rsidRDefault="005E65CD" w:rsidP="00095BC6">
            <w:pPr>
              <w:jc w:val="center"/>
              <w:rPr>
                <w:sz w:val="20"/>
              </w:rPr>
            </w:pPr>
            <w:r w:rsidRPr="00095BC6">
              <w:rPr>
                <w:sz w:val="20"/>
              </w:rPr>
              <w:t>1.5</w:t>
            </w:r>
          </w:p>
        </w:tc>
      </w:tr>
      <w:tr w:rsidR="00095BC6" w:rsidRPr="00095BC6" w14:paraId="39444E50" w14:textId="77777777" w:rsidTr="00095BC6">
        <w:tc>
          <w:tcPr>
            <w:tcW w:w="1728" w:type="dxa"/>
          </w:tcPr>
          <w:p w14:paraId="1FEC2238" w14:textId="77777777" w:rsidR="00FF2C8B" w:rsidRPr="00095BC6" w:rsidRDefault="00FF2C8B" w:rsidP="00B50108">
            <w:pPr>
              <w:rPr>
                <w:sz w:val="20"/>
              </w:rPr>
            </w:pPr>
            <w:r w:rsidRPr="00095BC6">
              <w:rPr>
                <w:sz w:val="20"/>
              </w:rPr>
              <w:t>20-Year</w:t>
            </w:r>
          </w:p>
        </w:tc>
        <w:tc>
          <w:tcPr>
            <w:tcW w:w="4770" w:type="dxa"/>
          </w:tcPr>
          <w:p w14:paraId="40E97FD5" w14:textId="77777777" w:rsidR="00FF2C8B" w:rsidRPr="00095BC6" w:rsidRDefault="00AE5F34" w:rsidP="00B50108">
            <w:pPr>
              <w:rPr>
                <w:sz w:val="20"/>
              </w:rPr>
            </w:pPr>
            <w:r w:rsidRPr="00095BC6">
              <w:rPr>
                <w:sz w:val="20"/>
              </w:rPr>
              <w:t>U</w:t>
            </w:r>
            <w:r w:rsidR="00FF2C8B" w:rsidRPr="00095BC6">
              <w:rPr>
                <w:sz w:val="20"/>
              </w:rPr>
              <w:t>tility grading</w:t>
            </w:r>
          </w:p>
        </w:tc>
        <w:tc>
          <w:tcPr>
            <w:tcW w:w="2358" w:type="dxa"/>
          </w:tcPr>
          <w:p w14:paraId="58D9DEC7" w14:textId="77777777" w:rsidR="00FF2C8B" w:rsidRPr="00095BC6" w:rsidRDefault="005E65CD" w:rsidP="00095BC6">
            <w:pPr>
              <w:jc w:val="center"/>
              <w:rPr>
                <w:sz w:val="20"/>
              </w:rPr>
            </w:pPr>
            <w:r w:rsidRPr="00095BC6">
              <w:rPr>
                <w:sz w:val="20"/>
              </w:rPr>
              <w:t>1.5</w:t>
            </w:r>
          </w:p>
        </w:tc>
      </w:tr>
      <w:tr w:rsidR="00095BC6" w:rsidRPr="00095BC6" w14:paraId="115C22A4" w14:textId="77777777" w:rsidTr="00095BC6">
        <w:tc>
          <w:tcPr>
            <w:tcW w:w="1728" w:type="dxa"/>
          </w:tcPr>
          <w:p w14:paraId="0C7D1A9F" w14:textId="77777777" w:rsidR="00FF2C8B" w:rsidRPr="00095BC6" w:rsidRDefault="00FF2C8B" w:rsidP="00B50108">
            <w:pPr>
              <w:rPr>
                <w:sz w:val="20"/>
              </w:rPr>
            </w:pPr>
            <w:r w:rsidRPr="00095BC6">
              <w:rPr>
                <w:sz w:val="20"/>
              </w:rPr>
              <w:t>25-Year</w:t>
            </w:r>
          </w:p>
        </w:tc>
        <w:tc>
          <w:tcPr>
            <w:tcW w:w="4770" w:type="dxa"/>
          </w:tcPr>
          <w:p w14:paraId="36730B25" w14:textId="77777777" w:rsidR="00FF2C8B" w:rsidRPr="00095BC6" w:rsidRDefault="00FF2C8B" w:rsidP="00B50108">
            <w:pPr>
              <w:rPr>
                <w:sz w:val="20"/>
              </w:rPr>
            </w:pPr>
            <w:r w:rsidRPr="00095BC6">
              <w:rPr>
                <w:sz w:val="20"/>
              </w:rPr>
              <w:t xml:space="preserve">Water treatment and distribution </w:t>
            </w:r>
          </w:p>
        </w:tc>
        <w:tc>
          <w:tcPr>
            <w:tcW w:w="2358" w:type="dxa"/>
          </w:tcPr>
          <w:p w14:paraId="767F6BEC" w14:textId="77777777" w:rsidR="00FF2C8B" w:rsidRPr="00095BC6" w:rsidRDefault="005E65CD" w:rsidP="00095BC6">
            <w:pPr>
              <w:jc w:val="center"/>
              <w:rPr>
                <w:sz w:val="20"/>
              </w:rPr>
            </w:pPr>
            <w:r w:rsidRPr="00095BC6">
              <w:rPr>
                <w:sz w:val="20"/>
              </w:rPr>
              <w:t>1.5</w:t>
            </w:r>
          </w:p>
        </w:tc>
      </w:tr>
    </w:tbl>
    <w:p w14:paraId="16A9A241" w14:textId="77777777" w:rsidR="00E06C8C" w:rsidRDefault="00E06C8C" w:rsidP="00E06C8C"/>
    <w:p w14:paraId="04C265B1" w14:textId="77777777" w:rsidR="000F24D5" w:rsidRDefault="00602F58" w:rsidP="007B4525">
      <w:r>
        <w:lastRenderedPageBreak/>
        <w:t>Under the MACRS acceleration system, i</w:t>
      </w:r>
      <w:r w:rsidR="00E06C8C">
        <w:t>f an asset with cost</w:t>
      </w:r>
      <w:r w:rsidR="00A121BD">
        <w:t xml:space="preserve"> </w:t>
      </w:r>
      <w:r w:rsidR="00E06C8C">
        <w:t xml:space="preserve"> </w:t>
      </w:r>
      <w:r w:rsidR="00E06C8C" w:rsidRPr="00602F58">
        <w:rPr>
          <w:i/>
        </w:rPr>
        <w:t>C</w:t>
      </w:r>
      <w:r w:rsidR="00E06C8C">
        <w:t xml:space="preserve"> </w:t>
      </w:r>
      <w:r w:rsidR="00A121BD">
        <w:t xml:space="preserve"> </w:t>
      </w:r>
      <w:r w:rsidR="00E06C8C">
        <w:t xml:space="preserve">is placed into service, the accelerated depreciation during its first </w:t>
      </w:r>
      <w:r>
        <w:t xml:space="preserve">full </w:t>
      </w:r>
      <w:r w:rsidR="00E06C8C">
        <w:t xml:space="preserve">year of service is </w:t>
      </w:r>
      <w:r w:rsidR="00E06C8C" w:rsidRPr="00E06C8C">
        <w:rPr>
          <w:position w:val="-10"/>
        </w:rPr>
        <w:object w:dxaOrig="900" w:dyaOrig="320" w14:anchorId="270EF721">
          <v:shape id="_x0000_i1026" type="#_x0000_t75" style="width:45pt;height:15.75pt" o:ole="">
            <v:imagedata r:id="rId9" o:title=""/>
          </v:shape>
          <o:OLEObject Type="Embed" ProgID="Equation.DSMT4" ShapeID="_x0000_i1026" DrawAspect="Content" ObjectID="_1837602054" r:id="rId10"/>
        </w:object>
      </w:r>
      <w:r w:rsidR="00E06C8C">
        <w:t xml:space="preserve"> where  </w:t>
      </w:r>
      <w:r w:rsidR="00E06C8C" w:rsidRPr="00E06C8C">
        <w:rPr>
          <w:i/>
        </w:rPr>
        <w:t>F</w:t>
      </w:r>
      <w:r w:rsidR="00E06C8C">
        <w:t xml:space="preserve"> is the acceleration factor (1.5 or 2) and  </w:t>
      </w:r>
      <w:r w:rsidR="00E06C8C" w:rsidRPr="00E06C8C">
        <w:rPr>
          <w:i/>
        </w:rPr>
        <w:t>L</w:t>
      </w:r>
      <w:r w:rsidR="00E06C8C">
        <w:t xml:space="preserve"> is the property-class recovery period (3, 5, 7, 10, 15, 20, or 25). The remaining balance at the end of the first </w:t>
      </w:r>
      <w:r w:rsidR="00A121BD">
        <w:t xml:space="preserve">full </w:t>
      </w:r>
      <w:r w:rsidR="00E06C8C">
        <w:t xml:space="preserve">year will be </w:t>
      </w:r>
      <w:r w:rsidR="00E06C8C" w:rsidRPr="00E06C8C">
        <w:rPr>
          <w:position w:val="-10"/>
        </w:rPr>
        <w:object w:dxaOrig="1180" w:dyaOrig="320" w14:anchorId="042B6F87">
          <v:shape id="_x0000_i1027" type="#_x0000_t75" style="width:59.25pt;height:15.75pt" o:ole="">
            <v:imagedata r:id="rId11" o:title=""/>
          </v:shape>
          <o:OLEObject Type="Embed" ProgID="Equation.DSMT4" ShapeID="_x0000_i1027" DrawAspect="Content" ObjectID="_1837602055" r:id="rId12"/>
        </w:object>
      </w:r>
      <w:r w:rsidR="00E06C8C">
        <w:t xml:space="preserve">. Thus, the second </w:t>
      </w:r>
      <w:r>
        <w:t xml:space="preserve">full </w:t>
      </w:r>
      <w:r w:rsidR="00E06C8C">
        <w:t xml:space="preserve">year’s depreciation will be </w:t>
      </w:r>
      <w:r w:rsidR="00E06C8C" w:rsidRPr="00E06C8C">
        <w:rPr>
          <w:position w:val="-10"/>
        </w:rPr>
        <w:object w:dxaOrig="1820" w:dyaOrig="320" w14:anchorId="11624CE9">
          <v:shape id="_x0000_i1028" type="#_x0000_t75" style="width:90.75pt;height:15.75pt" o:ole="">
            <v:imagedata r:id="rId13" o:title=""/>
          </v:shape>
          <o:OLEObject Type="Embed" ProgID="Equation.DSMT4" ShapeID="_x0000_i1028" DrawAspect="Content" ObjectID="_1837602056" r:id="rId14"/>
        </w:object>
      </w:r>
      <w:r w:rsidR="007B4525">
        <w:t xml:space="preserve">. The remaining balance after </w:t>
      </w:r>
      <w:proofErr w:type="gramStart"/>
      <w:r w:rsidR="007B4525" w:rsidRPr="007B4525">
        <w:rPr>
          <w:i/>
        </w:rPr>
        <w:t>N</w:t>
      </w:r>
      <w:r w:rsidR="007B4525">
        <w:t xml:space="preserve"> </w:t>
      </w:r>
      <w:r w:rsidR="00A121BD">
        <w:t xml:space="preserve"> </w:t>
      </w:r>
      <w:r>
        <w:t>full</w:t>
      </w:r>
      <w:proofErr w:type="gramEnd"/>
      <w:r>
        <w:t xml:space="preserve"> </w:t>
      </w:r>
      <w:r w:rsidR="007B4525">
        <w:t xml:space="preserve">years of accelerated depreciation </w:t>
      </w:r>
      <w:r>
        <w:t>would</w:t>
      </w:r>
      <w:r w:rsidR="007B4525">
        <w:t xml:space="preserve"> be </w:t>
      </w:r>
      <w:r w:rsidR="00E06C8C">
        <w:t xml:space="preserve"> </w:t>
      </w:r>
      <w:r w:rsidR="007B4525" w:rsidRPr="007B4525">
        <w:rPr>
          <w:position w:val="-12"/>
        </w:rPr>
        <w:object w:dxaOrig="1840" w:dyaOrig="380" w14:anchorId="032D4956">
          <v:shape id="_x0000_i1029" type="#_x0000_t75" style="width:92.25pt;height:18.75pt" o:ole="">
            <v:imagedata r:id="rId15" o:title=""/>
          </v:shape>
          <o:OLEObject Type="Embed" ProgID="Equation.DSMT4" ShapeID="_x0000_i1029" DrawAspect="Content" ObjectID="_1837602057" r:id="rId16"/>
        </w:object>
      </w:r>
      <w:r w:rsidR="007B4525">
        <w:t xml:space="preserve">. </w:t>
      </w:r>
    </w:p>
    <w:p w14:paraId="30C3F51E" w14:textId="77777777" w:rsidR="007B4525" w:rsidRDefault="007B4525" w:rsidP="007B4525">
      <w:r>
        <w:t xml:space="preserve">Notice that this balance never falls to zero no matter how large </w:t>
      </w:r>
      <w:proofErr w:type="gramStart"/>
      <w:r w:rsidRPr="007B4525">
        <w:rPr>
          <w:i/>
        </w:rPr>
        <w:t>N</w:t>
      </w:r>
      <w:r>
        <w:t xml:space="preserve"> </w:t>
      </w:r>
      <w:r w:rsidR="00E62F74">
        <w:t xml:space="preserve"> </w:t>
      </w:r>
      <w:r>
        <w:t>becomes</w:t>
      </w:r>
      <w:proofErr w:type="gramEnd"/>
      <w:r>
        <w:t xml:space="preserve">. To overcome this difficulty, the rules have one switch to the straight-line method when it yields a larger depreciation charge. </w:t>
      </w:r>
    </w:p>
    <w:p w14:paraId="689F541E" w14:textId="77777777" w:rsidR="00F0008F" w:rsidRDefault="00F0008F" w:rsidP="007B4525">
      <w:r>
        <w:t xml:space="preserve">A further complexity is that the IRS </w:t>
      </w:r>
      <w:r w:rsidR="00A121BD">
        <w:t xml:space="preserve">rules do not start depreciation </w:t>
      </w:r>
      <w:r>
        <w:t xml:space="preserve">at the instant </w:t>
      </w:r>
      <w:r w:rsidR="00A121BD">
        <w:t xml:space="preserve">an asset </w:t>
      </w:r>
      <w:r>
        <w:t xml:space="preserve">is placed into service. Rather, depreciation begins in the middle of the year it is put in service, or the middle of the quarter, or the middle of the month. </w:t>
      </w:r>
      <w:r w:rsidR="00602F58">
        <w:t>(T</w:t>
      </w:r>
      <w:r>
        <w:t xml:space="preserve">he mid-month convention is </w:t>
      </w:r>
      <w:r w:rsidR="00602F58">
        <w:t>restricted to real property</w:t>
      </w:r>
      <w:r>
        <w:t>.</w:t>
      </w:r>
      <w:r w:rsidR="00602F58">
        <w:t>)</w:t>
      </w:r>
    </w:p>
    <w:p w14:paraId="436AE308" w14:textId="77777777" w:rsidR="00F0008F" w:rsidRDefault="00F0008F" w:rsidP="00A226B4">
      <w:r>
        <w:t xml:space="preserve">These complexities are </w:t>
      </w:r>
      <w:r w:rsidR="00A226B4">
        <w:t xml:space="preserve">all </w:t>
      </w:r>
      <w:r>
        <w:t xml:space="preserve">handled by Excel user-function </w:t>
      </w:r>
      <w:r w:rsidR="00602F58">
        <w:t>MACRS</w:t>
      </w:r>
      <w:r>
        <w:t>. Th</w:t>
      </w:r>
      <w:r w:rsidR="009B6C53">
        <w:t xml:space="preserve">is function returns the </w:t>
      </w:r>
      <w:r w:rsidR="00602F58">
        <w:t xml:space="preserve">MACRS rule </w:t>
      </w:r>
      <w:r w:rsidR="009B6C53">
        <w:t xml:space="preserve">depreciation during YEAR of an asset </w:t>
      </w:r>
      <w:r w:rsidR="001E5680">
        <w:t>having</w:t>
      </w:r>
      <w:r w:rsidR="009B6C53">
        <w:t xml:space="preserve"> a cost basis of 1. This function faithfully reproduces the </w:t>
      </w:r>
      <w:r w:rsidR="004F00CC">
        <w:t xml:space="preserve">MACRS </w:t>
      </w:r>
      <w:r w:rsidR="009B6C53">
        <w:t xml:space="preserve">tables in IRS Publication 946. </w:t>
      </w:r>
      <w:r w:rsidR="004F00CC">
        <w:t xml:space="preserve">The </w:t>
      </w:r>
      <w:r w:rsidR="00602F58">
        <w:t>MACRS</w:t>
      </w:r>
      <w:r w:rsidR="009B6C53">
        <w:t xml:space="preserve"> </w:t>
      </w:r>
      <w:r w:rsidR="004F00CC">
        <w:t xml:space="preserve">function </w:t>
      </w:r>
      <w:r>
        <w:t>takes the following arguments:</w:t>
      </w:r>
    </w:p>
    <w:p w14:paraId="76948577" w14:textId="77777777" w:rsidR="00F0008F" w:rsidRDefault="00F0008F" w:rsidP="00F0008F">
      <w:pPr>
        <w:ind w:left="720" w:hanging="360"/>
      </w:pPr>
      <w:r>
        <w:tab/>
      </w:r>
      <w:r w:rsidR="009B6C53">
        <w:t>LIFE</w:t>
      </w:r>
      <w:r>
        <w:t xml:space="preserve"> = the depreciable life of the asset</w:t>
      </w:r>
      <w:r w:rsidR="00A226B4">
        <w:t xml:space="preserve"> in years</w:t>
      </w:r>
    </w:p>
    <w:p w14:paraId="3AD12516" w14:textId="77777777" w:rsidR="00F0008F" w:rsidRDefault="00F0008F" w:rsidP="00F0008F">
      <w:pPr>
        <w:ind w:left="720" w:hanging="360"/>
      </w:pPr>
      <w:r>
        <w:tab/>
      </w:r>
      <w:r w:rsidR="009B6C53">
        <w:t>YEAR</w:t>
      </w:r>
      <w:r>
        <w:t xml:space="preserve"> = the year (1, 2, </w:t>
      </w:r>
      <w:proofErr w:type="gramStart"/>
      <w:r>
        <w:t>. . . )</w:t>
      </w:r>
      <w:proofErr w:type="gramEnd"/>
    </w:p>
    <w:p w14:paraId="04888467" w14:textId="77777777" w:rsidR="00F0008F" w:rsidRDefault="00F0008F" w:rsidP="00F0008F">
      <w:pPr>
        <w:ind w:left="720" w:hanging="360"/>
      </w:pPr>
      <w:r>
        <w:tab/>
      </w:r>
      <w:r w:rsidR="009B6C53">
        <w:t>CONVENTION</w:t>
      </w:r>
      <w:r>
        <w:t xml:space="preserve"> = optional </w:t>
      </w:r>
      <w:r w:rsidR="001E5680">
        <w:t xml:space="preserve">integer set to </w:t>
      </w:r>
      <w:r w:rsidR="00602F58">
        <w:t xml:space="preserve">1 </w:t>
      </w:r>
      <w:r w:rsidR="001E5680">
        <w:t xml:space="preserve">for half-year convention, 4 for mid-quarter convention, and 12 for mid-month convention. </w:t>
      </w:r>
      <w:r>
        <w:t xml:space="preserve">If omitted, </w:t>
      </w:r>
      <w:r w:rsidR="00602F58">
        <w:t>1</w:t>
      </w:r>
      <w:r>
        <w:t xml:space="preserve"> is assumed. </w:t>
      </w:r>
    </w:p>
    <w:p w14:paraId="044C1ADE" w14:textId="77777777" w:rsidR="001E5680" w:rsidRDefault="001E5680" w:rsidP="001E5680">
      <w:pPr>
        <w:ind w:left="720"/>
      </w:pPr>
      <w:r>
        <w:t xml:space="preserve">STARTPERIOD = optional integer indication which period the asset was placed into service. Set to 1 for </w:t>
      </w:r>
      <w:r w:rsidR="00602F58">
        <w:t>first-year</w:t>
      </w:r>
      <w:r>
        <w:t xml:space="preserve"> or first quarter or first month. Set to 2 for second quarter, or second month, and so on. If omitted, 1 is assumed.</w:t>
      </w:r>
    </w:p>
    <w:p w14:paraId="76AF7A02" w14:textId="77777777" w:rsidR="00F0008F" w:rsidRDefault="009B6C53" w:rsidP="00F0008F">
      <w:r>
        <w:t xml:space="preserve">Excel user-function </w:t>
      </w:r>
      <w:r w:rsidR="00602F58">
        <w:t>MACRS</w:t>
      </w:r>
      <w:r>
        <w:t xml:space="preserve">_PV uses </w:t>
      </w:r>
      <w:r w:rsidR="00602F58">
        <w:t>MACRS</w:t>
      </w:r>
      <w:r>
        <w:t xml:space="preserve"> to return the present value of the depreciation stream associated with an asset with a cost basis of 1. The argument list is:</w:t>
      </w:r>
    </w:p>
    <w:p w14:paraId="44E883E1" w14:textId="77777777" w:rsidR="009B6C53" w:rsidRDefault="009B6C53" w:rsidP="009B6C53">
      <w:pPr>
        <w:ind w:left="720"/>
      </w:pPr>
      <w:r>
        <w:t>RATE = the discount rate expressed as a fraction</w:t>
      </w:r>
    </w:p>
    <w:p w14:paraId="271830F9" w14:textId="77777777" w:rsidR="00602F58" w:rsidRDefault="009B6C53" w:rsidP="009B6C53">
      <w:pPr>
        <w:ind w:left="720" w:hanging="360"/>
      </w:pPr>
      <w:r>
        <w:tab/>
        <w:t>LIFE</w:t>
      </w:r>
      <w:r w:rsidR="00602F58">
        <w:t>, CONVENTION, and STARTPERIOD as for MACR (above)</w:t>
      </w:r>
    </w:p>
    <w:p w14:paraId="661B78F3" w14:textId="77777777" w:rsidR="007A7670" w:rsidRDefault="009B6C53" w:rsidP="00BC7E06">
      <w:pPr>
        <w:pStyle w:val="Heading2"/>
      </w:pPr>
      <w:r>
        <w:t>A</w:t>
      </w:r>
      <w:r w:rsidR="00A8001D">
        <w:t xml:space="preserve"> Simple </w:t>
      </w:r>
      <w:r>
        <w:t>Example</w:t>
      </w:r>
    </w:p>
    <w:p w14:paraId="46FC00D5" w14:textId="77777777" w:rsidR="00A8001D" w:rsidRDefault="00A8001D" w:rsidP="00A8001D">
      <w:r>
        <w:t xml:space="preserve">A company can invest in either of two different machines labeled A and B. Machine A qualifies as a 5-Year MACRS asset whereas machine B is a 7-Year asset. </w:t>
      </w:r>
      <w:r w:rsidR="00244B6A">
        <w:t xml:space="preserve">The cost of capital is 10% and the tax rate is 38%. </w:t>
      </w:r>
      <w:r>
        <w:t xml:space="preserve">Their </w:t>
      </w:r>
      <w:r w:rsidR="00244B6A">
        <w:t xml:space="preserve">machines’ </w:t>
      </w:r>
      <w:r>
        <w:t>costs and salvage values are shown below (operating expenses are identical</w:t>
      </w:r>
      <w:r w:rsidR="00DC52D5">
        <w:t xml:space="preserve"> and can, therefore, be ignored in the comparison</w:t>
      </w:r>
      <w:r>
        <w:t>):</w:t>
      </w:r>
    </w:p>
    <w:p w14:paraId="4CB8BD33" w14:textId="77777777" w:rsidR="00244B6A" w:rsidRPr="00A8001D" w:rsidRDefault="00244B6A" w:rsidP="00A8001D"/>
    <w:tbl>
      <w:tblPr>
        <w:tblW w:w="5670" w:type="dxa"/>
        <w:jc w:val="center"/>
        <w:tblCellMar>
          <w:left w:w="0" w:type="dxa"/>
          <w:right w:w="0" w:type="dxa"/>
        </w:tblCellMar>
        <w:tblLook w:val="04A0" w:firstRow="1" w:lastRow="0" w:firstColumn="1" w:lastColumn="0" w:noHBand="0" w:noVBand="1"/>
      </w:tblPr>
      <w:tblGrid>
        <w:gridCol w:w="2430"/>
        <w:gridCol w:w="1800"/>
        <w:gridCol w:w="1440"/>
      </w:tblGrid>
      <w:tr w:rsidR="00244B6A" w:rsidRPr="00540062" w14:paraId="584CD4EF" w14:textId="77777777" w:rsidTr="00244B6A">
        <w:trPr>
          <w:trHeight w:val="615"/>
          <w:jc w:val="center"/>
        </w:trPr>
        <w:tc>
          <w:tcPr>
            <w:tcW w:w="243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663F34DA" w14:textId="77777777" w:rsidR="00244B6A" w:rsidRPr="00540062" w:rsidRDefault="00244B6A">
            <w:pPr>
              <w:rPr>
                <w:rFonts w:ascii="Palatino Linotype" w:hAnsi="Palatino Linotype"/>
                <w:color w:val="000000"/>
                <w:szCs w:val="22"/>
              </w:rPr>
            </w:pPr>
            <w:r w:rsidRPr="00540062">
              <w:rPr>
                <w:rFonts w:ascii="Palatino Linotype" w:hAnsi="Palatino Linotype"/>
                <w:color w:val="000000"/>
                <w:szCs w:val="22"/>
              </w:rPr>
              <w:t> </w:t>
            </w:r>
          </w:p>
        </w:tc>
        <w:tc>
          <w:tcPr>
            <w:tcW w:w="1800" w:type="dxa"/>
            <w:tcBorders>
              <w:top w:val="single" w:sz="8" w:space="0" w:color="000000"/>
              <w:left w:val="nil"/>
              <w:bottom w:val="single" w:sz="8" w:space="0" w:color="000000"/>
              <w:right w:val="single" w:sz="8" w:space="0" w:color="000000"/>
            </w:tcBorders>
            <w:tcMar>
              <w:top w:w="15" w:type="dxa"/>
              <w:left w:w="15" w:type="dxa"/>
              <w:bottom w:w="0" w:type="dxa"/>
              <w:right w:w="15" w:type="dxa"/>
            </w:tcMar>
            <w:hideMark/>
          </w:tcPr>
          <w:p w14:paraId="21DB7B8B" w14:textId="77777777" w:rsidR="00244B6A" w:rsidRPr="00540062" w:rsidRDefault="00244B6A">
            <w:pPr>
              <w:jc w:val="right"/>
              <w:rPr>
                <w:rFonts w:ascii="Palatino Linotype" w:hAnsi="Palatino Linotype"/>
                <w:color w:val="000000"/>
                <w:szCs w:val="22"/>
              </w:rPr>
            </w:pPr>
            <w:r w:rsidRPr="00540062">
              <w:rPr>
                <w:rFonts w:ascii="Palatino Linotype" w:hAnsi="Palatino Linotype"/>
                <w:color w:val="000000"/>
                <w:szCs w:val="22"/>
              </w:rPr>
              <w:t>Machine A</w:t>
            </w:r>
          </w:p>
        </w:tc>
        <w:tc>
          <w:tcPr>
            <w:tcW w:w="1440" w:type="dxa"/>
            <w:tcBorders>
              <w:top w:val="single" w:sz="8" w:space="0" w:color="000000"/>
              <w:left w:val="nil"/>
              <w:bottom w:val="single" w:sz="8" w:space="0" w:color="000000"/>
              <w:right w:val="single" w:sz="8" w:space="0" w:color="000000"/>
            </w:tcBorders>
            <w:tcMar>
              <w:top w:w="15" w:type="dxa"/>
              <w:left w:w="15" w:type="dxa"/>
              <w:bottom w:w="0" w:type="dxa"/>
              <w:right w:w="15" w:type="dxa"/>
            </w:tcMar>
            <w:hideMark/>
          </w:tcPr>
          <w:p w14:paraId="7C1F4FFF" w14:textId="77777777" w:rsidR="00244B6A" w:rsidRPr="00540062" w:rsidRDefault="00244B6A">
            <w:pPr>
              <w:jc w:val="right"/>
              <w:rPr>
                <w:rFonts w:ascii="Palatino Linotype" w:hAnsi="Palatino Linotype"/>
                <w:color w:val="000000"/>
                <w:szCs w:val="22"/>
              </w:rPr>
            </w:pPr>
            <w:r w:rsidRPr="00540062">
              <w:rPr>
                <w:rFonts w:ascii="Palatino Linotype" w:hAnsi="Palatino Linotype"/>
                <w:color w:val="000000"/>
                <w:szCs w:val="22"/>
              </w:rPr>
              <w:t>Machine B</w:t>
            </w:r>
          </w:p>
        </w:tc>
      </w:tr>
      <w:tr w:rsidR="00244B6A" w:rsidRPr="00540062" w14:paraId="3E4A005A" w14:textId="77777777" w:rsidTr="000F24D5">
        <w:trPr>
          <w:trHeight w:val="457"/>
          <w:jc w:val="center"/>
        </w:trPr>
        <w:tc>
          <w:tcPr>
            <w:tcW w:w="2430" w:type="dxa"/>
            <w:tcBorders>
              <w:top w:val="nil"/>
              <w:left w:val="single" w:sz="8" w:space="0" w:color="000000"/>
              <w:bottom w:val="single" w:sz="8" w:space="0" w:color="000000"/>
              <w:right w:val="single" w:sz="8" w:space="0" w:color="000000"/>
            </w:tcBorders>
            <w:tcMar>
              <w:top w:w="15" w:type="dxa"/>
              <w:left w:w="15" w:type="dxa"/>
              <w:bottom w:w="0" w:type="dxa"/>
              <w:right w:w="15" w:type="dxa"/>
            </w:tcMar>
            <w:hideMark/>
          </w:tcPr>
          <w:p w14:paraId="1691B2DD" w14:textId="77777777" w:rsidR="00244B6A" w:rsidRPr="00540062" w:rsidRDefault="00244B6A">
            <w:pPr>
              <w:rPr>
                <w:rFonts w:ascii="Palatino Linotype" w:hAnsi="Palatino Linotype"/>
                <w:color w:val="000000"/>
                <w:szCs w:val="22"/>
              </w:rPr>
            </w:pPr>
            <w:r w:rsidRPr="00540062">
              <w:rPr>
                <w:rFonts w:ascii="Palatino Linotype" w:hAnsi="Palatino Linotype"/>
                <w:color w:val="000000"/>
                <w:szCs w:val="22"/>
              </w:rPr>
              <w:t>Cost</w:t>
            </w:r>
          </w:p>
        </w:tc>
        <w:tc>
          <w:tcPr>
            <w:tcW w:w="1800" w:type="dxa"/>
            <w:tcBorders>
              <w:top w:val="nil"/>
              <w:left w:val="nil"/>
              <w:bottom w:val="single" w:sz="8" w:space="0" w:color="000000"/>
              <w:right w:val="single" w:sz="8" w:space="0" w:color="000000"/>
            </w:tcBorders>
            <w:tcMar>
              <w:top w:w="15" w:type="dxa"/>
              <w:left w:w="15" w:type="dxa"/>
              <w:bottom w:w="0" w:type="dxa"/>
              <w:right w:w="15" w:type="dxa"/>
            </w:tcMar>
            <w:hideMark/>
          </w:tcPr>
          <w:p w14:paraId="6E877A2F" w14:textId="77777777" w:rsidR="00244B6A" w:rsidRPr="00540062" w:rsidRDefault="00244B6A">
            <w:pPr>
              <w:jc w:val="right"/>
              <w:rPr>
                <w:rFonts w:ascii="Palatino Linotype" w:hAnsi="Palatino Linotype"/>
                <w:color w:val="000000"/>
                <w:szCs w:val="22"/>
              </w:rPr>
            </w:pPr>
            <w:r w:rsidRPr="00540062">
              <w:rPr>
                <w:rFonts w:ascii="Palatino Linotype" w:hAnsi="Palatino Linotype"/>
                <w:color w:val="000000"/>
                <w:szCs w:val="22"/>
              </w:rPr>
              <w:t>1000</w:t>
            </w:r>
          </w:p>
        </w:tc>
        <w:tc>
          <w:tcPr>
            <w:tcW w:w="1440" w:type="dxa"/>
            <w:tcBorders>
              <w:top w:val="nil"/>
              <w:left w:val="nil"/>
              <w:bottom w:val="single" w:sz="8" w:space="0" w:color="000000"/>
              <w:right w:val="single" w:sz="8" w:space="0" w:color="000000"/>
            </w:tcBorders>
            <w:tcMar>
              <w:top w:w="15" w:type="dxa"/>
              <w:left w:w="15" w:type="dxa"/>
              <w:bottom w:w="0" w:type="dxa"/>
              <w:right w:w="15" w:type="dxa"/>
            </w:tcMar>
            <w:hideMark/>
          </w:tcPr>
          <w:p w14:paraId="5E675C3A" w14:textId="77777777" w:rsidR="00244B6A" w:rsidRPr="00540062" w:rsidRDefault="00244B6A">
            <w:pPr>
              <w:jc w:val="right"/>
              <w:rPr>
                <w:rFonts w:ascii="Palatino Linotype" w:hAnsi="Palatino Linotype"/>
                <w:color w:val="000000"/>
                <w:szCs w:val="22"/>
              </w:rPr>
            </w:pPr>
            <w:r w:rsidRPr="00540062">
              <w:rPr>
                <w:rFonts w:ascii="Palatino Linotype" w:hAnsi="Palatino Linotype"/>
                <w:color w:val="000000"/>
                <w:szCs w:val="22"/>
              </w:rPr>
              <w:t>1200</w:t>
            </w:r>
          </w:p>
        </w:tc>
      </w:tr>
      <w:tr w:rsidR="00244B6A" w:rsidRPr="00540062" w14:paraId="29D8A26A" w14:textId="77777777" w:rsidTr="000F24D5">
        <w:trPr>
          <w:trHeight w:val="340"/>
          <w:jc w:val="center"/>
        </w:trPr>
        <w:tc>
          <w:tcPr>
            <w:tcW w:w="2430" w:type="dxa"/>
            <w:tcBorders>
              <w:top w:val="nil"/>
              <w:left w:val="single" w:sz="8" w:space="0" w:color="000000"/>
              <w:bottom w:val="single" w:sz="8" w:space="0" w:color="000000"/>
              <w:right w:val="single" w:sz="8" w:space="0" w:color="000000"/>
            </w:tcBorders>
            <w:tcMar>
              <w:top w:w="15" w:type="dxa"/>
              <w:left w:w="15" w:type="dxa"/>
              <w:bottom w:w="0" w:type="dxa"/>
              <w:right w:w="15" w:type="dxa"/>
            </w:tcMar>
            <w:hideMark/>
          </w:tcPr>
          <w:p w14:paraId="37FC4A06" w14:textId="77777777" w:rsidR="00244B6A" w:rsidRPr="00540062" w:rsidRDefault="00244B6A">
            <w:pPr>
              <w:rPr>
                <w:rFonts w:ascii="Palatino Linotype" w:hAnsi="Palatino Linotype"/>
                <w:color w:val="000000"/>
                <w:szCs w:val="22"/>
              </w:rPr>
            </w:pPr>
            <w:r w:rsidRPr="00540062">
              <w:rPr>
                <w:rFonts w:ascii="Palatino Linotype" w:hAnsi="Palatino Linotype"/>
                <w:color w:val="000000"/>
                <w:szCs w:val="22"/>
              </w:rPr>
              <w:t>Life</w:t>
            </w:r>
            <w:r w:rsidR="000F24D5">
              <w:rPr>
                <w:rFonts w:ascii="Palatino Linotype" w:hAnsi="Palatino Linotype"/>
                <w:color w:val="000000"/>
                <w:szCs w:val="22"/>
              </w:rPr>
              <w:t xml:space="preserve"> in years</w:t>
            </w:r>
          </w:p>
        </w:tc>
        <w:tc>
          <w:tcPr>
            <w:tcW w:w="1800" w:type="dxa"/>
            <w:tcBorders>
              <w:top w:val="nil"/>
              <w:left w:val="nil"/>
              <w:bottom w:val="single" w:sz="8" w:space="0" w:color="000000"/>
              <w:right w:val="single" w:sz="8" w:space="0" w:color="000000"/>
            </w:tcBorders>
            <w:tcMar>
              <w:top w:w="15" w:type="dxa"/>
              <w:left w:w="15" w:type="dxa"/>
              <w:bottom w:w="0" w:type="dxa"/>
              <w:right w:w="15" w:type="dxa"/>
            </w:tcMar>
            <w:hideMark/>
          </w:tcPr>
          <w:p w14:paraId="64B08D09" w14:textId="77777777" w:rsidR="00244B6A" w:rsidRPr="00540062" w:rsidRDefault="00244B6A">
            <w:pPr>
              <w:jc w:val="right"/>
              <w:rPr>
                <w:rFonts w:ascii="Palatino Linotype" w:hAnsi="Palatino Linotype"/>
                <w:color w:val="000000"/>
                <w:szCs w:val="22"/>
              </w:rPr>
            </w:pPr>
            <w:r w:rsidRPr="00540062">
              <w:rPr>
                <w:rFonts w:ascii="Palatino Linotype" w:hAnsi="Palatino Linotype"/>
                <w:color w:val="000000"/>
                <w:szCs w:val="22"/>
              </w:rPr>
              <w:t>5</w:t>
            </w:r>
          </w:p>
        </w:tc>
        <w:tc>
          <w:tcPr>
            <w:tcW w:w="1440" w:type="dxa"/>
            <w:tcBorders>
              <w:top w:val="nil"/>
              <w:left w:val="nil"/>
              <w:bottom w:val="single" w:sz="8" w:space="0" w:color="000000"/>
              <w:right w:val="single" w:sz="8" w:space="0" w:color="000000"/>
            </w:tcBorders>
            <w:tcMar>
              <w:top w:w="15" w:type="dxa"/>
              <w:left w:w="15" w:type="dxa"/>
              <w:bottom w:w="0" w:type="dxa"/>
              <w:right w:w="15" w:type="dxa"/>
            </w:tcMar>
            <w:hideMark/>
          </w:tcPr>
          <w:p w14:paraId="641F8FB3" w14:textId="77777777" w:rsidR="00244B6A" w:rsidRPr="00540062" w:rsidRDefault="00244B6A">
            <w:pPr>
              <w:jc w:val="right"/>
              <w:rPr>
                <w:rFonts w:ascii="Palatino Linotype" w:hAnsi="Palatino Linotype"/>
                <w:color w:val="000000"/>
                <w:szCs w:val="22"/>
              </w:rPr>
            </w:pPr>
            <w:r w:rsidRPr="00540062">
              <w:rPr>
                <w:rFonts w:ascii="Palatino Linotype" w:hAnsi="Palatino Linotype"/>
                <w:color w:val="000000"/>
                <w:szCs w:val="22"/>
              </w:rPr>
              <w:t>7</w:t>
            </w:r>
          </w:p>
        </w:tc>
      </w:tr>
      <w:tr w:rsidR="00244B6A" w:rsidRPr="00540062" w14:paraId="0EA09F5C" w14:textId="77777777" w:rsidTr="000F24D5">
        <w:trPr>
          <w:trHeight w:val="448"/>
          <w:jc w:val="center"/>
        </w:trPr>
        <w:tc>
          <w:tcPr>
            <w:tcW w:w="2430" w:type="dxa"/>
            <w:tcBorders>
              <w:top w:val="nil"/>
              <w:left w:val="single" w:sz="8" w:space="0" w:color="000000"/>
              <w:bottom w:val="single" w:sz="8" w:space="0" w:color="000000"/>
              <w:right w:val="single" w:sz="8" w:space="0" w:color="000000"/>
            </w:tcBorders>
            <w:tcMar>
              <w:top w:w="15" w:type="dxa"/>
              <w:left w:w="15" w:type="dxa"/>
              <w:bottom w:w="0" w:type="dxa"/>
              <w:right w:w="15" w:type="dxa"/>
            </w:tcMar>
            <w:hideMark/>
          </w:tcPr>
          <w:p w14:paraId="76DB94EC" w14:textId="77777777" w:rsidR="00244B6A" w:rsidRPr="00540062" w:rsidRDefault="00244B6A">
            <w:pPr>
              <w:rPr>
                <w:rFonts w:ascii="Palatino Linotype" w:hAnsi="Palatino Linotype"/>
                <w:color w:val="000000"/>
                <w:szCs w:val="22"/>
              </w:rPr>
            </w:pPr>
            <w:r w:rsidRPr="00540062">
              <w:rPr>
                <w:rFonts w:ascii="Palatino Linotype" w:hAnsi="Palatino Linotype"/>
                <w:color w:val="000000"/>
                <w:szCs w:val="22"/>
              </w:rPr>
              <w:t>Salvage Value</w:t>
            </w:r>
          </w:p>
        </w:tc>
        <w:tc>
          <w:tcPr>
            <w:tcW w:w="1800" w:type="dxa"/>
            <w:tcBorders>
              <w:top w:val="nil"/>
              <w:left w:val="nil"/>
              <w:bottom w:val="single" w:sz="8" w:space="0" w:color="000000"/>
              <w:right w:val="single" w:sz="8" w:space="0" w:color="000000"/>
            </w:tcBorders>
            <w:tcMar>
              <w:top w:w="15" w:type="dxa"/>
              <w:left w:w="15" w:type="dxa"/>
              <w:bottom w:w="0" w:type="dxa"/>
              <w:right w:w="15" w:type="dxa"/>
            </w:tcMar>
            <w:hideMark/>
          </w:tcPr>
          <w:p w14:paraId="60ED0876" w14:textId="77777777" w:rsidR="00244B6A" w:rsidRPr="00540062" w:rsidRDefault="00244B6A">
            <w:pPr>
              <w:jc w:val="right"/>
              <w:rPr>
                <w:rFonts w:ascii="Palatino Linotype" w:hAnsi="Palatino Linotype"/>
                <w:color w:val="000000"/>
                <w:szCs w:val="22"/>
              </w:rPr>
            </w:pPr>
            <w:r w:rsidRPr="00540062">
              <w:rPr>
                <w:rFonts w:ascii="Palatino Linotype" w:hAnsi="Palatino Linotype"/>
                <w:color w:val="000000"/>
                <w:szCs w:val="22"/>
              </w:rPr>
              <w:t>100</w:t>
            </w:r>
          </w:p>
        </w:tc>
        <w:tc>
          <w:tcPr>
            <w:tcW w:w="1440" w:type="dxa"/>
            <w:tcBorders>
              <w:top w:val="nil"/>
              <w:left w:val="nil"/>
              <w:bottom w:val="single" w:sz="8" w:space="0" w:color="000000"/>
              <w:right w:val="single" w:sz="8" w:space="0" w:color="000000"/>
            </w:tcBorders>
            <w:tcMar>
              <w:top w:w="15" w:type="dxa"/>
              <w:left w:w="15" w:type="dxa"/>
              <w:bottom w:w="0" w:type="dxa"/>
              <w:right w:w="15" w:type="dxa"/>
            </w:tcMar>
            <w:hideMark/>
          </w:tcPr>
          <w:p w14:paraId="006A71E9" w14:textId="77777777" w:rsidR="00244B6A" w:rsidRPr="00540062" w:rsidRDefault="00244B6A">
            <w:pPr>
              <w:jc w:val="right"/>
              <w:rPr>
                <w:rFonts w:ascii="Palatino Linotype" w:hAnsi="Palatino Linotype"/>
                <w:color w:val="000000"/>
                <w:szCs w:val="22"/>
              </w:rPr>
            </w:pPr>
            <w:r w:rsidRPr="00540062">
              <w:rPr>
                <w:rFonts w:ascii="Palatino Linotype" w:hAnsi="Palatino Linotype"/>
                <w:color w:val="000000"/>
                <w:szCs w:val="22"/>
              </w:rPr>
              <w:t>0</w:t>
            </w:r>
          </w:p>
        </w:tc>
      </w:tr>
    </w:tbl>
    <w:p w14:paraId="430E4A3D" w14:textId="77777777" w:rsidR="009B6C53" w:rsidRPr="00B31A23" w:rsidRDefault="009B6C53"/>
    <w:p w14:paraId="1642E5E2" w14:textId="77777777" w:rsidR="00BC7E06" w:rsidRPr="00B31A23" w:rsidRDefault="00BC7E06"/>
    <w:p w14:paraId="1F79D77C" w14:textId="77777777" w:rsidR="00091270" w:rsidRPr="00DC52D5" w:rsidRDefault="00091270" w:rsidP="00DC52D5">
      <w:r w:rsidRPr="00DC52D5">
        <w:t xml:space="preserve">The table below shows the analysis of these investments. The MACRS_PV function is used to compute the present value of the depreciation stream. Multiplying by the tax rate gives the </w:t>
      </w:r>
      <w:r w:rsidR="00A121BD">
        <w:t>present value</w:t>
      </w:r>
      <w:r w:rsidRPr="00DC52D5">
        <w:t xml:space="preserve"> of the depreciation tax shield (the reduction in taxes). The MACRS rules leave out salvage values, so these rules leave a zero balance on the books</w:t>
      </w:r>
      <w:r w:rsidR="00A121BD">
        <w:t xml:space="preserve"> at </w:t>
      </w:r>
      <w:proofErr w:type="gramStart"/>
      <w:r w:rsidR="00A121BD">
        <w:t>then</w:t>
      </w:r>
      <w:proofErr w:type="gramEnd"/>
      <w:r w:rsidR="00A121BD">
        <w:t xml:space="preserve"> end of </w:t>
      </w:r>
      <w:proofErr w:type="gramStart"/>
      <w:r w:rsidR="00A121BD">
        <w:t>its</w:t>
      </w:r>
      <w:proofErr w:type="gramEnd"/>
      <w:r w:rsidR="00A121BD">
        <w:t xml:space="preserve"> depreciation life</w:t>
      </w:r>
      <w:r w:rsidRPr="00DC52D5">
        <w:t xml:space="preserve">. If the asset is then sold for a larger amount, there is a taxable gain on the sale (corporations do not get special capital gains treatments). The net (after-tax) cash cost associated with each machine </w:t>
      </w:r>
      <w:r w:rsidR="00A121BD">
        <w:t>is</w:t>
      </w:r>
      <w:r w:rsidRPr="00DC52D5">
        <w:t xml:space="preserve"> the initial outlay less the value of the depreciation tax shield less the after-tax gain on sale. </w:t>
      </w:r>
    </w:p>
    <w:p w14:paraId="204C755C" w14:textId="77777777" w:rsidR="009B6C53" w:rsidRPr="00DC52D5" w:rsidRDefault="00091270" w:rsidP="00DC52D5">
      <w:r w:rsidRPr="00DC52D5">
        <w:t xml:space="preserve">As can be seen, the NPV of the after-tax cash costs for these machines are $668 and $847 respectively. However, these machines have different lifetimes. </w:t>
      </w:r>
      <w:r w:rsidR="001A0593" w:rsidRPr="00DC52D5">
        <w:t>Consequently, the issue of their replacement must be considered—the less expensive machine will have to be replaced sooner. Lacking any additional data about future machine prices and lifetimes, the simplest approach</w:t>
      </w:r>
      <w:r w:rsidR="00A121BD">
        <w:t xml:space="preserve"> to dealing with differing lifetimes</w:t>
      </w:r>
      <w:r w:rsidR="001A0593" w:rsidRPr="00DC52D5">
        <w:t xml:space="preserve"> is to convert each NPV into a level payment stream over the lifetime of the machine. That is, into a level annual lease rate. Excel function PMT does this and the last line of the analysis shows that machine </w:t>
      </w:r>
      <w:r w:rsidR="00DC52D5" w:rsidRPr="00DC52D5">
        <w:t>B</w:t>
      </w:r>
      <w:r w:rsidR="001A0593" w:rsidRPr="00DC52D5">
        <w:t xml:space="preserve"> is less expensive.</w:t>
      </w:r>
    </w:p>
    <w:p w14:paraId="303EFE93" w14:textId="77777777" w:rsidR="00091270" w:rsidRPr="00B31A23" w:rsidRDefault="00091270"/>
    <w:p w14:paraId="7BB9110F" w14:textId="77777777" w:rsidR="009B6C53" w:rsidRPr="00B31A23" w:rsidRDefault="009B6C53"/>
    <w:tbl>
      <w:tblPr>
        <w:tblW w:w="8745" w:type="dxa"/>
        <w:tblCellMar>
          <w:left w:w="0" w:type="dxa"/>
          <w:right w:w="0" w:type="dxa"/>
        </w:tblCellMar>
        <w:tblLook w:val="04A0" w:firstRow="1" w:lastRow="0" w:firstColumn="1" w:lastColumn="0" w:noHBand="0" w:noVBand="1"/>
      </w:tblPr>
      <w:tblGrid>
        <w:gridCol w:w="2355"/>
        <w:gridCol w:w="4320"/>
        <w:gridCol w:w="1080"/>
        <w:gridCol w:w="990"/>
      </w:tblGrid>
      <w:tr w:rsidR="00244B6A" w:rsidRPr="00540062" w14:paraId="1B161581" w14:textId="77777777" w:rsidTr="00244B6A">
        <w:trPr>
          <w:trHeight w:val="600"/>
        </w:trPr>
        <w:tc>
          <w:tcPr>
            <w:tcW w:w="2355" w:type="dxa"/>
            <w:tcBorders>
              <w:top w:val="nil"/>
              <w:left w:val="nil"/>
              <w:bottom w:val="single" w:sz="4" w:space="0" w:color="000000" w:themeColor="text1"/>
              <w:right w:val="nil"/>
            </w:tcBorders>
            <w:tcMar>
              <w:top w:w="0" w:type="dxa"/>
              <w:left w:w="15" w:type="dxa"/>
              <w:bottom w:w="0" w:type="dxa"/>
              <w:right w:w="15" w:type="dxa"/>
            </w:tcMar>
            <w:hideMark/>
          </w:tcPr>
          <w:p w14:paraId="05D06D7B" w14:textId="77777777" w:rsidR="00244B6A" w:rsidRPr="00540062" w:rsidRDefault="00244B6A" w:rsidP="00540062">
            <w:pPr>
              <w:jc w:val="left"/>
              <w:rPr>
                <w:rFonts w:ascii="Palatino Linotype" w:hAnsi="Palatino Linotype"/>
                <w:color w:val="000000"/>
                <w:szCs w:val="22"/>
              </w:rPr>
            </w:pPr>
            <w:r w:rsidRPr="00540062">
              <w:rPr>
                <w:rFonts w:ascii="Palatino Linotype" w:hAnsi="Palatino Linotype"/>
                <w:color w:val="000000"/>
                <w:szCs w:val="22"/>
              </w:rPr>
              <w:t>Item</w:t>
            </w:r>
          </w:p>
        </w:tc>
        <w:tc>
          <w:tcPr>
            <w:tcW w:w="4320" w:type="dxa"/>
            <w:tcBorders>
              <w:top w:val="nil"/>
              <w:left w:val="nil"/>
              <w:bottom w:val="single" w:sz="4" w:space="0" w:color="000000" w:themeColor="text1"/>
              <w:right w:val="nil"/>
            </w:tcBorders>
            <w:tcMar>
              <w:top w:w="0" w:type="dxa"/>
              <w:left w:w="15" w:type="dxa"/>
              <w:bottom w:w="0" w:type="dxa"/>
              <w:right w:w="15" w:type="dxa"/>
            </w:tcMar>
            <w:hideMark/>
          </w:tcPr>
          <w:p w14:paraId="2804B312" w14:textId="77777777" w:rsidR="00244B6A" w:rsidRPr="00540062" w:rsidRDefault="00244B6A">
            <w:pPr>
              <w:rPr>
                <w:rFonts w:ascii="Palatino Linotype" w:hAnsi="Palatino Linotype"/>
                <w:color w:val="000000"/>
                <w:szCs w:val="22"/>
              </w:rPr>
            </w:pPr>
            <w:r w:rsidRPr="00540062">
              <w:rPr>
                <w:rFonts w:ascii="Palatino Linotype" w:hAnsi="Palatino Linotype"/>
                <w:color w:val="000000"/>
                <w:szCs w:val="22"/>
              </w:rPr>
              <w:t>Excel Formula</w:t>
            </w:r>
          </w:p>
        </w:tc>
        <w:tc>
          <w:tcPr>
            <w:tcW w:w="1080" w:type="dxa"/>
            <w:tcBorders>
              <w:top w:val="nil"/>
              <w:left w:val="nil"/>
              <w:bottom w:val="single" w:sz="4" w:space="0" w:color="000000" w:themeColor="text1"/>
              <w:right w:val="nil"/>
            </w:tcBorders>
            <w:tcMar>
              <w:top w:w="0" w:type="dxa"/>
              <w:left w:w="15" w:type="dxa"/>
              <w:bottom w:w="0" w:type="dxa"/>
              <w:right w:w="15" w:type="dxa"/>
            </w:tcMar>
            <w:hideMark/>
          </w:tcPr>
          <w:p w14:paraId="57567388" w14:textId="77777777" w:rsidR="00244B6A" w:rsidRPr="00540062" w:rsidRDefault="00244B6A" w:rsidP="00244B6A">
            <w:pPr>
              <w:jc w:val="right"/>
              <w:rPr>
                <w:rFonts w:ascii="Palatino Linotype" w:hAnsi="Palatino Linotype"/>
                <w:color w:val="000000"/>
                <w:szCs w:val="22"/>
              </w:rPr>
            </w:pPr>
            <w:r w:rsidRPr="00540062">
              <w:rPr>
                <w:rFonts w:ascii="Palatino Linotype" w:hAnsi="Palatino Linotype"/>
                <w:color w:val="000000"/>
                <w:szCs w:val="22"/>
              </w:rPr>
              <w:t>A</w:t>
            </w:r>
          </w:p>
        </w:tc>
        <w:tc>
          <w:tcPr>
            <w:tcW w:w="990" w:type="dxa"/>
            <w:tcBorders>
              <w:top w:val="nil"/>
              <w:left w:val="nil"/>
              <w:bottom w:val="single" w:sz="4" w:space="0" w:color="000000" w:themeColor="text1"/>
              <w:right w:val="nil"/>
            </w:tcBorders>
            <w:tcMar>
              <w:top w:w="0" w:type="dxa"/>
              <w:left w:w="15" w:type="dxa"/>
              <w:bottom w:w="0" w:type="dxa"/>
              <w:right w:w="15" w:type="dxa"/>
            </w:tcMar>
            <w:hideMark/>
          </w:tcPr>
          <w:p w14:paraId="2A9B18E0" w14:textId="77777777" w:rsidR="00244B6A" w:rsidRPr="00540062" w:rsidRDefault="00244B6A" w:rsidP="00244B6A">
            <w:pPr>
              <w:jc w:val="right"/>
              <w:rPr>
                <w:rFonts w:ascii="Palatino Linotype" w:hAnsi="Palatino Linotype"/>
                <w:color w:val="000000"/>
                <w:szCs w:val="22"/>
              </w:rPr>
            </w:pPr>
            <w:r w:rsidRPr="00540062">
              <w:rPr>
                <w:rFonts w:ascii="Palatino Linotype" w:hAnsi="Palatino Linotype"/>
                <w:color w:val="000000"/>
                <w:szCs w:val="22"/>
              </w:rPr>
              <w:t>B</w:t>
            </w:r>
          </w:p>
        </w:tc>
      </w:tr>
      <w:tr w:rsidR="00244B6A" w:rsidRPr="00540062" w14:paraId="5801FEEA" w14:textId="77777777" w:rsidTr="00244B6A">
        <w:trPr>
          <w:trHeight w:val="600"/>
        </w:trPr>
        <w:tc>
          <w:tcPr>
            <w:tcW w:w="2355" w:type="dxa"/>
            <w:tcBorders>
              <w:top w:val="single" w:sz="4" w:space="0" w:color="000000" w:themeColor="text1"/>
              <w:left w:val="nil"/>
              <w:bottom w:val="nil"/>
              <w:right w:val="nil"/>
            </w:tcBorders>
            <w:tcMar>
              <w:top w:w="0" w:type="dxa"/>
              <w:left w:w="15" w:type="dxa"/>
              <w:bottom w:w="0" w:type="dxa"/>
              <w:right w:w="15" w:type="dxa"/>
            </w:tcMar>
            <w:hideMark/>
          </w:tcPr>
          <w:p w14:paraId="3943BE52" w14:textId="77777777" w:rsidR="00244B6A" w:rsidRPr="00540062" w:rsidRDefault="00244B6A" w:rsidP="00540062">
            <w:pPr>
              <w:jc w:val="left"/>
              <w:rPr>
                <w:rFonts w:ascii="Palatino Linotype" w:hAnsi="Palatino Linotype"/>
                <w:color w:val="000000"/>
                <w:szCs w:val="22"/>
              </w:rPr>
            </w:pPr>
            <w:r w:rsidRPr="00540062">
              <w:rPr>
                <w:rFonts w:ascii="Palatino Linotype" w:hAnsi="Palatino Linotype"/>
                <w:color w:val="000000"/>
                <w:szCs w:val="22"/>
              </w:rPr>
              <w:t>Purchase price</w:t>
            </w:r>
          </w:p>
        </w:tc>
        <w:tc>
          <w:tcPr>
            <w:tcW w:w="4320" w:type="dxa"/>
            <w:tcBorders>
              <w:top w:val="single" w:sz="4" w:space="0" w:color="000000" w:themeColor="text1"/>
              <w:left w:val="nil"/>
              <w:bottom w:val="nil"/>
              <w:right w:val="nil"/>
            </w:tcBorders>
            <w:tcMar>
              <w:top w:w="0" w:type="dxa"/>
              <w:left w:w="15" w:type="dxa"/>
              <w:bottom w:w="0" w:type="dxa"/>
              <w:right w:w="15" w:type="dxa"/>
            </w:tcMar>
            <w:hideMark/>
          </w:tcPr>
          <w:p w14:paraId="76E91C10" w14:textId="77777777" w:rsidR="00244B6A" w:rsidRPr="00540062" w:rsidRDefault="00244B6A">
            <w:pPr>
              <w:rPr>
                <w:rFonts w:ascii="Palatino Linotype" w:hAnsi="Palatino Linotype"/>
                <w:color w:val="000000"/>
                <w:szCs w:val="22"/>
              </w:rPr>
            </w:pPr>
            <w:r w:rsidRPr="00540062">
              <w:rPr>
                <w:rFonts w:ascii="Palatino Linotype" w:hAnsi="Palatino Linotype"/>
                <w:color w:val="000000"/>
                <w:szCs w:val="22"/>
              </w:rPr>
              <w:t>=Price</w:t>
            </w:r>
          </w:p>
        </w:tc>
        <w:tc>
          <w:tcPr>
            <w:tcW w:w="1080" w:type="dxa"/>
            <w:tcBorders>
              <w:top w:val="single" w:sz="4" w:space="0" w:color="000000" w:themeColor="text1"/>
              <w:left w:val="nil"/>
              <w:bottom w:val="nil"/>
              <w:right w:val="nil"/>
            </w:tcBorders>
            <w:tcMar>
              <w:top w:w="0" w:type="dxa"/>
              <w:left w:w="15" w:type="dxa"/>
              <w:bottom w:w="0" w:type="dxa"/>
              <w:right w:w="15" w:type="dxa"/>
            </w:tcMar>
            <w:hideMark/>
          </w:tcPr>
          <w:p w14:paraId="67E68E91" w14:textId="77777777" w:rsidR="00244B6A" w:rsidRPr="00540062" w:rsidRDefault="00244B6A" w:rsidP="00244B6A">
            <w:pPr>
              <w:jc w:val="right"/>
              <w:rPr>
                <w:rFonts w:ascii="Palatino Linotype" w:hAnsi="Palatino Linotype"/>
                <w:color w:val="000000"/>
                <w:szCs w:val="22"/>
              </w:rPr>
            </w:pPr>
            <w:r w:rsidRPr="00540062">
              <w:rPr>
                <w:rFonts w:ascii="Palatino Linotype" w:hAnsi="Palatino Linotype"/>
                <w:color w:val="000000"/>
                <w:szCs w:val="22"/>
              </w:rPr>
              <w:t>1000</w:t>
            </w:r>
          </w:p>
        </w:tc>
        <w:tc>
          <w:tcPr>
            <w:tcW w:w="990" w:type="dxa"/>
            <w:tcBorders>
              <w:top w:val="single" w:sz="4" w:space="0" w:color="000000" w:themeColor="text1"/>
              <w:left w:val="nil"/>
              <w:bottom w:val="nil"/>
              <w:right w:val="nil"/>
            </w:tcBorders>
            <w:tcMar>
              <w:top w:w="0" w:type="dxa"/>
              <w:left w:w="15" w:type="dxa"/>
              <w:bottom w:w="0" w:type="dxa"/>
              <w:right w:w="15" w:type="dxa"/>
            </w:tcMar>
            <w:hideMark/>
          </w:tcPr>
          <w:p w14:paraId="12F83B27" w14:textId="77777777" w:rsidR="00244B6A" w:rsidRPr="00540062" w:rsidRDefault="00244B6A" w:rsidP="00244B6A">
            <w:pPr>
              <w:jc w:val="right"/>
              <w:rPr>
                <w:rFonts w:ascii="Palatino Linotype" w:hAnsi="Palatino Linotype"/>
                <w:color w:val="000000"/>
                <w:szCs w:val="22"/>
              </w:rPr>
            </w:pPr>
            <w:r w:rsidRPr="00540062">
              <w:rPr>
                <w:rFonts w:ascii="Palatino Linotype" w:hAnsi="Palatino Linotype"/>
                <w:color w:val="000000"/>
                <w:szCs w:val="22"/>
              </w:rPr>
              <w:t>1200</w:t>
            </w:r>
          </w:p>
        </w:tc>
      </w:tr>
      <w:tr w:rsidR="00244B6A" w:rsidRPr="00540062" w14:paraId="2B2D116D" w14:textId="77777777" w:rsidTr="00244B6A">
        <w:trPr>
          <w:trHeight w:val="1200"/>
        </w:trPr>
        <w:tc>
          <w:tcPr>
            <w:tcW w:w="2355" w:type="dxa"/>
            <w:tcBorders>
              <w:top w:val="nil"/>
              <w:left w:val="nil"/>
              <w:bottom w:val="nil"/>
              <w:right w:val="nil"/>
            </w:tcBorders>
            <w:tcMar>
              <w:top w:w="0" w:type="dxa"/>
              <w:left w:w="15" w:type="dxa"/>
              <w:bottom w:w="0" w:type="dxa"/>
              <w:right w:w="15" w:type="dxa"/>
            </w:tcMar>
            <w:hideMark/>
          </w:tcPr>
          <w:p w14:paraId="5F9D363D" w14:textId="77777777" w:rsidR="00244B6A" w:rsidRPr="00540062" w:rsidRDefault="00244B6A" w:rsidP="00540062">
            <w:pPr>
              <w:jc w:val="left"/>
              <w:rPr>
                <w:rFonts w:ascii="Palatino Linotype" w:hAnsi="Palatino Linotype"/>
                <w:color w:val="000000"/>
                <w:szCs w:val="22"/>
              </w:rPr>
            </w:pPr>
            <w:r w:rsidRPr="00540062">
              <w:rPr>
                <w:rFonts w:ascii="Palatino Linotype" w:hAnsi="Palatino Linotype"/>
                <w:color w:val="000000"/>
                <w:szCs w:val="22"/>
              </w:rPr>
              <w:t xml:space="preserve">PV of Depreciation </w:t>
            </w:r>
            <w:r w:rsidR="00540062">
              <w:rPr>
                <w:rFonts w:ascii="Palatino Linotype" w:hAnsi="Palatino Linotype"/>
                <w:color w:val="000000"/>
                <w:szCs w:val="22"/>
              </w:rPr>
              <w:br/>
            </w:r>
            <w:r w:rsidRPr="00540062">
              <w:rPr>
                <w:rFonts w:ascii="Palatino Linotype" w:hAnsi="Palatino Linotype"/>
                <w:color w:val="000000"/>
                <w:szCs w:val="22"/>
              </w:rPr>
              <w:t>Tax Shield</w:t>
            </w:r>
          </w:p>
        </w:tc>
        <w:tc>
          <w:tcPr>
            <w:tcW w:w="4320" w:type="dxa"/>
            <w:tcBorders>
              <w:top w:val="nil"/>
              <w:left w:val="nil"/>
              <w:bottom w:val="nil"/>
              <w:right w:val="nil"/>
            </w:tcBorders>
            <w:tcMar>
              <w:top w:w="0" w:type="dxa"/>
              <w:left w:w="15" w:type="dxa"/>
              <w:bottom w:w="0" w:type="dxa"/>
              <w:right w:w="15" w:type="dxa"/>
            </w:tcMar>
            <w:hideMark/>
          </w:tcPr>
          <w:p w14:paraId="2D36BD32" w14:textId="77777777" w:rsidR="00244B6A" w:rsidRPr="00540062" w:rsidRDefault="00244B6A">
            <w:pPr>
              <w:rPr>
                <w:rFonts w:ascii="Palatino Linotype" w:hAnsi="Palatino Linotype"/>
                <w:color w:val="000000"/>
                <w:szCs w:val="22"/>
              </w:rPr>
            </w:pPr>
            <w:r w:rsidRPr="00540062">
              <w:rPr>
                <w:rFonts w:ascii="Palatino Linotype" w:hAnsi="Palatino Linotype"/>
                <w:color w:val="000000"/>
                <w:szCs w:val="22"/>
              </w:rPr>
              <w:t>=Tax*MACRS_</w:t>
            </w:r>
            <w:proofErr w:type="gramStart"/>
            <w:r w:rsidRPr="00540062">
              <w:rPr>
                <w:rFonts w:ascii="Palatino Linotype" w:hAnsi="Palatino Linotype"/>
                <w:color w:val="000000"/>
                <w:szCs w:val="22"/>
              </w:rPr>
              <w:t>PV(</w:t>
            </w:r>
            <w:proofErr w:type="gramEnd"/>
            <w:r w:rsidRPr="00540062">
              <w:rPr>
                <w:rFonts w:ascii="Palatino Linotype" w:hAnsi="Palatino Linotype"/>
                <w:color w:val="000000"/>
                <w:szCs w:val="22"/>
              </w:rPr>
              <w:t xml:space="preserve">CoC, </w:t>
            </w:r>
            <w:proofErr w:type="gramStart"/>
            <w:r w:rsidRPr="00540062">
              <w:rPr>
                <w:rFonts w:ascii="Palatino Linotype" w:hAnsi="Palatino Linotype"/>
                <w:color w:val="000000"/>
                <w:szCs w:val="22"/>
              </w:rPr>
              <w:t>Life)*</w:t>
            </w:r>
            <w:proofErr w:type="gramEnd"/>
            <w:r w:rsidRPr="00540062">
              <w:rPr>
                <w:rFonts w:ascii="Palatino Linotype" w:hAnsi="Palatino Linotype"/>
                <w:color w:val="000000"/>
                <w:szCs w:val="22"/>
              </w:rPr>
              <w:t>Price</w:t>
            </w:r>
          </w:p>
        </w:tc>
        <w:tc>
          <w:tcPr>
            <w:tcW w:w="1080" w:type="dxa"/>
            <w:tcBorders>
              <w:top w:val="nil"/>
              <w:left w:val="nil"/>
              <w:bottom w:val="nil"/>
              <w:right w:val="nil"/>
            </w:tcBorders>
            <w:tcMar>
              <w:top w:w="0" w:type="dxa"/>
              <w:left w:w="15" w:type="dxa"/>
              <w:bottom w:w="0" w:type="dxa"/>
              <w:right w:w="15" w:type="dxa"/>
            </w:tcMar>
            <w:vAlign w:val="bottom"/>
            <w:hideMark/>
          </w:tcPr>
          <w:p w14:paraId="2804E462" w14:textId="77777777" w:rsidR="00244B6A" w:rsidRPr="00540062" w:rsidRDefault="00244B6A" w:rsidP="00244B6A">
            <w:pPr>
              <w:jc w:val="right"/>
              <w:rPr>
                <w:rFonts w:ascii="Palatino Linotype" w:hAnsi="Palatino Linotype"/>
                <w:color w:val="000000"/>
                <w:szCs w:val="22"/>
              </w:rPr>
            </w:pPr>
            <w:r w:rsidRPr="00540062">
              <w:rPr>
                <w:rFonts w:ascii="Palatino Linotype" w:hAnsi="Palatino Linotype"/>
                <w:color w:val="000000"/>
                <w:szCs w:val="22"/>
              </w:rPr>
              <w:t>294</w:t>
            </w:r>
          </w:p>
        </w:tc>
        <w:tc>
          <w:tcPr>
            <w:tcW w:w="990" w:type="dxa"/>
            <w:tcBorders>
              <w:top w:val="nil"/>
              <w:left w:val="nil"/>
              <w:bottom w:val="nil"/>
              <w:right w:val="nil"/>
            </w:tcBorders>
            <w:tcMar>
              <w:top w:w="0" w:type="dxa"/>
              <w:left w:w="15" w:type="dxa"/>
              <w:bottom w:w="0" w:type="dxa"/>
              <w:right w:w="15" w:type="dxa"/>
            </w:tcMar>
            <w:vAlign w:val="bottom"/>
            <w:hideMark/>
          </w:tcPr>
          <w:p w14:paraId="5EBA4670" w14:textId="77777777" w:rsidR="00244B6A" w:rsidRPr="00540062" w:rsidRDefault="00244B6A" w:rsidP="00244B6A">
            <w:pPr>
              <w:jc w:val="right"/>
              <w:rPr>
                <w:rFonts w:ascii="Palatino Linotype" w:hAnsi="Palatino Linotype"/>
                <w:color w:val="000000"/>
                <w:szCs w:val="22"/>
              </w:rPr>
            </w:pPr>
            <w:r w:rsidRPr="00540062">
              <w:rPr>
                <w:rFonts w:ascii="Palatino Linotype" w:hAnsi="Palatino Linotype"/>
                <w:color w:val="000000"/>
                <w:szCs w:val="22"/>
              </w:rPr>
              <w:t>353</w:t>
            </w:r>
          </w:p>
        </w:tc>
      </w:tr>
      <w:tr w:rsidR="00244B6A" w:rsidRPr="00540062" w14:paraId="440AF2C1" w14:textId="77777777" w:rsidTr="00244B6A">
        <w:trPr>
          <w:trHeight w:val="900"/>
        </w:trPr>
        <w:tc>
          <w:tcPr>
            <w:tcW w:w="2355" w:type="dxa"/>
            <w:tcBorders>
              <w:top w:val="nil"/>
              <w:left w:val="nil"/>
              <w:bottom w:val="nil"/>
              <w:right w:val="nil"/>
            </w:tcBorders>
            <w:tcMar>
              <w:top w:w="0" w:type="dxa"/>
              <w:left w:w="15" w:type="dxa"/>
              <w:bottom w:w="0" w:type="dxa"/>
              <w:right w:w="15" w:type="dxa"/>
            </w:tcMar>
            <w:hideMark/>
          </w:tcPr>
          <w:p w14:paraId="7B025B29" w14:textId="77777777" w:rsidR="00244B6A" w:rsidRPr="00540062" w:rsidRDefault="00244B6A" w:rsidP="00540062">
            <w:pPr>
              <w:jc w:val="left"/>
              <w:rPr>
                <w:rFonts w:ascii="Palatino Linotype" w:hAnsi="Palatino Linotype"/>
                <w:color w:val="000000"/>
                <w:szCs w:val="22"/>
              </w:rPr>
            </w:pPr>
            <w:r w:rsidRPr="00540062">
              <w:rPr>
                <w:rFonts w:ascii="Palatino Linotype" w:hAnsi="Palatino Linotype"/>
                <w:color w:val="000000"/>
                <w:szCs w:val="22"/>
              </w:rPr>
              <w:t>PV of Gain on Sale</w:t>
            </w:r>
          </w:p>
        </w:tc>
        <w:tc>
          <w:tcPr>
            <w:tcW w:w="4320" w:type="dxa"/>
            <w:tcBorders>
              <w:top w:val="nil"/>
              <w:left w:val="nil"/>
              <w:bottom w:val="nil"/>
              <w:right w:val="nil"/>
            </w:tcBorders>
            <w:tcMar>
              <w:top w:w="0" w:type="dxa"/>
              <w:left w:w="15" w:type="dxa"/>
              <w:bottom w:w="0" w:type="dxa"/>
              <w:right w:w="15" w:type="dxa"/>
            </w:tcMar>
            <w:hideMark/>
          </w:tcPr>
          <w:p w14:paraId="2470288F" w14:textId="77777777" w:rsidR="00244B6A" w:rsidRPr="00540062" w:rsidRDefault="00244B6A" w:rsidP="00243268">
            <w:pPr>
              <w:rPr>
                <w:rFonts w:ascii="Palatino Linotype" w:hAnsi="Palatino Linotype"/>
                <w:color w:val="000000"/>
                <w:szCs w:val="22"/>
              </w:rPr>
            </w:pPr>
            <w:r w:rsidRPr="00540062">
              <w:rPr>
                <w:rFonts w:ascii="Palatino Linotype" w:hAnsi="Palatino Linotype"/>
                <w:color w:val="000000"/>
                <w:szCs w:val="22"/>
              </w:rPr>
              <w:t>=(1-</w:t>
            </w:r>
            <w:proofErr w:type="gramStart"/>
            <w:r w:rsidRPr="00540062">
              <w:rPr>
                <w:rFonts w:ascii="Palatino Linotype" w:hAnsi="Palatino Linotype"/>
                <w:color w:val="000000"/>
                <w:szCs w:val="22"/>
              </w:rPr>
              <w:t>Tax)*</w:t>
            </w:r>
            <w:proofErr w:type="gramEnd"/>
            <w:r w:rsidRPr="00540062">
              <w:rPr>
                <w:rFonts w:ascii="Palatino Linotype" w:hAnsi="Palatino Linotype"/>
                <w:color w:val="000000"/>
                <w:szCs w:val="22"/>
              </w:rPr>
              <w:t>SalvageValue</w:t>
            </w:r>
          </w:p>
        </w:tc>
        <w:tc>
          <w:tcPr>
            <w:tcW w:w="1080" w:type="dxa"/>
            <w:tcBorders>
              <w:top w:val="nil"/>
              <w:left w:val="nil"/>
              <w:bottom w:val="nil"/>
              <w:right w:val="nil"/>
            </w:tcBorders>
            <w:tcMar>
              <w:top w:w="0" w:type="dxa"/>
              <w:left w:w="15" w:type="dxa"/>
              <w:bottom w:w="0" w:type="dxa"/>
              <w:right w:w="15" w:type="dxa"/>
            </w:tcMar>
            <w:vAlign w:val="bottom"/>
            <w:hideMark/>
          </w:tcPr>
          <w:p w14:paraId="7DD0C8BE" w14:textId="77777777" w:rsidR="00244B6A" w:rsidRPr="00540062" w:rsidRDefault="00244B6A" w:rsidP="00244B6A">
            <w:pPr>
              <w:jc w:val="right"/>
              <w:rPr>
                <w:rFonts w:ascii="Palatino Linotype" w:hAnsi="Palatino Linotype"/>
                <w:color w:val="000000"/>
                <w:szCs w:val="22"/>
              </w:rPr>
            </w:pPr>
            <w:r w:rsidRPr="00540062">
              <w:rPr>
                <w:rFonts w:ascii="Palatino Linotype" w:hAnsi="Palatino Linotype"/>
                <w:color w:val="000000"/>
                <w:szCs w:val="22"/>
              </w:rPr>
              <w:t>38</w:t>
            </w:r>
          </w:p>
        </w:tc>
        <w:tc>
          <w:tcPr>
            <w:tcW w:w="990" w:type="dxa"/>
            <w:tcBorders>
              <w:top w:val="nil"/>
              <w:left w:val="nil"/>
              <w:bottom w:val="nil"/>
              <w:right w:val="nil"/>
            </w:tcBorders>
            <w:tcMar>
              <w:top w:w="0" w:type="dxa"/>
              <w:left w:w="15" w:type="dxa"/>
              <w:bottom w:w="0" w:type="dxa"/>
              <w:right w:w="15" w:type="dxa"/>
            </w:tcMar>
            <w:vAlign w:val="bottom"/>
            <w:hideMark/>
          </w:tcPr>
          <w:p w14:paraId="4DB21636" w14:textId="77777777" w:rsidR="00244B6A" w:rsidRPr="00540062" w:rsidRDefault="00244B6A" w:rsidP="00244B6A">
            <w:pPr>
              <w:jc w:val="right"/>
              <w:rPr>
                <w:rFonts w:ascii="Palatino Linotype" w:hAnsi="Palatino Linotype"/>
                <w:color w:val="000000"/>
                <w:szCs w:val="22"/>
              </w:rPr>
            </w:pPr>
            <w:r w:rsidRPr="00540062">
              <w:rPr>
                <w:rFonts w:ascii="Palatino Linotype" w:hAnsi="Palatino Linotype"/>
                <w:color w:val="000000"/>
                <w:szCs w:val="22"/>
              </w:rPr>
              <w:t>0</w:t>
            </w:r>
          </w:p>
        </w:tc>
      </w:tr>
      <w:tr w:rsidR="00244B6A" w:rsidRPr="00540062" w14:paraId="39B57A19" w14:textId="77777777" w:rsidTr="00244B6A">
        <w:trPr>
          <w:trHeight w:val="900"/>
        </w:trPr>
        <w:tc>
          <w:tcPr>
            <w:tcW w:w="2355" w:type="dxa"/>
            <w:tcBorders>
              <w:top w:val="nil"/>
              <w:left w:val="nil"/>
              <w:bottom w:val="nil"/>
              <w:right w:val="nil"/>
            </w:tcBorders>
            <w:tcMar>
              <w:top w:w="0" w:type="dxa"/>
              <w:left w:w="15" w:type="dxa"/>
              <w:bottom w:w="0" w:type="dxa"/>
              <w:right w:w="15" w:type="dxa"/>
            </w:tcMar>
            <w:hideMark/>
          </w:tcPr>
          <w:p w14:paraId="730FA77C" w14:textId="77777777" w:rsidR="00244B6A" w:rsidRPr="00540062" w:rsidRDefault="00244B6A" w:rsidP="00540062">
            <w:pPr>
              <w:jc w:val="left"/>
              <w:rPr>
                <w:rFonts w:ascii="Palatino Linotype" w:hAnsi="Palatino Linotype"/>
                <w:color w:val="000000"/>
                <w:szCs w:val="22"/>
              </w:rPr>
            </w:pPr>
            <w:r w:rsidRPr="00540062">
              <w:rPr>
                <w:rFonts w:ascii="Palatino Linotype" w:hAnsi="Palatino Linotype"/>
                <w:color w:val="000000"/>
                <w:szCs w:val="22"/>
              </w:rPr>
              <w:t>NPV Cost of Machine</w:t>
            </w:r>
          </w:p>
        </w:tc>
        <w:tc>
          <w:tcPr>
            <w:tcW w:w="4320" w:type="dxa"/>
            <w:tcBorders>
              <w:top w:val="nil"/>
              <w:left w:val="nil"/>
              <w:bottom w:val="nil"/>
              <w:right w:val="nil"/>
            </w:tcBorders>
            <w:tcMar>
              <w:top w:w="0" w:type="dxa"/>
              <w:left w:w="15" w:type="dxa"/>
              <w:bottom w:w="0" w:type="dxa"/>
              <w:right w:w="15" w:type="dxa"/>
            </w:tcMar>
            <w:hideMark/>
          </w:tcPr>
          <w:p w14:paraId="3A9923ED" w14:textId="77777777" w:rsidR="00244B6A" w:rsidRPr="00540062" w:rsidRDefault="00244B6A" w:rsidP="00243268">
            <w:pPr>
              <w:rPr>
                <w:rFonts w:ascii="Palatino Linotype" w:hAnsi="Palatino Linotype"/>
                <w:color w:val="000000"/>
                <w:szCs w:val="22"/>
              </w:rPr>
            </w:pPr>
            <w:r w:rsidRPr="00540062">
              <w:rPr>
                <w:rFonts w:ascii="Palatino Linotype" w:hAnsi="Palatino Linotype"/>
                <w:color w:val="000000"/>
                <w:szCs w:val="22"/>
              </w:rPr>
              <w:t>=Price – PVDepShield - PVGainOnSale</w:t>
            </w:r>
          </w:p>
        </w:tc>
        <w:tc>
          <w:tcPr>
            <w:tcW w:w="1080" w:type="dxa"/>
            <w:tcBorders>
              <w:top w:val="nil"/>
              <w:left w:val="nil"/>
              <w:bottom w:val="nil"/>
              <w:right w:val="nil"/>
            </w:tcBorders>
            <w:tcMar>
              <w:top w:w="0" w:type="dxa"/>
              <w:left w:w="15" w:type="dxa"/>
              <w:bottom w:w="0" w:type="dxa"/>
              <w:right w:w="15" w:type="dxa"/>
            </w:tcMar>
            <w:vAlign w:val="bottom"/>
            <w:hideMark/>
          </w:tcPr>
          <w:p w14:paraId="200419E2" w14:textId="77777777" w:rsidR="00244B6A" w:rsidRPr="00540062" w:rsidRDefault="00244B6A" w:rsidP="00244B6A">
            <w:pPr>
              <w:jc w:val="right"/>
              <w:rPr>
                <w:rFonts w:ascii="Palatino Linotype" w:hAnsi="Palatino Linotype"/>
                <w:color w:val="000000"/>
                <w:szCs w:val="22"/>
              </w:rPr>
            </w:pPr>
            <w:r w:rsidRPr="00540062">
              <w:rPr>
                <w:rFonts w:ascii="Palatino Linotype" w:hAnsi="Palatino Linotype"/>
                <w:color w:val="000000"/>
                <w:szCs w:val="22"/>
              </w:rPr>
              <w:t>668</w:t>
            </w:r>
          </w:p>
        </w:tc>
        <w:tc>
          <w:tcPr>
            <w:tcW w:w="990" w:type="dxa"/>
            <w:tcBorders>
              <w:top w:val="nil"/>
              <w:left w:val="nil"/>
              <w:bottom w:val="nil"/>
              <w:right w:val="nil"/>
            </w:tcBorders>
            <w:tcMar>
              <w:top w:w="0" w:type="dxa"/>
              <w:left w:w="15" w:type="dxa"/>
              <w:bottom w:w="0" w:type="dxa"/>
              <w:right w:w="15" w:type="dxa"/>
            </w:tcMar>
            <w:vAlign w:val="bottom"/>
            <w:hideMark/>
          </w:tcPr>
          <w:p w14:paraId="5861C453" w14:textId="77777777" w:rsidR="00244B6A" w:rsidRPr="00540062" w:rsidRDefault="00244B6A" w:rsidP="00244B6A">
            <w:pPr>
              <w:jc w:val="right"/>
              <w:rPr>
                <w:rFonts w:ascii="Palatino Linotype" w:hAnsi="Palatino Linotype"/>
                <w:color w:val="000000"/>
                <w:szCs w:val="22"/>
              </w:rPr>
            </w:pPr>
            <w:r w:rsidRPr="00540062">
              <w:rPr>
                <w:rFonts w:ascii="Palatino Linotype" w:hAnsi="Palatino Linotype"/>
                <w:color w:val="000000"/>
                <w:szCs w:val="22"/>
              </w:rPr>
              <w:t>847</w:t>
            </w:r>
          </w:p>
        </w:tc>
      </w:tr>
      <w:tr w:rsidR="00244B6A" w:rsidRPr="00540062" w14:paraId="02390252" w14:textId="77777777" w:rsidTr="00244B6A">
        <w:trPr>
          <w:trHeight w:val="900"/>
        </w:trPr>
        <w:tc>
          <w:tcPr>
            <w:tcW w:w="2355" w:type="dxa"/>
            <w:tcBorders>
              <w:top w:val="nil"/>
              <w:left w:val="nil"/>
              <w:bottom w:val="nil"/>
              <w:right w:val="nil"/>
            </w:tcBorders>
            <w:tcMar>
              <w:top w:w="0" w:type="dxa"/>
              <w:left w:w="15" w:type="dxa"/>
              <w:bottom w:w="0" w:type="dxa"/>
              <w:right w:w="15" w:type="dxa"/>
            </w:tcMar>
            <w:hideMark/>
          </w:tcPr>
          <w:p w14:paraId="0219D1AD" w14:textId="77777777" w:rsidR="00244B6A" w:rsidRPr="00540062" w:rsidRDefault="00244B6A" w:rsidP="00540062">
            <w:pPr>
              <w:jc w:val="left"/>
              <w:rPr>
                <w:rFonts w:ascii="Palatino Linotype" w:hAnsi="Palatino Linotype"/>
                <w:b/>
                <w:bCs/>
                <w:i/>
                <w:iCs/>
                <w:color w:val="000000"/>
                <w:szCs w:val="22"/>
              </w:rPr>
            </w:pPr>
            <w:r w:rsidRPr="00540062">
              <w:rPr>
                <w:rFonts w:ascii="Palatino Linotype" w:hAnsi="Palatino Linotype"/>
                <w:b/>
                <w:bCs/>
                <w:i/>
                <w:iCs/>
                <w:color w:val="000000"/>
                <w:szCs w:val="22"/>
              </w:rPr>
              <w:t>Pre-Tax Annual Expense</w:t>
            </w:r>
          </w:p>
        </w:tc>
        <w:tc>
          <w:tcPr>
            <w:tcW w:w="4320" w:type="dxa"/>
            <w:tcBorders>
              <w:top w:val="nil"/>
              <w:left w:val="nil"/>
              <w:bottom w:val="nil"/>
              <w:right w:val="nil"/>
            </w:tcBorders>
            <w:tcMar>
              <w:top w:w="0" w:type="dxa"/>
              <w:left w:w="15" w:type="dxa"/>
              <w:bottom w:w="0" w:type="dxa"/>
              <w:right w:w="15" w:type="dxa"/>
            </w:tcMar>
            <w:hideMark/>
          </w:tcPr>
          <w:p w14:paraId="338D7CFD" w14:textId="77777777" w:rsidR="00244B6A" w:rsidRPr="00540062" w:rsidRDefault="00244B6A" w:rsidP="00243268">
            <w:pPr>
              <w:rPr>
                <w:rFonts w:ascii="Palatino Linotype" w:hAnsi="Palatino Linotype"/>
                <w:b/>
                <w:i/>
                <w:color w:val="000000"/>
                <w:szCs w:val="22"/>
              </w:rPr>
            </w:pPr>
            <w:r w:rsidRPr="00540062">
              <w:rPr>
                <w:rFonts w:ascii="Palatino Linotype" w:hAnsi="Palatino Linotype"/>
                <w:b/>
                <w:i/>
                <w:color w:val="000000"/>
                <w:szCs w:val="22"/>
              </w:rPr>
              <w:t>=</w:t>
            </w:r>
            <w:proofErr w:type="gramStart"/>
            <w:r w:rsidRPr="00540062">
              <w:rPr>
                <w:rFonts w:ascii="Palatino Linotype" w:hAnsi="Palatino Linotype"/>
                <w:b/>
                <w:i/>
                <w:color w:val="000000"/>
                <w:szCs w:val="22"/>
              </w:rPr>
              <w:t>PMT(</w:t>
            </w:r>
            <w:proofErr w:type="gramEnd"/>
            <w:r w:rsidRPr="00540062">
              <w:rPr>
                <w:rFonts w:ascii="Palatino Linotype" w:hAnsi="Palatino Linotype"/>
                <w:b/>
                <w:i/>
                <w:color w:val="000000"/>
                <w:szCs w:val="22"/>
              </w:rPr>
              <w:t>CoC, Life, -NPVCostofMachine)/(1-Tax)</w:t>
            </w:r>
          </w:p>
        </w:tc>
        <w:tc>
          <w:tcPr>
            <w:tcW w:w="1080" w:type="dxa"/>
            <w:tcBorders>
              <w:top w:val="nil"/>
              <w:left w:val="nil"/>
              <w:bottom w:val="nil"/>
              <w:right w:val="nil"/>
            </w:tcBorders>
            <w:tcMar>
              <w:top w:w="0" w:type="dxa"/>
              <w:left w:w="15" w:type="dxa"/>
              <w:bottom w:w="0" w:type="dxa"/>
              <w:right w:w="15" w:type="dxa"/>
            </w:tcMar>
            <w:vAlign w:val="bottom"/>
            <w:hideMark/>
          </w:tcPr>
          <w:p w14:paraId="5600D705" w14:textId="77777777" w:rsidR="00244B6A" w:rsidRPr="00540062" w:rsidRDefault="00244B6A" w:rsidP="00244B6A">
            <w:pPr>
              <w:jc w:val="right"/>
              <w:rPr>
                <w:rFonts w:ascii="Palatino Linotype" w:hAnsi="Palatino Linotype"/>
                <w:b/>
                <w:bCs/>
                <w:i/>
                <w:iCs/>
                <w:color w:val="000000"/>
                <w:szCs w:val="22"/>
              </w:rPr>
            </w:pPr>
            <w:r w:rsidRPr="00540062">
              <w:rPr>
                <w:rFonts w:ascii="Palatino Linotype" w:hAnsi="Palatino Linotype"/>
                <w:b/>
                <w:bCs/>
                <w:i/>
                <w:iCs/>
                <w:color w:val="000000"/>
                <w:szCs w:val="22"/>
              </w:rPr>
              <w:t>284</w:t>
            </w:r>
          </w:p>
        </w:tc>
        <w:tc>
          <w:tcPr>
            <w:tcW w:w="990" w:type="dxa"/>
            <w:tcBorders>
              <w:top w:val="nil"/>
              <w:left w:val="nil"/>
              <w:bottom w:val="nil"/>
              <w:right w:val="nil"/>
            </w:tcBorders>
            <w:tcMar>
              <w:top w:w="0" w:type="dxa"/>
              <w:left w:w="15" w:type="dxa"/>
              <w:bottom w:w="0" w:type="dxa"/>
              <w:right w:w="15" w:type="dxa"/>
            </w:tcMar>
            <w:vAlign w:val="bottom"/>
            <w:hideMark/>
          </w:tcPr>
          <w:p w14:paraId="7945B4E1" w14:textId="77777777" w:rsidR="00244B6A" w:rsidRPr="00540062" w:rsidRDefault="00244B6A" w:rsidP="00244B6A">
            <w:pPr>
              <w:jc w:val="right"/>
              <w:rPr>
                <w:rFonts w:ascii="Palatino Linotype" w:hAnsi="Palatino Linotype"/>
                <w:b/>
                <w:bCs/>
                <w:i/>
                <w:iCs/>
                <w:color w:val="000000"/>
                <w:szCs w:val="22"/>
              </w:rPr>
            </w:pPr>
            <w:r w:rsidRPr="00540062">
              <w:rPr>
                <w:rFonts w:ascii="Palatino Linotype" w:hAnsi="Palatino Linotype"/>
                <w:b/>
                <w:bCs/>
                <w:i/>
                <w:iCs/>
                <w:color w:val="000000"/>
                <w:szCs w:val="22"/>
              </w:rPr>
              <w:t>281</w:t>
            </w:r>
          </w:p>
        </w:tc>
      </w:tr>
    </w:tbl>
    <w:p w14:paraId="601AAA86" w14:textId="77777777" w:rsidR="00761252" w:rsidRPr="00B31A23" w:rsidRDefault="00761252"/>
    <w:p w14:paraId="7A0CD35C" w14:textId="77777777" w:rsidR="00B31A23" w:rsidRDefault="00B31A23" w:rsidP="00B31A23">
      <w:pPr>
        <w:pStyle w:val="Heading2"/>
      </w:pPr>
      <w:r>
        <w:br w:type="page"/>
      </w:r>
      <w:r>
        <w:lastRenderedPageBreak/>
        <w:t>VBA Code for MACRS Functions</w:t>
      </w:r>
    </w:p>
    <w:p w14:paraId="59156ADA" w14:textId="77777777" w:rsidR="00B31A23" w:rsidRDefault="00B31A23" w:rsidP="00B31A23"/>
    <w:p w14:paraId="25B125E8" w14:textId="77777777" w:rsidR="00B31A23" w:rsidRPr="00B31A23" w:rsidRDefault="00B31A23" w:rsidP="00B31A23"/>
    <w:p w14:paraId="180800A9" w14:textId="77777777" w:rsidR="00203603" w:rsidRPr="00203603" w:rsidRDefault="00203603" w:rsidP="00203603">
      <w:pPr>
        <w:spacing w:before="0"/>
        <w:rPr>
          <w:rFonts w:ascii="Arial" w:hAnsi="Arial" w:cs="Arial"/>
        </w:rPr>
      </w:pPr>
      <w:r w:rsidRPr="00203603">
        <w:rPr>
          <w:rFonts w:ascii="Arial" w:hAnsi="Arial" w:cs="Arial"/>
        </w:rPr>
        <w:t xml:space="preserve">Public Function </w:t>
      </w:r>
      <w:proofErr w:type="gramStart"/>
      <w:r w:rsidRPr="00203603">
        <w:rPr>
          <w:rFonts w:ascii="Arial" w:hAnsi="Arial" w:cs="Arial"/>
        </w:rPr>
        <w:t>macrs(</w:t>
      </w:r>
      <w:proofErr w:type="gramEnd"/>
      <w:r w:rsidRPr="00203603">
        <w:rPr>
          <w:rFonts w:ascii="Arial" w:hAnsi="Arial" w:cs="Arial"/>
        </w:rPr>
        <w:t>life As Integer, year As Integer, _</w:t>
      </w:r>
    </w:p>
    <w:p w14:paraId="060E22E6" w14:textId="77777777" w:rsidR="00203603" w:rsidRPr="00203603" w:rsidRDefault="00203603" w:rsidP="00203603">
      <w:pPr>
        <w:spacing w:before="0"/>
        <w:rPr>
          <w:rFonts w:ascii="Arial" w:hAnsi="Arial" w:cs="Arial"/>
        </w:rPr>
      </w:pPr>
      <w:r w:rsidRPr="00203603">
        <w:rPr>
          <w:rFonts w:ascii="Arial" w:hAnsi="Arial" w:cs="Arial"/>
        </w:rPr>
        <w:t xml:space="preserve">        Optional conv As Integer = 1, Optional startperiod As Integer = 1) As Variant</w:t>
      </w:r>
    </w:p>
    <w:p w14:paraId="675D7A50" w14:textId="77777777" w:rsidR="00203603" w:rsidRPr="00203603" w:rsidRDefault="00203603" w:rsidP="00203603">
      <w:pPr>
        <w:spacing w:before="0"/>
        <w:rPr>
          <w:rFonts w:ascii="Arial" w:hAnsi="Arial" w:cs="Arial"/>
        </w:rPr>
      </w:pPr>
      <w:r w:rsidRPr="00203603">
        <w:rPr>
          <w:rFonts w:ascii="Arial" w:hAnsi="Arial" w:cs="Arial"/>
        </w:rPr>
        <w:t>Dim factor As Double, sy As Double, ey As Double</w:t>
      </w:r>
    </w:p>
    <w:p w14:paraId="082A4813" w14:textId="77777777" w:rsidR="00203603" w:rsidRPr="00203603" w:rsidRDefault="00203603" w:rsidP="00203603">
      <w:pPr>
        <w:spacing w:before="0"/>
        <w:rPr>
          <w:rFonts w:ascii="Arial" w:hAnsi="Arial" w:cs="Arial"/>
        </w:rPr>
      </w:pPr>
      <w:r w:rsidRPr="00203603">
        <w:rPr>
          <w:rFonts w:ascii="Arial" w:hAnsi="Arial" w:cs="Arial"/>
        </w:rPr>
        <w:t xml:space="preserve">If </w:t>
      </w:r>
      <w:proofErr w:type="gramStart"/>
      <w:r w:rsidRPr="00203603">
        <w:rPr>
          <w:rFonts w:ascii="Arial" w:hAnsi="Arial" w:cs="Arial"/>
        </w:rPr>
        <w:t>startperiod</w:t>
      </w:r>
      <w:proofErr w:type="gramEnd"/>
      <w:r w:rsidRPr="00203603">
        <w:rPr>
          <w:rFonts w:ascii="Arial" w:hAnsi="Arial" w:cs="Arial"/>
        </w:rPr>
        <w:t xml:space="preserve"> &gt; conv </w:t>
      </w:r>
      <w:proofErr w:type="gramStart"/>
      <w:r w:rsidRPr="00203603">
        <w:rPr>
          <w:rFonts w:ascii="Arial" w:hAnsi="Arial" w:cs="Arial"/>
        </w:rPr>
        <w:t>Or</w:t>
      </w:r>
      <w:proofErr w:type="gramEnd"/>
      <w:r w:rsidRPr="00203603">
        <w:rPr>
          <w:rFonts w:ascii="Arial" w:hAnsi="Arial" w:cs="Arial"/>
        </w:rPr>
        <w:t xml:space="preserve"> (conv &lt;&gt; 1 And conv &lt;&gt; 4 And conv &lt;&gt; 12) Then</w:t>
      </w:r>
    </w:p>
    <w:p w14:paraId="591BC1CA" w14:textId="77777777" w:rsidR="00203603" w:rsidRPr="00203603" w:rsidRDefault="00203603" w:rsidP="00203603">
      <w:pPr>
        <w:spacing w:before="0"/>
        <w:rPr>
          <w:rFonts w:ascii="Arial" w:hAnsi="Arial" w:cs="Arial"/>
        </w:rPr>
      </w:pPr>
      <w:r w:rsidRPr="00203603">
        <w:rPr>
          <w:rFonts w:ascii="Arial" w:hAnsi="Arial" w:cs="Arial"/>
        </w:rPr>
        <w:t xml:space="preserve">    MsgBox ("conv error in depr")</w:t>
      </w:r>
    </w:p>
    <w:p w14:paraId="18E647C3" w14:textId="77777777" w:rsidR="00203603" w:rsidRPr="00203603" w:rsidRDefault="00203603" w:rsidP="00203603">
      <w:pPr>
        <w:spacing w:before="0"/>
        <w:rPr>
          <w:rFonts w:ascii="Arial" w:hAnsi="Arial" w:cs="Arial"/>
        </w:rPr>
      </w:pPr>
      <w:r w:rsidRPr="00203603">
        <w:rPr>
          <w:rFonts w:ascii="Arial" w:hAnsi="Arial" w:cs="Arial"/>
        </w:rPr>
        <w:t xml:space="preserve">    macrs = CVErr(xlErrValue)</w:t>
      </w:r>
    </w:p>
    <w:p w14:paraId="555BD476" w14:textId="77777777" w:rsidR="00203603" w:rsidRPr="00203603" w:rsidRDefault="00203603" w:rsidP="00203603">
      <w:pPr>
        <w:spacing w:before="0"/>
        <w:rPr>
          <w:rFonts w:ascii="Arial" w:hAnsi="Arial" w:cs="Arial"/>
        </w:rPr>
      </w:pPr>
      <w:r w:rsidRPr="00203603">
        <w:rPr>
          <w:rFonts w:ascii="Arial" w:hAnsi="Arial" w:cs="Arial"/>
        </w:rPr>
        <w:t xml:space="preserve">    Exit Function</w:t>
      </w:r>
    </w:p>
    <w:p w14:paraId="3EF29DCA" w14:textId="77777777" w:rsidR="00203603" w:rsidRPr="00203603" w:rsidRDefault="00203603" w:rsidP="00203603">
      <w:pPr>
        <w:spacing w:before="0"/>
        <w:rPr>
          <w:rFonts w:ascii="Arial" w:hAnsi="Arial" w:cs="Arial"/>
        </w:rPr>
      </w:pPr>
      <w:r w:rsidRPr="00203603">
        <w:rPr>
          <w:rFonts w:ascii="Arial" w:hAnsi="Arial" w:cs="Arial"/>
        </w:rPr>
        <w:t>End If</w:t>
      </w:r>
    </w:p>
    <w:p w14:paraId="7C9C2FF0" w14:textId="77777777" w:rsidR="00203603" w:rsidRPr="00203603" w:rsidRDefault="00203603" w:rsidP="00203603">
      <w:pPr>
        <w:spacing w:before="0"/>
        <w:rPr>
          <w:rFonts w:ascii="Arial" w:hAnsi="Arial" w:cs="Arial"/>
        </w:rPr>
      </w:pPr>
      <w:r w:rsidRPr="00203603">
        <w:rPr>
          <w:rFonts w:ascii="Arial" w:hAnsi="Arial" w:cs="Arial"/>
        </w:rPr>
        <w:t>ey = WorksheetFunction.Min(life, year - (</w:t>
      </w:r>
      <w:proofErr w:type="gramStart"/>
      <w:r w:rsidRPr="00203603">
        <w:rPr>
          <w:rFonts w:ascii="Arial" w:hAnsi="Arial" w:cs="Arial"/>
        </w:rPr>
        <w:t>startperiod</w:t>
      </w:r>
      <w:proofErr w:type="gramEnd"/>
      <w:r w:rsidRPr="00203603">
        <w:rPr>
          <w:rFonts w:ascii="Arial" w:hAnsi="Arial" w:cs="Arial"/>
        </w:rPr>
        <w:t xml:space="preserve"> - 0.5) / conv)</w:t>
      </w:r>
    </w:p>
    <w:p w14:paraId="0EE7F710" w14:textId="77777777" w:rsidR="00203603" w:rsidRPr="00203603" w:rsidRDefault="00203603" w:rsidP="00203603">
      <w:pPr>
        <w:spacing w:before="0"/>
        <w:rPr>
          <w:rFonts w:ascii="Arial" w:hAnsi="Arial" w:cs="Arial"/>
        </w:rPr>
      </w:pPr>
      <w:r w:rsidRPr="00203603">
        <w:rPr>
          <w:rFonts w:ascii="Arial" w:hAnsi="Arial" w:cs="Arial"/>
        </w:rPr>
        <w:t>sy = WorksheetFunction.Max(0, year - (</w:t>
      </w:r>
      <w:proofErr w:type="gramStart"/>
      <w:r w:rsidRPr="00203603">
        <w:rPr>
          <w:rFonts w:ascii="Arial" w:hAnsi="Arial" w:cs="Arial"/>
        </w:rPr>
        <w:t>startperiod</w:t>
      </w:r>
      <w:proofErr w:type="gramEnd"/>
      <w:r w:rsidRPr="00203603">
        <w:rPr>
          <w:rFonts w:ascii="Arial" w:hAnsi="Arial" w:cs="Arial"/>
        </w:rPr>
        <w:t xml:space="preserve"> - 0.5) / conv - 1)</w:t>
      </w:r>
    </w:p>
    <w:p w14:paraId="73FDD170" w14:textId="77777777" w:rsidR="00203603" w:rsidRPr="00203603" w:rsidRDefault="00203603" w:rsidP="00203603">
      <w:pPr>
        <w:spacing w:before="0"/>
        <w:rPr>
          <w:rFonts w:ascii="Arial" w:hAnsi="Arial" w:cs="Arial"/>
        </w:rPr>
      </w:pPr>
      <w:r w:rsidRPr="00203603">
        <w:rPr>
          <w:rFonts w:ascii="Arial" w:hAnsi="Arial" w:cs="Arial"/>
        </w:rPr>
        <w:t xml:space="preserve">If ey &gt; life </w:t>
      </w:r>
      <w:proofErr w:type="gramStart"/>
      <w:r w:rsidRPr="00203603">
        <w:rPr>
          <w:rFonts w:ascii="Arial" w:hAnsi="Arial" w:cs="Arial"/>
        </w:rPr>
        <w:t>Or</w:t>
      </w:r>
      <w:proofErr w:type="gramEnd"/>
      <w:r w:rsidRPr="00203603">
        <w:rPr>
          <w:rFonts w:ascii="Arial" w:hAnsi="Arial" w:cs="Arial"/>
        </w:rPr>
        <w:t xml:space="preserve"> sy &gt; life </w:t>
      </w:r>
      <w:proofErr w:type="gramStart"/>
      <w:r w:rsidRPr="00203603">
        <w:rPr>
          <w:rFonts w:ascii="Arial" w:hAnsi="Arial" w:cs="Arial"/>
        </w:rPr>
        <w:t>Or</w:t>
      </w:r>
      <w:proofErr w:type="gramEnd"/>
      <w:r w:rsidRPr="00203603">
        <w:rPr>
          <w:rFonts w:ascii="Arial" w:hAnsi="Arial" w:cs="Arial"/>
        </w:rPr>
        <w:t xml:space="preserve"> ey &lt; sy Then</w:t>
      </w:r>
    </w:p>
    <w:p w14:paraId="6B58B177" w14:textId="77777777" w:rsidR="00203603" w:rsidRPr="00203603" w:rsidRDefault="00203603" w:rsidP="00203603">
      <w:pPr>
        <w:spacing w:before="0"/>
        <w:rPr>
          <w:rFonts w:ascii="Arial" w:hAnsi="Arial" w:cs="Arial"/>
        </w:rPr>
      </w:pPr>
      <w:r w:rsidRPr="00203603">
        <w:rPr>
          <w:rFonts w:ascii="Arial" w:hAnsi="Arial" w:cs="Arial"/>
        </w:rPr>
        <w:t xml:space="preserve">    macrs = 0</w:t>
      </w:r>
    </w:p>
    <w:p w14:paraId="449D2521" w14:textId="77777777" w:rsidR="00203603" w:rsidRPr="00203603" w:rsidRDefault="00203603" w:rsidP="00203603">
      <w:pPr>
        <w:spacing w:before="0"/>
        <w:rPr>
          <w:rFonts w:ascii="Arial" w:hAnsi="Arial" w:cs="Arial"/>
        </w:rPr>
      </w:pPr>
      <w:r w:rsidRPr="00203603">
        <w:rPr>
          <w:rFonts w:ascii="Arial" w:hAnsi="Arial" w:cs="Arial"/>
        </w:rPr>
        <w:t>Else</w:t>
      </w:r>
    </w:p>
    <w:p w14:paraId="5BA6496A" w14:textId="77777777" w:rsidR="00203603" w:rsidRPr="00203603" w:rsidRDefault="00203603" w:rsidP="00203603">
      <w:pPr>
        <w:spacing w:before="0"/>
        <w:rPr>
          <w:rFonts w:ascii="Arial" w:hAnsi="Arial" w:cs="Arial"/>
        </w:rPr>
      </w:pPr>
      <w:r w:rsidRPr="00203603">
        <w:rPr>
          <w:rFonts w:ascii="Arial" w:hAnsi="Arial" w:cs="Arial"/>
        </w:rPr>
        <w:t>'</w:t>
      </w:r>
      <w:r>
        <w:rPr>
          <w:rFonts w:ascii="Arial" w:hAnsi="Arial" w:cs="Arial"/>
        </w:rPr>
        <w:t xml:space="preserve">IRS </w:t>
      </w:r>
      <w:r w:rsidRPr="00203603">
        <w:rPr>
          <w:rFonts w:ascii="Arial" w:hAnsi="Arial" w:cs="Arial"/>
        </w:rPr>
        <w:t>150% ddb for lives over 10 years, 200% under</w:t>
      </w:r>
    </w:p>
    <w:p w14:paraId="155B4CF7" w14:textId="77777777" w:rsidR="00203603" w:rsidRPr="00203603" w:rsidRDefault="00203603" w:rsidP="00203603">
      <w:pPr>
        <w:spacing w:before="0"/>
        <w:rPr>
          <w:rFonts w:ascii="Arial" w:hAnsi="Arial" w:cs="Arial"/>
        </w:rPr>
      </w:pPr>
      <w:r w:rsidRPr="00203603">
        <w:rPr>
          <w:rFonts w:ascii="Arial" w:hAnsi="Arial" w:cs="Arial"/>
        </w:rPr>
        <w:t xml:space="preserve">    factor = 2 - 0.5 * (life &gt; 10)</w:t>
      </w:r>
    </w:p>
    <w:p w14:paraId="6AA450F5" w14:textId="77777777" w:rsidR="00203603" w:rsidRPr="00203603" w:rsidRDefault="00203603" w:rsidP="00203603">
      <w:pPr>
        <w:spacing w:before="0"/>
        <w:rPr>
          <w:rFonts w:ascii="Arial" w:hAnsi="Arial" w:cs="Arial"/>
        </w:rPr>
      </w:pPr>
      <w:r w:rsidRPr="00203603">
        <w:rPr>
          <w:rFonts w:ascii="Arial" w:hAnsi="Arial" w:cs="Arial"/>
        </w:rPr>
        <w:t xml:space="preserve">    macrs = WorksheetFunction.Vdb(1, 0, life, sy, ey, factor)</w:t>
      </w:r>
    </w:p>
    <w:p w14:paraId="3CC2ADCE" w14:textId="77777777" w:rsidR="00203603" w:rsidRPr="00203603" w:rsidRDefault="00203603" w:rsidP="00203603">
      <w:pPr>
        <w:spacing w:before="0"/>
        <w:rPr>
          <w:rFonts w:ascii="Arial" w:hAnsi="Arial" w:cs="Arial"/>
        </w:rPr>
      </w:pPr>
      <w:r w:rsidRPr="00203603">
        <w:rPr>
          <w:rFonts w:ascii="Arial" w:hAnsi="Arial" w:cs="Arial"/>
        </w:rPr>
        <w:t>End If</w:t>
      </w:r>
    </w:p>
    <w:p w14:paraId="139299C5" w14:textId="77777777" w:rsidR="00203603" w:rsidRPr="00203603" w:rsidRDefault="00203603" w:rsidP="00203603">
      <w:pPr>
        <w:spacing w:before="0"/>
        <w:rPr>
          <w:rFonts w:ascii="Arial" w:hAnsi="Arial" w:cs="Arial"/>
        </w:rPr>
      </w:pPr>
      <w:r w:rsidRPr="00203603">
        <w:rPr>
          <w:rFonts w:ascii="Arial" w:hAnsi="Arial" w:cs="Arial"/>
        </w:rPr>
        <w:t>End Function</w:t>
      </w:r>
    </w:p>
    <w:p w14:paraId="7A21DD8D" w14:textId="77777777" w:rsidR="00203603" w:rsidRPr="00203603" w:rsidRDefault="00203603" w:rsidP="00203603">
      <w:pPr>
        <w:spacing w:before="0"/>
        <w:rPr>
          <w:rFonts w:ascii="Arial" w:hAnsi="Arial" w:cs="Arial"/>
        </w:rPr>
      </w:pPr>
    </w:p>
    <w:p w14:paraId="003D52E7" w14:textId="77777777" w:rsidR="00203603" w:rsidRPr="00203603" w:rsidRDefault="00203603" w:rsidP="00203603">
      <w:pPr>
        <w:spacing w:before="0"/>
        <w:rPr>
          <w:rFonts w:ascii="Arial" w:hAnsi="Arial" w:cs="Arial"/>
        </w:rPr>
      </w:pPr>
      <w:r w:rsidRPr="00203603">
        <w:rPr>
          <w:rFonts w:ascii="Arial" w:hAnsi="Arial" w:cs="Arial"/>
        </w:rPr>
        <w:t>Public Function macrs_</w:t>
      </w:r>
      <w:proofErr w:type="gramStart"/>
      <w:r w:rsidRPr="00203603">
        <w:rPr>
          <w:rFonts w:ascii="Arial" w:hAnsi="Arial" w:cs="Arial"/>
        </w:rPr>
        <w:t>pv(</w:t>
      </w:r>
      <w:proofErr w:type="gramEnd"/>
      <w:r w:rsidRPr="00203603">
        <w:rPr>
          <w:rFonts w:ascii="Arial" w:hAnsi="Arial" w:cs="Arial"/>
        </w:rPr>
        <w:t>rate As Double, life As Integer, _</w:t>
      </w:r>
    </w:p>
    <w:p w14:paraId="4BA211F4" w14:textId="77777777" w:rsidR="00203603" w:rsidRPr="00203603" w:rsidRDefault="00203603" w:rsidP="00203603">
      <w:pPr>
        <w:spacing w:before="0"/>
        <w:rPr>
          <w:rFonts w:ascii="Arial" w:hAnsi="Arial" w:cs="Arial"/>
        </w:rPr>
      </w:pPr>
      <w:r w:rsidRPr="00203603">
        <w:rPr>
          <w:rFonts w:ascii="Arial" w:hAnsi="Arial" w:cs="Arial"/>
        </w:rPr>
        <w:t xml:space="preserve">        Optional conv As Integer = 1, Optional startperiod As Integer = 1) As Variant</w:t>
      </w:r>
    </w:p>
    <w:p w14:paraId="239793A9" w14:textId="77777777" w:rsidR="00203603" w:rsidRPr="00203603" w:rsidRDefault="00203603" w:rsidP="00203603">
      <w:pPr>
        <w:spacing w:before="0"/>
        <w:rPr>
          <w:rFonts w:ascii="Arial" w:hAnsi="Arial" w:cs="Arial"/>
        </w:rPr>
      </w:pPr>
      <w:r w:rsidRPr="00203603">
        <w:rPr>
          <w:rFonts w:ascii="Arial" w:hAnsi="Arial" w:cs="Arial"/>
        </w:rPr>
        <w:t>Dim df As Double</w:t>
      </w:r>
    </w:p>
    <w:p w14:paraId="09089057" w14:textId="77777777" w:rsidR="00203603" w:rsidRPr="00203603" w:rsidRDefault="00203603" w:rsidP="00203603">
      <w:pPr>
        <w:spacing w:before="0"/>
        <w:rPr>
          <w:rFonts w:ascii="Arial" w:hAnsi="Arial" w:cs="Arial"/>
        </w:rPr>
      </w:pPr>
      <w:r w:rsidRPr="00203603">
        <w:rPr>
          <w:rFonts w:ascii="Arial" w:hAnsi="Arial" w:cs="Arial"/>
        </w:rPr>
        <w:t>Dim y As Integer</w:t>
      </w:r>
    </w:p>
    <w:p w14:paraId="28961A32" w14:textId="77777777" w:rsidR="00203603" w:rsidRPr="00203603" w:rsidRDefault="00203603" w:rsidP="00203603">
      <w:pPr>
        <w:spacing w:before="0"/>
        <w:rPr>
          <w:rFonts w:ascii="Arial" w:hAnsi="Arial" w:cs="Arial"/>
        </w:rPr>
      </w:pPr>
      <w:r w:rsidRPr="00203603">
        <w:rPr>
          <w:rFonts w:ascii="Arial" w:hAnsi="Arial" w:cs="Arial"/>
        </w:rPr>
        <w:t>df = 1 / (1 + rate)</w:t>
      </w:r>
    </w:p>
    <w:p w14:paraId="2177B9AC" w14:textId="77777777" w:rsidR="00203603" w:rsidRPr="00203603" w:rsidRDefault="00203603" w:rsidP="00203603">
      <w:pPr>
        <w:spacing w:before="0"/>
        <w:rPr>
          <w:rFonts w:ascii="Arial" w:hAnsi="Arial" w:cs="Arial"/>
        </w:rPr>
      </w:pPr>
      <w:r w:rsidRPr="00203603">
        <w:rPr>
          <w:rFonts w:ascii="Arial" w:hAnsi="Arial" w:cs="Arial"/>
        </w:rPr>
        <w:t>macrs_pv = 0</w:t>
      </w:r>
    </w:p>
    <w:p w14:paraId="091AB63B" w14:textId="77777777" w:rsidR="00203603" w:rsidRPr="00203603" w:rsidRDefault="00203603" w:rsidP="00203603">
      <w:pPr>
        <w:spacing w:before="0"/>
        <w:rPr>
          <w:rFonts w:ascii="Arial" w:hAnsi="Arial" w:cs="Arial"/>
        </w:rPr>
      </w:pPr>
      <w:r w:rsidRPr="00203603">
        <w:rPr>
          <w:rFonts w:ascii="Arial" w:hAnsi="Arial" w:cs="Arial"/>
        </w:rPr>
        <w:t>For y = 1 To life + 1</w:t>
      </w:r>
    </w:p>
    <w:p w14:paraId="60CDB87E" w14:textId="77777777" w:rsidR="00203603" w:rsidRPr="00203603" w:rsidRDefault="00203603" w:rsidP="00203603">
      <w:pPr>
        <w:spacing w:before="0"/>
        <w:rPr>
          <w:rFonts w:ascii="Arial" w:hAnsi="Arial" w:cs="Arial"/>
        </w:rPr>
      </w:pPr>
      <w:r w:rsidRPr="00203603">
        <w:rPr>
          <w:rFonts w:ascii="Arial" w:hAnsi="Arial" w:cs="Arial"/>
        </w:rPr>
        <w:t xml:space="preserve">    macrs_pv = macrs_pv + </w:t>
      </w:r>
      <w:proofErr w:type="gramStart"/>
      <w:r w:rsidRPr="00203603">
        <w:rPr>
          <w:rFonts w:ascii="Arial" w:hAnsi="Arial" w:cs="Arial"/>
        </w:rPr>
        <w:t>macrs(</w:t>
      </w:r>
      <w:proofErr w:type="gramEnd"/>
      <w:r w:rsidRPr="00203603">
        <w:rPr>
          <w:rFonts w:ascii="Arial" w:hAnsi="Arial" w:cs="Arial"/>
        </w:rPr>
        <w:t>life, y, conv, startperiod) * df</w:t>
      </w:r>
    </w:p>
    <w:p w14:paraId="4F2BA96A" w14:textId="77777777" w:rsidR="00203603" w:rsidRPr="00203603" w:rsidRDefault="00203603" w:rsidP="00203603">
      <w:pPr>
        <w:spacing w:before="0"/>
        <w:rPr>
          <w:rFonts w:ascii="Arial" w:hAnsi="Arial" w:cs="Arial"/>
        </w:rPr>
      </w:pPr>
      <w:r w:rsidRPr="00203603">
        <w:rPr>
          <w:rFonts w:ascii="Arial" w:hAnsi="Arial" w:cs="Arial"/>
        </w:rPr>
        <w:t xml:space="preserve">    df = df / (1 + rate)</w:t>
      </w:r>
    </w:p>
    <w:p w14:paraId="590F3A12" w14:textId="77777777" w:rsidR="00203603" w:rsidRPr="00203603" w:rsidRDefault="00203603" w:rsidP="00203603">
      <w:pPr>
        <w:spacing w:before="0"/>
        <w:rPr>
          <w:rFonts w:ascii="Arial" w:hAnsi="Arial" w:cs="Arial"/>
        </w:rPr>
      </w:pPr>
      <w:r w:rsidRPr="00203603">
        <w:rPr>
          <w:rFonts w:ascii="Arial" w:hAnsi="Arial" w:cs="Arial"/>
        </w:rPr>
        <w:t>Next y</w:t>
      </w:r>
    </w:p>
    <w:p w14:paraId="3833BA54" w14:textId="77777777" w:rsidR="00203603" w:rsidRPr="00203603" w:rsidRDefault="00203603" w:rsidP="00203603">
      <w:pPr>
        <w:spacing w:before="0"/>
        <w:rPr>
          <w:rFonts w:ascii="Arial" w:hAnsi="Arial" w:cs="Arial"/>
        </w:rPr>
      </w:pPr>
      <w:r w:rsidRPr="00203603">
        <w:rPr>
          <w:rFonts w:ascii="Arial" w:hAnsi="Arial" w:cs="Arial"/>
        </w:rPr>
        <w:t>End Function</w:t>
      </w:r>
    </w:p>
    <w:p w14:paraId="337FF0AC" w14:textId="77777777" w:rsidR="00B31A23" w:rsidRPr="00B31A23" w:rsidRDefault="00B31A23" w:rsidP="00B31A23">
      <w:pPr>
        <w:spacing w:before="0"/>
        <w:rPr>
          <w:rFonts w:ascii="Arial" w:hAnsi="Arial" w:cs="Arial"/>
        </w:rPr>
      </w:pPr>
    </w:p>
    <w:sectPr w:rsidR="00B31A23" w:rsidRPr="00B31A23" w:rsidSect="00540062">
      <w:headerReference w:type="even" r:id="rId17"/>
      <w:headerReference w:type="default" r:id="rId18"/>
      <w:footerReference w:type="even" r:id="rId19"/>
      <w:footerReference w:type="default" r:id="rId20"/>
      <w:headerReference w:type="first" r:id="rId21"/>
      <w:footerReference w:type="first" r:id="rId22"/>
      <w:pgSz w:w="12240" w:h="15840" w:code="1"/>
      <w:pgMar w:top="1440" w:right="1800" w:bottom="1440" w:left="180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4AF0A" w14:textId="77777777" w:rsidR="002D6FC1" w:rsidRDefault="002D6FC1">
      <w:pPr>
        <w:spacing w:before="0"/>
      </w:pPr>
      <w:r>
        <w:separator/>
      </w:r>
    </w:p>
  </w:endnote>
  <w:endnote w:type="continuationSeparator" w:id="0">
    <w:p w14:paraId="327E78CC" w14:textId="77777777" w:rsidR="002D6FC1" w:rsidRDefault="002D6FC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2C51D" w14:textId="77777777" w:rsidR="00CB118D" w:rsidRDefault="00CB11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F4DC" w14:textId="77777777" w:rsidR="007A7670" w:rsidRDefault="007A7670">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0D763" w14:textId="4193B5AD" w:rsidR="00A354B1" w:rsidRDefault="00A354B1" w:rsidP="00A354B1">
    <w:pPr>
      <w:pStyle w:val="Footer"/>
      <w:pBdr>
        <w:bottom w:val="single" w:sz="12" w:space="1" w:color="auto"/>
      </w:pBdr>
    </w:pPr>
  </w:p>
  <w:p w14:paraId="39A9DF6F" w14:textId="7798C815" w:rsidR="007A7670" w:rsidRPr="00A354B1" w:rsidRDefault="00A354B1" w:rsidP="00A354B1">
    <w:pPr>
      <w:pStyle w:val="Footer"/>
    </w:pPr>
    <w:r w:rsidRPr="00A354B1">
      <w:t>©2010 Richard P. Rumelt. This work is licensed under a Creative Commons Attribution NonCommercial 4.0 International License (CC BY-NC 4.0). You may copy, distribute, and adapt this material for non-commercial purposes, provided appropriate credit is given. Commercial use requires written permission from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769BA" w14:textId="77777777" w:rsidR="002D6FC1" w:rsidRDefault="002D6FC1">
      <w:pPr>
        <w:spacing w:before="0"/>
      </w:pPr>
      <w:r>
        <w:separator/>
      </w:r>
    </w:p>
  </w:footnote>
  <w:footnote w:type="continuationSeparator" w:id="0">
    <w:p w14:paraId="19FBD045" w14:textId="77777777" w:rsidR="002D6FC1" w:rsidRDefault="002D6FC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456B0" w14:textId="77777777" w:rsidR="00CB118D" w:rsidRDefault="00CB11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53D3A" w14:textId="0C60E5FE" w:rsidR="007A7670" w:rsidRDefault="00540062" w:rsidP="00540062">
    <w:pPr>
      <w:pStyle w:val="Header"/>
      <w:tabs>
        <w:tab w:val="clear" w:pos="4320"/>
        <w:tab w:val="clear" w:pos="8640"/>
        <w:tab w:val="right" w:pos="8550"/>
        <w:tab w:val="right" w:pos="12870"/>
      </w:tabs>
      <w:spacing w:before="0"/>
    </w:pPr>
    <w:r>
      <w:rPr>
        <w:rFonts w:ascii="Arial" w:hAnsi="Arial" w:cs="Arial"/>
        <w:bCs/>
        <w:kern w:val="28"/>
      </w:rPr>
      <w:t>Depreciation and Taxes</w:t>
    </w:r>
    <w:r w:rsidR="007A7670">
      <w:tab/>
    </w:r>
    <w:r w:rsidR="000778FE">
      <w:rPr>
        <w:rStyle w:val="PageNumber"/>
      </w:rPr>
      <w:fldChar w:fldCharType="begin"/>
    </w:r>
    <w:r w:rsidR="007A7670">
      <w:rPr>
        <w:rStyle w:val="PageNumber"/>
      </w:rPr>
      <w:instrText xml:space="preserve"> PAGE </w:instrText>
    </w:r>
    <w:r w:rsidR="000778FE">
      <w:rPr>
        <w:rStyle w:val="PageNumber"/>
      </w:rPr>
      <w:fldChar w:fldCharType="separate"/>
    </w:r>
    <w:r w:rsidR="00CB118D">
      <w:rPr>
        <w:rStyle w:val="PageNumber"/>
        <w:noProof/>
      </w:rPr>
      <w:t>2</w:t>
    </w:r>
    <w:r w:rsidR="000778FE">
      <w:rPr>
        <w:rStyle w:val="PageNumber"/>
      </w:rPr>
      <w:fldChar w:fldCharType="end"/>
    </w:r>
    <w:r w:rsidR="007A7670">
      <w:tab/>
    </w:r>
  </w:p>
  <w:p w14:paraId="0FEAB8B6" w14:textId="77777777" w:rsidR="007A7670" w:rsidRDefault="007A7670">
    <w:pPr>
      <w:pStyle w:val="Header"/>
      <w:tabs>
        <w:tab w:val="clear" w:pos="4320"/>
      </w:tabs>
      <w:spacing w:befor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19A35" w14:textId="3C1BC671" w:rsidR="007A7670" w:rsidRPr="00A354B1" w:rsidRDefault="007A7670" w:rsidP="00A354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C49"/>
    <w:multiLevelType w:val="hybridMultilevel"/>
    <w:tmpl w:val="901636BE"/>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1A5733F2"/>
    <w:multiLevelType w:val="hybridMultilevel"/>
    <w:tmpl w:val="33709A9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76920B1"/>
    <w:multiLevelType w:val="hybridMultilevel"/>
    <w:tmpl w:val="AE9878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5583F32"/>
    <w:multiLevelType w:val="hybridMultilevel"/>
    <w:tmpl w:val="632C0DBC"/>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368E154D"/>
    <w:multiLevelType w:val="hybridMultilevel"/>
    <w:tmpl w:val="5204FD06"/>
    <w:lvl w:ilvl="0" w:tplc="C9C2A30A">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3A091914"/>
    <w:multiLevelType w:val="hybridMultilevel"/>
    <w:tmpl w:val="81A64A52"/>
    <w:lvl w:ilvl="0" w:tplc="060AFEE6">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09733F2"/>
    <w:multiLevelType w:val="hybridMultilevel"/>
    <w:tmpl w:val="C43E1922"/>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131850633">
    <w:abstractNumId w:val="4"/>
  </w:num>
  <w:num w:numId="2" w16cid:durableId="1167132660">
    <w:abstractNumId w:val="3"/>
  </w:num>
  <w:num w:numId="3" w16cid:durableId="1396320558">
    <w:abstractNumId w:val="1"/>
  </w:num>
  <w:num w:numId="4" w16cid:durableId="1605766559">
    <w:abstractNumId w:val="0"/>
  </w:num>
  <w:num w:numId="5" w16cid:durableId="744303626">
    <w:abstractNumId w:val="5"/>
  </w:num>
  <w:num w:numId="6" w16cid:durableId="1751081044">
    <w:abstractNumId w:val="6"/>
  </w:num>
  <w:num w:numId="7" w16cid:durableId="7155506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rawingGridHorizontalSpacing w:val="110"/>
  <w:displayHorizontalDrawingGridEvery w:val="0"/>
  <w:displayVerticalDrawingGridEvery w:val="0"/>
  <w:noPunctuationKerning/>
  <w:characterSpacingControl w:val="doNotCompress"/>
  <w:hdrShapeDefaults>
    <o:shapedefaults v:ext="edit" spidmax="2050" fill="f" fillcolor="window" stroke="f">
      <v:fill color="window"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DB3"/>
    <w:rsid w:val="00023194"/>
    <w:rsid w:val="000778FE"/>
    <w:rsid w:val="00091270"/>
    <w:rsid w:val="00095BC6"/>
    <w:rsid w:val="000A000B"/>
    <w:rsid w:val="000F24D5"/>
    <w:rsid w:val="00115C62"/>
    <w:rsid w:val="001A0593"/>
    <w:rsid w:val="001E5680"/>
    <w:rsid w:val="001E6BBC"/>
    <w:rsid w:val="00203603"/>
    <w:rsid w:val="00244B6A"/>
    <w:rsid w:val="00252EF3"/>
    <w:rsid w:val="002D6FC1"/>
    <w:rsid w:val="004435C8"/>
    <w:rsid w:val="004A45A9"/>
    <w:rsid w:val="004F00CC"/>
    <w:rsid w:val="00540062"/>
    <w:rsid w:val="00581020"/>
    <w:rsid w:val="005E65CD"/>
    <w:rsid w:val="0060214A"/>
    <w:rsid w:val="00602F58"/>
    <w:rsid w:val="006D147B"/>
    <w:rsid w:val="006E5BD8"/>
    <w:rsid w:val="00761252"/>
    <w:rsid w:val="007A7670"/>
    <w:rsid w:val="007B4525"/>
    <w:rsid w:val="007F4683"/>
    <w:rsid w:val="008768AE"/>
    <w:rsid w:val="00906B97"/>
    <w:rsid w:val="0096583C"/>
    <w:rsid w:val="009B6C53"/>
    <w:rsid w:val="00A121BD"/>
    <w:rsid w:val="00A226B4"/>
    <w:rsid w:val="00A32C19"/>
    <w:rsid w:val="00A354B1"/>
    <w:rsid w:val="00A8001D"/>
    <w:rsid w:val="00AE5F34"/>
    <w:rsid w:val="00AF7DB3"/>
    <w:rsid w:val="00B31A23"/>
    <w:rsid w:val="00B50108"/>
    <w:rsid w:val="00B85839"/>
    <w:rsid w:val="00BC7E06"/>
    <w:rsid w:val="00BD23D6"/>
    <w:rsid w:val="00C519AD"/>
    <w:rsid w:val="00CA4694"/>
    <w:rsid w:val="00CB118D"/>
    <w:rsid w:val="00CC758F"/>
    <w:rsid w:val="00D127D6"/>
    <w:rsid w:val="00DC52D5"/>
    <w:rsid w:val="00DC765B"/>
    <w:rsid w:val="00DD1D36"/>
    <w:rsid w:val="00E06C8C"/>
    <w:rsid w:val="00E2128C"/>
    <w:rsid w:val="00E62F74"/>
    <w:rsid w:val="00ED6A5C"/>
    <w:rsid w:val="00EE1052"/>
    <w:rsid w:val="00F0008F"/>
    <w:rsid w:val="00FB2AC6"/>
    <w:rsid w:val="00FF2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indow" stroke="f">
      <v:fill color="window" on="f"/>
      <v:stroke on="f"/>
    </o:shapedefaults>
    <o:shapelayout v:ext="edit">
      <o:idmap v:ext="edit" data="2"/>
    </o:shapelayout>
  </w:shapeDefaults>
  <w:decimalSymbol w:val="."/>
  <w:listSeparator w:val=","/>
  <w14:docId w14:val="63A4A4C4"/>
  <w15:docId w15:val="{7D28CF11-D6CE-46CC-B0B4-794EE152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6B4"/>
    <w:pPr>
      <w:spacing w:before="120"/>
      <w:jc w:val="both"/>
    </w:pPr>
    <w:rPr>
      <w:sz w:val="22"/>
    </w:rPr>
  </w:style>
  <w:style w:type="paragraph" w:styleId="Heading1">
    <w:name w:val="heading 1"/>
    <w:basedOn w:val="Normal"/>
    <w:next w:val="Normal"/>
    <w:qFormat/>
    <w:rsid w:val="00DC765B"/>
    <w:pPr>
      <w:keepNext/>
      <w:spacing w:before="240" w:after="60"/>
      <w:outlineLvl w:val="0"/>
    </w:pPr>
    <w:rPr>
      <w:rFonts w:ascii="Arial" w:hAnsi="Arial"/>
      <w:b/>
      <w:kern w:val="28"/>
      <w:sz w:val="28"/>
    </w:rPr>
  </w:style>
  <w:style w:type="paragraph" w:styleId="Heading2">
    <w:name w:val="heading 2"/>
    <w:basedOn w:val="Normal"/>
    <w:next w:val="Normal"/>
    <w:qFormat/>
    <w:rsid w:val="00581020"/>
    <w:pPr>
      <w:keepNext/>
      <w:spacing w:before="240" w:after="60"/>
      <w:jc w:val="center"/>
      <w:outlineLvl w:val="1"/>
    </w:pPr>
    <w:rPr>
      <w:rFonts w:ascii="Arial" w:hAnsi="Arial"/>
      <w:b/>
      <w:i/>
      <w:sz w:val="24"/>
    </w:rPr>
  </w:style>
  <w:style w:type="paragraph" w:styleId="Heading3">
    <w:name w:val="heading 3"/>
    <w:basedOn w:val="Normal"/>
    <w:next w:val="Normal"/>
    <w:qFormat/>
    <w:rsid w:val="00DC765B"/>
    <w:pPr>
      <w:keepNext/>
      <w:spacing w:after="60"/>
      <w:jc w:val="center"/>
      <w:outlineLvl w:val="2"/>
    </w:pPr>
    <w:rPr>
      <w:rFonts w:ascii="Arial" w:hAnsi="Arial" w:cs="Arial"/>
      <w:b/>
      <w:bCs/>
      <w:kern w:val="24"/>
      <w:sz w:val="24"/>
    </w:rPr>
  </w:style>
  <w:style w:type="paragraph" w:styleId="Heading4">
    <w:name w:val="heading 4"/>
    <w:basedOn w:val="Normal"/>
    <w:next w:val="Normal"/>
    <w:qFormat/>
    <w:rsid w:val="00DC765B"/>
    <w:pPr>
      <w:keepNext/>
      <w:ind w:hanging="10"/>
      <w:outlineLvl w:val="3"/>
    </w:pPr>
    <w:rPr>
      <w:rFonts w:ascii="Arial" w:hAnsi="Arial" w:cs="Arial"/>
      <w:b/>
      <w:bCs/>
      <w:sz w:val="20"/>
    </w:rPr>
  </w:style>
  <w:style w:type="paragraph" w:styleId="Heading5">
    <w:name w:val="heading 5"/>
    <w:basedOn w:val="Normal"/>
    <w:next w:val="Normal"/>
    <w:qFormat/>
    <w:rsid w:val="00DC765B"/>
    <w:pPr>
      <w:keepNext/>
      <w:jc w:val="center"/>
      <w:outlineLvl w:val="4"/>
    </w:pPr>
    <w:rPr>
      <w:b/>
      <w:bCs/>
    </w:rPr>
  </w:style>
  <w:style w:type="paragraph" w:styleId="Heading7">
    <w:name w:val="heading 7"/>
    <w:basedOn w:val="Normal"/>
    <w:next w:val="Normal"/>
    <w:qFormat/>
    <w:rsid w:val="00DC765B"/>
    <w:pPr>
      <w:keepNext/>
      <w:jc w:val="center"/>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dent">
    <w:name w:val="nodent"/>
    <w:basedOn w:val="Normal"/>
    <w:rsid w:val="00DC765B"/>
  </w:style>
  <w:style w:type="paragraph" w:customStyle="1" w:styleId="MTDisplayEquation">
    <w:name w:val="MTDisplayEquation"/>
    <w:basedOn w:val="Normal"/>
    <w:rsid w:val="00DC765B"/>
    <w:pPr>
      <w:tabs>
        <w:tab w:val="center" w:pos="4320"/>
        <w:tab w:val="right" w:pos="8640"/>
      </w:tabs>
    </w:pPr>
  </w:style>
  <w:style w:type="paragraph" w:styleId="FootnoteText">
    <w:name w:val="footnote text"/>
    <w:basedOn w:val="Normal"/>
    <w:semiHidden/>
    <w:rsid w:val="00DC765B"/>
    <w:pPr>
      <w:ind w:firstLine="180"/>
    </w:pPr>
    <w:rPr>
      <w:sz w:val="20"/>
    </w:rPr>
  </w:style>
  <w:style w:type="character" w:styleId="FootnoteReference">
    <w:name w:val="footnote reference"/>
    <w:basedOn w:val="DefaultParagraphFont"/>
    <w:semiHidden/>
    <w:rsid w:val="00DC765B"/>
    <w:rPr>
      <w:vertAlign w:val="superscript"/>
    </w:rPr>
  </w:style>
  <w:style w:type="paragraph" w:customStyle="1" w:styleId="item">
    <w:name w:val="item"/>
    <w:basedOn w:val="nodent"/>
    <w:rsid w:val="00DC765B"/>
    <w:pPr>
      <w:tabs>
        <w:tab w:val="left" w:pos="1080"/>
      </w:tabs>
      <w:ind w:left="1080" w:hanging="360"/>
    </w:pPr>
  </w:style>
  <w:style w:type="character" w:customStyle="1" w:styleId="MTEquationSection">
    <w:name w:val="MTEquationSection"/>
    <w:basedOn w:val="DefaultParagraphFont"/>
    <w:rsid w:val="00DC765B"/>
    <w:rPr>
      <w:vanish/>
      <w:color w:val="FF0000"/>
    </w:rPr>
  </w:style>
  <w:style w:type="paragraph" w:styleId="Header">
    <w:name w:val="header"/>
    <w:basedOn w:val="Normal"/>
    <w:rsid w:val="00DC765B"/>
    <w:pPr>
      <w:tabs>
        <w:tab w:val="center" w:pos="4320"/>
        <w:tab w:val="right" w:pos="8640"/>
      </w:tabs>
    </w:pPr>
  </w:style>
  <w:style w:type="paragraph" w:styleId="Footer">
    <w:name w:val="footer"/>
    <w:basedOn w:val="Normal"/>
    <w:rsid w:val="00DC765B"/>
    <w:pPr>
      <w:tabs>
        <w:tab w:val="center" w:pos="4320"/>
        <w:tab w:val="right" w:pos="8640"/>
      </w:tabs>
    </w:pPr>
  </w:style>
  <w:style w:type="character" w:styleId="PageNumber">
    <w:name w:val="page number"/>
    <w:basedOn w:val="DefaultParagraphFont"/>
    <w:rsid w:val="00DC765B"/>
  </w:style>
  <w:style w:type="character" w:styleId="Hyperlink">
    <w:name w:val="Hyperlink"/>
    <w:basedOn w:val="DefaultParagraphFont"/>
    <w:rsid w:val="00DC765B"/>
    <w:rPr>
      <w:color w:val="0000FF"/>
      <w:u w:val="single"/>
    </w:rPr>
  </w:style>
  <w:style w:type="paragraph" w:styleId="BodyText">
    <w:name w:val="Body Text"/>
    <w:basedOn w:val="Normal"/>
    <w:rsid w:val="00DC765B"/>
    <w:rPr>
      <w:sz w:val="24"/>
      <w:szCs w:val="24"/>
    </w:rPr>
  </w:style>
  <w:style w:type="paragraph" w:customStyle="1" w:styleId="Exhibit">
    <w:name w:val="Exhibit"/>
    <w:basedOn w:val="Normal"/>
    <w:rsid w:val="00DC765B"/>
    <w:pPr>
      <w:spacing w:after="120"/>
      <w:jc w:val="center"/>
    </w:pPr>
    <w:rPr>
      <w:b/>
      <w:bCs/>
    </w:rPr>
  </w:style>
  <w:style w:type="paragraph" w:styleId="Title">
    <w:name w:val="Title"/>
    <w:basedOn w:val="Normal"/>
    <w:qFormat/>
    <w:rsid w:val="00DC765B"/>
    <w:pPr>
      <w:spacing w:before="240" w:after="60"/>
      <w:jc w:val="center"/>
      <w:outlineLvl w:val="0"/>
    </w:pPr>
    <w:rPr>
      <w:rFonts w:ascii="Arial" w:hAnsi="Arial" w:cs="Arial"/>
      <w:b/>
      <w:bCs/>
      <w:kern w:val="28"/>
      <w:sz w:val="32"/>
      <w:szCs w:val="32"/>
    </w:rPr>
  </w:style>
  <w:style w:type="paragraph" w:customStyle="1" w:styleId="Tabletext">
    <w:name w:val="Table_text"/>
    <w:basedOn w:val="Normal"/>
    <w:rsid w:val="00DC765B"/>
    <w:pPr>
      <w:ind w:left="142"/>
    </w:pPr>
    <w:rPr>
      <w:rFonts w:ascii="Arial" w:hAnsi="Arial"/>
      <w:sz w:val="20"/>
    </w:rPr>
  </w:style>
  <w:style w:type="character" w:styleId="FollowedHyperlink">
    <w:name w:val="FollowedHyperlink"/>
    <w:basedOn w:val="DefaultParagraphFont"/>
    <w:rsid w:val="00DC765B"/>
    <w:rPr>
      <w:color w:val="800080"/>
      <w:u w:val="single"/>
    </w:rPr>
  </w:style>
  <w:style w:type="paragraph" w:customStyle="1" w:styleId="AGSM">
    <w:name w:val="AGSM"/>
    <w:basedOn w:val="Heading1"/>
    <w:rsid w:val="00DC765B"/>
    <w:pPr>
      <w:framePr w:hSpace="180" w:wrap="notBeside" w:vAnchor="text" w:hAnchor="margin" w:y="-324"/>
      <w:spacing w:before="120" w:after="0"/>
    </w:pPr>
    <w:rPr>
      <w:rFonts w:ascii="Arial Black" w:hAnsi="Arial Black" w:cs="Arial"/>
      <w:sz w:val="24"/>
    </w:rPr>
  </w:style>
  <w:style w:type="paragraph" w:customStyle="1" w:styleId="IDNumber">
    <w:name w:val="ID_Number"/>
    <w:basedOn w:val="Heading1"/>
    <w:rsid w:val="00DC765B"/>
    <w:pPr>
      <w:framePr w:hSpace="180" w:wrap="notBeside" w:vAnchor="text" w:hAnchor="margin" w:y="-324"/>
      <w:spacing w:before="120" w:after="0"/>
      <w:jc w:val="right"/>
    </w:pPr>
    <w:rPr>
      <w:rFonts w:cs="Arial"/>
      <w:b w:val="0"/>
      <w:bCs/>
      <w:sz w:val="22"/>
    </w:rPr>
  </w:style>
  <w:style w:type="paragraph" w:customStyle="1" w:styleId="Copyright">
    <w:name w:val="Copyright"/>
    <w:basedOn w:val="Heading4"/>
    <w:rsid w:val="00DC765B"/>
    <w:rPr>
      <w:b w:val="0"/>
      <w:bCs w:val="0"/>
      <w:sz w:val="18"/>
    </w:rPr>
  </w:style>
  <w:style w:type="paragraph" w:customStyle="1" w:styleId="TableInTitle">
    <w:name w:val="Table_In_Title"/>
    <w:basedOn w:val="Tabletext"/>
    <w:rsid w:val="00DC765B"/>
    <w:pPr>
      <w:jc w:val="center"/>
    </w:pPr>
    <w:rPr>
      <w:rFonts w:cs="Arial"/>
      <w:b/>
      <w:bCs/>
    </w:rPr>
  </w:style>
  <w:style w:type="paragraph" w:styleId="BodyText2">
    <w:name w:val="Body Text 2"/>
    <w:basedOn w:val="Normal"/>
    <w:rsid w:val="00DC765B"/>
    <w:pPr>
      <w:tabs>
        <w:tab w:val="left" w:pos="3150"/>
      </w:tabs>
      <w:jc w:val="left"/>
    </w:pPr>
  </w:style>
  <w:style w:type="character" w:customStyle="1" w:styleId="ExcelFunction">
    <w:name w:val="Excel Function"/>
    <w:basedOn w:val="DefaultParagraphFont"/>
    <w:rsid w:val="00DC765B"/>
    <w:rPr>
      <w:rFonts w:ascii="Arial" w:hAnsi="Arial"/>
      <w:b/>
      <w:smallCaps/>
      <w:sz w:val="20"/>
    </w:rPr>
  </w:style>
  <w:style w:type="table" w:styleId="TableGrid">
    <w:name w:val="Table Grid"/>
    <w:basedOn w:val="TableNormal"/>
    <w:uiPriority w:val="59"/>
    <w:rsid w:val="00FF2C8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tyle10ptPatternClearGray-10">
    <w:name w:val="Style 10 pt Pattern: Clear (Gray-10%)"/>
    <w:basedOn w:val="DefaultParagraphFont"/>
    <w:rsid w:val="00DC52D5"/>
    <w:rPr>
      <w:sz w:val="20"/>
      <w:bdr w:val="none" w:sz="0" w:space="0" w:color="auto"/>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513929">
      <w:bodyDiv w:val="1"/>
      <w:marLeft w:val="0"/>
      <w:marRight w:val="0"/>
      <w:marTop w:val="0"/>
      <w:marBottom w:val="0"/>
      <w:divBdr>
        <w:top w:val="none" w:sz="0" w:space="0" w:color="auto"/>
        <w:left w:val="none" w:sz="0" w:space="0" w:color="auto"/>
        <w:bottom w:val="none" w:sz="0" w:space="0" w:color="auto"/>
        <w:right w:val="none" w:sz="0" w:space="0" w:color="auto"/>
      </w:divBdr>
    </w:div>
    <w:div w:id="1889411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Numbers%201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Numbers 101.dot</Template>
  <TotalTime>1</TotalTime>
  <Pages>4</Pages>
  <Words>1276</Words>
  <Characters>6318</Characters>
  <Application>Microsoft Office Word</Application>
  <DocSecurity>0</DocSecurity>
  <Lines>185</Lines>
  <Paragraphs>135</Paragraphs>
  <ScaleCrop>false</ScaleCrop>
  <HeadingPairs>
    <vt:vector size="2" baseType="variant">
      <vt:variant>
        <vt:lpstr>Title</vt:lpstr>
      </vt:variant>
      <vt:variant>
        <vt:i4>1</vt:i4>
      </vt:variant>
    </vt:vector>
  </HeadingPairs>
  <TitlesOfParts>
    <vt:vector size="1" baseType="lpstr">
      <vt:lpstr>Margins, Markups, and Break-Evens</vt:lpstr>
    </vt:vector>
  </TitlesOfParts>
  <Company>The Anderson School at UCLA</Company>
  <LinksUpToDate>false</LinksUpToDate>
  <CharactersWithSpaces>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Margins, Markups, and Break-Evens</dc:title>
  <dc:subject/>
  <dc:creator>Richard P. Rumelt</dc:creator>
  <cp:keywords/>
  <dc:description/>
  <cp:lastModifiedBy>Richard Rumelt</cp:lastModifiedBy>
  <cp:revision>2</cp:revision>
  <cp:lastPrinted>2010-03-06T00:03:00Z</cp:lastPrinted>
  <dcterms:created xsi:type="dcterms:W3CDTF">2026-04-13T22:12:00Z</dcterms:created>
  <dcterms:modified xsi:type="dcterms:W3CDTF">2026-04-13T22:12:00Z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
    <vt:lpwstr>(1.1)</vt:lpwstr>
  </property>
  <property fmtid="{D5CDD505-2E9C-101B-9397-08002B2CF9AE}" pid="3" name="MTEquationSection">
    <vt:lpwstr>1</vt:lpwstr>
  </property>
  <property fmtid="{D5CDD505-2E9C-101B-9397-08002B2CF9AE}" pid="4" name="MTWinEqns">
    <vt:bool>true</vt:bool>
  </property>
</Properties>
</file>