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403C8" w14:textId="77777777" w:rsidR="00B31A23" w:rsidRDefault="00B31A23" w:rsidP="000E5E5B"/>
    <w:p w14:paraId="36920D50" w14:textId="449446C6" w:rsidR="00C3558D" w:rsidRDefault="00B94AD9" w:rsidP="00C3558D">
      <w:pPr>
        <w:pStyle w:val="Heading1"/>
        <w:jc w:val="center"/>
      </w:pPr>
      <w:r>
        <w:t>Value and Debt</w:t>
      </w:r>
    </w:p>
    <w:p w14:paraId="53E69910" w14:textId="529C6173" w:rsidR="0045563B" w:rsidRPr="0045563B" w:rsidRDefault="0045563B" w:rsidP="0045563B">
      <w:pPr>
        <w:jc w:val="center"/>
        <w:rPr>
          <w:sz w:val="28"/>
          <w:szCs w:val="28"/>
        </w:rPr>
      </w:pPr>
      <w:r w:rsidRPr="0045563B">
        <w:rPr>
          <w:sz w:val="28"/>
          <w:szCs w:val="28"/>
        </w:rPr>
        <w:t>Richard P. Rumelt</w:t>
      </w:r>
    </w:p>
    <w:p w14:paraId="1C158111" w14:textId="77777777" w:rsidR="00C3558D" w:rsidRDefault="00C3558D" w:rsidP="000E5E5B"/>
    <w:p w14:paraId="00053C33" w14:textId="77777777" w:rsidR="00C3558D" w:rsidRDefault="00C3558D" w:rsidP="00C3558D">
      <w:pPr>
        <w:pStyle w:val="display"/>
      </w:pPr>
      <w:r>
        <w:t xml:space="preserve">The direct approach to valuation is to forecast the </w:t>
      </w:r>
      <w:proofErr w:type="gramStart"/>
      <w:r>
        <w:t>future expected</w:t>
      </w:r>
      <w:proofErr w:type="gramEnd"/>
      <w:r>
        <w:t xml:space="preserve"> levels of free cash flow (FCF) and then to discount these values at the weighted average cost of capital.    However, in many cases we prefer to work with a </w:t>
      </w:r>
      <w:r>
        <w:rPr>
          <w:u w:val="single"/>
        </w:rPr>
        <w:t>model</w:t>
      </w:r>
      <w:r>
        <w:t xml:space="preserve"> in which the choice of a few parameters implies the whole future pattern of cash </w:t>
      </w:r>
      <w:proofErr w:type="gramStart"/>
      <w:r>
        <w:t>flows</w:t>
      </w:r>
      <w:proofErr w:type="gramEnd"/>
      <w:r>
        <w:t>.  We shall describe several examples, ranging from the simple to the complex.</w:t>
      </w:r>
    </w:p>
    <w:p w14:paraId="63E32DE4" w14:textId="77777777" w:rsidR="00B94AD9" w:rsidRDefault="00B94AD9" w:rsidP="00C3558D">
      <w:r>
        <w:t xml:space="preserve">The advantages of debt are that interest payments are tax deductable and that debt investors have no claims on excess earnings unless interest payments are missed. In standard valuation methods, the corporation's leverage is taken as a given. That leverage, normally defined as the market value of debt to </w:t>
      </w:r>
      <w:proofErr w:type="gramStart"/>
      <w:r>
        <w:t>sum of</w:t>
      </w:r>
      <w:proofErr w:type="gramEnd"/>
      <w:r>
        <w:t xml:space="preserve"> the market values of debt and equity, influences the riskiness of the earnings available to equity investors and future tax payments. </w:t>
      </w:r>
      <w:proofErr w:type="gramStart"/>
      <w:r>
        <w:t>In particular, if</w:t>
      </w:r>
      <w:proofErr w:type="gramEnd"/>
      <w:r>
        <w:t xml:space="preserve"> one uses the CAPM, then the measured beta of a firm is</w:t>
      </w:r>
    </w:p>
    <w:p w14:paraId="1D647AF8" w14:textId="77777777" w:rsidR="00C3558D" w:rsidRDefault="00B94AD9" w:rsidP="00B94AD9">
      <w:pPr>
        <w:pStyle w:val="MTDisplayEquation"/>
      </w:pPr>
      <w:r>
        <w:tab/>
      </w:r>
      <w:r w:rsidRPr="00B94AD9">
        <w:rPr>
          <w:position w:val="-24"/>
        </w:rPr>
        <w:object w:dxaOrig="1420" w:dyaOrig="620" w14:anchorId="591D9A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25pt;height:30.75pt" o:ole="">
            <v:imagedata r:id="rId8" o:title=""/>
          </v:shape>
          <o:OLEObject Type="Embed" ProgID="Equation.DSMT4" ShapeID="_x0000_i1025" DrawAspect="Content" ObjectID="_1837604297" r:id="rId9"/>
        </w:object>
      </w:r>
      <w:r>
        <w:tab/>
      </w:r>
      <w:r w:rsidR="004E1F85">
        <w:fldChar w:fldCharType="begin"/>
      </w:r>
      <w:r>
        <w:instrText xml:space="preserve"> MACROBUTTON MTPlaceRef \* MERGEFORMAT </w:instrText>
      </w:r>
      <w:r w:rsidR="004E1F85">
        <w:fldChar w:fldCharType="begin"/>
      </w:r>
      <w:r>
        <w:instrText xml:space="preserve"> SEQ MTEqn \h \* MERGEFORMAT </w:instrText>
      </w:r>
      <w:r w:rsidR="004E1F85">
        <w:fldChar w:fldCharType="end"/>
      </w:r>
      <w:r>
        <w:instrText>(</w:instrText>
      </w:r>
      <w:fldSimple w:instr=" SEQ MTEqn \c \* Arabic \* MERGEFORMAT ">
        <w:r w:rsidR="0005654D">
          <w:rPr>
            <w:noProof/>
          </w:rPr>
          <w:instrText>1</w:instrText>
        </w:r>
      </w:fldSimple>
      <w:r>
        <w:instrText>)</w:instrText>
      </w:r>
      <w:r w:rsidR="004E1F85">
        <w:fldChar w:fldCharType="end"/>
      </w:r>
    </w:p>
    <w:p w14:paraId="32CE3617" w14:textId="77777777" w:rsidR="00C3558D" w:rsidRDefault="00281447" w:rsidP="000E5E5B">
      <w:r>
        <w:t xml:space="preserve">where the leverage </w:t>
      </w:r>
      <w:r w:rsidRPr="00281447">
        <w:rPr>
          <w:position w:val="-10"/>
        </w:rPr>
        <w:object w:dxaOrig="1600" w:dyaOrig="320" w14:anchorId="5FC50F55">
          <v:shape id="_x0000_i1026" type="#_x0000_t75" style="width:80.25pt;height:15.75pt" o:ole="">
            <v:imagedata r:id="rId10" o:title=""/>
          </v:shape>
          <o:OLEObject Type="Embed" ProgID="Equation.DSMT4" ShapeID="_x0000_i1026" DrawAspect="Content" ObjectID="_1837604298" r:id="rId11"/>
        </w:object>
      </w:r>
      <w:r>
        <w:t xml:space="preserve">with both debt </w:t>
      </w:r>
      <w:r w:rsidRPr="00281447">
        <w:rPr>
          <w:i/>
        </w:rPr>
        <w:t>D</w:t>
      </w:r>
      <w:r>
        <w:t xml:space="preserve"> and equity </w:t>
      </w:r>
      <w:r w:rsidRPr="00281447">
        <w:rPr>
          <w:i/>
        </w:rPr>
        <w:t>E</w:t>
      </w:r>
      <w:r>
        <w:t xml:space="preserve"> measured at market values. </w:t>
      </w:r>
    </w:p>
    <w:p w14:paraId="2BFDDA76" w14:textId="77777777" w:rsidR="00281447" w:rsidRDefault="00820977" w:rsidP="000E5E5B">
      <w:r>
        <w:t>One can estimate the impact of changes in leverage using the weighted-average cost of capital approach. However, in</w:t>
      </w:r>
      <w:r w:rsidR="00281447">
        <w:t xml:space="preserve"> gen</w:t>
      </w:r>
      <w:r>
        <w:t>eral</w:t>
      </w:r>
      <w:r w:rsidR="00281447">
        <w:t xml:space="preserve"> it is better to use the </w:t>
      </w:r>
      <w:r w:rsidR="00281447" w:rsidRPr="00281447">
        <w:rPr>
          <w:i/>
        </w:rPr>
        <w:t>adjusted present value</w:t>
      </w:r>
      <w:r w:rsidR="00281447">
        <w:t xml:space="preserve"> model to do this. The APV makes it easier to include effects such as the expected cost of bankruptcy.</w:t>
      </w:r>
    </w:p>
    <w:p w14:paraId="44B2ACFF" w14:textId="77777777" w:rsidR="00281447" w:rsidRDefault="00281447" w:rsidP="000E5E5B">
      <w:r>
        <w:t>The APV estimates the value of a firm as three components: the value of the unlevered firm, the value of the tax-saving due to debt, and the expected cost of defaulting on debt payments.</w:t>
      </w:r>
    </w:p>
    <w:p w14:paraId="15A37B18" w14:textId="77777777" w:rsidR="00281447" w:rsidRDefault="008C5A3A" w:rsidP="000E5E5B">
      <w:r>
        <w:t>An APV valuation proceeds in these steps:</w:t>
      </w:r>
    </w:p>
    <w:p w14:paraId="3BB613FF" w14:textId="77777777" w:rsidR="008C5A3A" w:rsidRDefault="008C5A3A" w:rsidP="008C5A3A">
      <w:pPr>
        <w:pStyle w:val="ListParagraph"/>
        <w:numPr>
          <w:ilvl w:val="0"/>
          <w:numId w:val="9"/>
        </w:numPr>
      </w:pPr>
      <w:r>
        <w:t>The value of the unlevered enterprise is computed. This can be done in two basic ways:</w:t>
      </w:r>
    </w:p>
    <w:p w14:paraId="5329F407" w14:textId="77777777" w:rsidR="008C5A3A" w:rsidRDefault="008C5A3A" w:rsidP="008C5A3A">
      <w:pPr>
        <w:pStyle w:val="ListParagraph"/>
        <w:numPr>
          <w:ilvl w:val="1"/>
          <w:numId w:val="9"/>
        </w:numPr>
      </w:pPr>
      <w:r>
        <w:t xml:space="preserve">Use the unlevered beta to compute an unlevered cost of capital and value the free cash </w:t>
      </w:r>
      <w:proofErr w:type="gramStart"/>
      <w:r>
        <w:t>flows</w:t>
      </w:r>
      <w:proofErr w:type="gramEnd"/>
      <w:r>
        <w:t xml:space="preserve"> using this cost of capital. </w:t>
      </w:r>
    </w:p>
    <w:p w14:paraId="0B839AF2" w14:textId="77777777" w:rsidR="008C5A3A" w:rsidRDefault="008C5A3A" w:rsidP="008C5A3A">
      <w:pPr>
        <w:pStyle w:val="ListParagraph"/>
        <w:numPr>
          <w:ilvl w:val="1"/>
          <w:numId w:val="9"/>
        </w:numPr>
      </w:pPr>
      <w:r>
        <w:t>Start with the current market value of the firm and subtract the net benefits of debt. The net benefits of debt (see below) are the tax shield of debt reduced by the expected costs of a default restructuring.</w:t>
      </w:r>
    </w:p>
    <w:p w14:paraId="52DBE6B1" w14:textId="77777777" w:rsidR="008C5A3A" w:rsidRDefault="00ED6CBB" w:rsidP="008C5A3A">
      <w:pPr>
        <w:pStyle w:val="ListParagraph"/>
        <w:numPr>
          <w:ilvl w:val="0"/>
          <w:numId w:val="9"/>
        </w:numPr>
      </w:pPr>
      <w:r>
        <w:t xml:space="preserve">The value of the tax benefits of debt </w:t>
      </w:r>
      <w:proofErr w:type="gramStart"/>
      <w:r>
        <w:t>are</w:t>
      </w:r>
      <w:proofErr w:type="gramEnd"/>
      <w:r>
        <w:t xml:space="preserve"> estimated.</w:t>
      </w:r>
    </w:p>
    <w:p w14:paraId="592DF7A8" w14:textId="77777777" w:rsidR="00ED6CBB" w:rsidRDefault="00ED6CBB" w:rsidP="008C5A3A">
      <w:pPr>
        <w:pStyle w:val="ListParagraph"/>
        <w:numPr>
          <w:ilvl w:val="0"/>
          <w:numId w:val="9"/>
        </w:numPr>
      </w:pPr>
      <w:r>
        <w:t xml:space="preserve">The </w:t>
      </w:r>
      <w:proofErr w:type="gramStart"/>
      <w:r>
        <w:t xml:space="preserve">probability </w:t>
      </w:r>
      <w:r w:rsidR="00820977" w:rsidRPr="00820977">
        <w:rPr>
          <w:i/>
        </w:rPr>
        <w:t>p</w:t>
      </w:r>
      <w:proofErr w:type="gramEnd"/>
      <w:r w:rsidR="00820977">
        <w:t xml:space="preserve"> </w:t>
      </w:r>
      <w:r>
        <w:t xml:space="preserve">of default is </w:t>
      </w:r>
      <w:proofErr w:type="gramStart"/>
      <w:r>
        <w:t>estimated</w:t>
      </w:r>
      <w:proofErr w:type="gramEnd"/>
      <w:r>
        <w:t xml:space="preserve"> and the cost of a default is estimated.</w:t>
      </w:r>
    </w:p>
    <w:p w14:paraId="5382BC53" w14:textId="77777777" w:rsidR="00ED6CBB" w:rsidRDefault="00ED6CBB" w:rsidP="00ED6CBB">
      <w:r>
        <w:t>The sum of these elements gives the value of the levered enterprise. In the simplest case, we estimate the tax shield from debt as TD, where T is the marginal tax rate and D is the amount of debt. This figure is obtained even if debt grows over time because we discount future tax savings at the cost of debt, cancelling out the effects of growth.</w:t>
      </w:r>
      <w:r>
        <w:rPr>
          <w:rStyle w:val="FootnoteReference"/>
        </w:rPr>
        <w:footnoteReference w:id="1"/>
      </w:r>
      <w:r>
        <w:t xml:space="preserve"> With this assumption, the APV gives</w:t>
      </w:r>
    </w:p>
    <w:p w14:paraId="597FA341" w14:textId="77777777" w:rsidR="00ED6CBB" w:rsidRDefault="00ED6CBB" w:rsidP="00ED6CBB">
      <w:pPr>
        <w:pStyle w:val="MTDisplayEquation"/>
      </w:pPr>
      <w:r>
        <w:lastRenderedPageBreak/>
        <w:tab/>
      </w:r>
      <w:r w:rsidR="00820977" w:rsidRPr="00ED6CBB">
        <w:rPr>
          <w:position w:val="-12"/>
        </w:rPr>
        <w:object w:dxaOrig="1840" w:dyaOrig="360" w14:anchorId="25EA1A34">
          <v:shape id="_x0000_i1027" type="#_x0000_t75" style="width:92.25pt;height:18pt" o:ole="">
            <v:imagedata r:id="rId12" o:title=""/>
          </v:shape>
          <o:OLEObject Type="Embed" ProgID="Equation.DSMT4" ShapeID="_x0000_i1027" DrawAspect="Content" ObjectID="_1837604299" r:id="rId13"/>
        </w:object>
      </w:r>
      <w:r>
        <w:tab/>
      </w:r>
      <w:r w:rsidR="004E1F85">
        <w:fldChar w:fldCharType="begin"/>
      </w:r>
      <w:r>
        <w:instrText xml:space="preserve"> MACROBUTTON MTPlaceRef \* MERGEFORMAT </w:instrText>
      </w:r>
      <w:r w:rsidR="004E1F85">
        <w:fldChar w:fldCharType="begin"/>
      </w:r>
      <w:r>
        <w:instrText xml:space="preserve"> SEQ MTEqn \h \* MERGEFORMAT </w:instrText>
      </w:r>
      <w:r w:rsidR="004E1F85">
        <w:fldChar w:fldCharType="end"/>
      </w:r>
      <w:r>
        <w:instrText>(</w:instrText>
      </w:r>
      <w:fldSimple w:instr=" SEQ MTEqn \c \* Arabic \* MERGEFORMAT ">
        <w:r w:rsidR="0005654D">
          <w:rPr>
            <w:noProof/>
          </w:rPr>
          <w:instrText>2</w:instrText>
        </w:r>
      </w:fldSimple>
      <w:r>
        <w:instrText>)</w:instrText>
      </w:r>
      <w:r w:rsidR="004E1F85">
        <w:fldChar w:fldCharType="end"/>
      </w:r>
    </w:p>
    <w:p w14:paraId="10A6CC0F" w14:textId="77777777" w:rsidR="008C5A3A" w:rsidRDefault="00F8720E" w:rsidP="000E5E5B">
      <w:r>
        <w:t xml:space="preserve">Importantly, the value </w:t>
      </w:r>
      <w:r w:rsidRPr="00820977">
        <w:rPr>
          <w:i/>
        </w:rPr>
        <w:t>V</w:t>
      </w:r>
      <w:r>
        <w:t xml:space="preserve"> is the value of the operating assets—the total value of the business. To obtain the value of </w:t>
      </w:r>
      <w:proofErr w:type="gramStart"/>
      <w:r>
        <w:t>the equity</w:t>
      </w:r>
      <w:proofErr w:type="gramEnd"/>
      <w:r>
        <w:t xml:space="preserve"> it is necessary to subtract the market value of debt and add back in the value of excess cash. </w:t>
      </w:r>
    </w:p>
    <w:p w14:paraId="69EF0DF3" w14:textId="77777777" w:rsidR="00065DD4" w:rsidRDefault="00000000" w:rsidP="000E5E5B">
      <w:pPr>
        <w:rPr>
          <w:noProof/>
        </w:rPr>
      </w:pPr>
      <w:r>
        <w:rPr>
          <w:noProof/>
          <w:lang w:eastAsia="zh-TW"/>
        </w:rPr>
        <w:pict w14:anchorId="20FC0D11">
          <v:shapetype id="_x0000_t202" coordsize="21600,21600" o:spt="202" path="m,l,21600r21600,l21600,xe">
            <v:stroke joinstyle="miter"/>
            <v:path gradientshapeok="t" o:connecttype="rect"/>
          </v:shapetype>
          <v:shape id="_x0000_s2054" type="#_x0000_t202" style="position:absolute;left:0;text-align:left;margin-left:0;margin-top:62.25pt;width:424.5pt;height:441pt;z-index:251660288;mso-wrap-distance-top:7.2pt;mso-wrap-distance-bottom:7.2pt;mso-position-horizontal:center;mso-width-relative:margin;mso-height-relative:margin" o:allowoverlap="f" stroked="f">
            <v:textbox>
              <w:txbxContent>
                <w:p w14:paraId="1BEFC383" w14:textId="77777777" w:rsidR="00966894" w:rsidRDefault="00966894" w:rsidP="00966894">
                  <w:pPr>
                    <w:pStyle w:val="Caption"/>
                  </w:pPr>
                  <w:r>
                    <w:t xml:space="preserve">Exhibit </w:t>
                  </w:r>
                  <w:fldSimple w:instr=" SEQ Exhibit \* ARABIC ">
                    <w:r w:rsidR="0005654D">
                      <w:rPr>
                        <w:noProof/>
                      </w:rPr>
                      <w:t>1</w:t>
                    </w:r>
                  </w:fldSimple>
                  <w:r>
                    <w:t>—Bond Default Data</w:t>
                  </w:r>
                </w:p>
                <w:p w14:paraId="582C4850" w14:textId="77777777" w:rsidR="00966894" w:rsidRDefault="00966894">
                  <w:r w:rsidRPr="00966894">
                    <w:rPr>
                      <w:noProof/>
                    </w:rPr>
                    <w:drawing>
                      <wp:inline distT="0" distB="0" distL="0" distR="0" wp14:anchorId="0ADC7C61" wp14:editId="479C49B0">
                        <wp:extent cx="5208270" cy="5039657"/>
                        <wp:effectExtent l="19050" t="0" r="0" b="0"/>
                        <wp:docPr id="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srcRect/>
                                <a:stretch>
                                  <a:fillRect/>
                                </a:stretch>
                              </pic:blipFill>
                              <pic:spPr bwMode="auto">
                                <a:xfrm>
                                  <a:off x="0" y="0"/>
                                  <a:ext cx="5208270" cy="5039657"/>
                                </a:xfrm>
                                <a:prstGeom prst="rect">
                                  <a:avLst/>
                                </a:prstGeom>
                                <a:noFill/>
                                <a:ln w="9525">
                                  <a:noFill/>
                                  <a:miter lim="800000"/>
                                  <a:headEnd/>
                                  <a:tailEnd/>
                                </a:ln>
                              </pic:spPr>
                            </pic:pic>
                          </a:graphicData>
                        </a:graphic>
                      </wp:inline>
                    </w:drawing>
                  </w:r>
                </w:p>
              </w:txbxContent>
            </v:textbox>
            <w10:wrap type="topAndBottom"/>
          </v:shape>
        </w:pict>
      </w:r>
      <w:r w:rsidR="003B3ABE">
        <w:rPr>
          <w:noProof/>
        </w:rPr>
        <w:t xml:space="preserve">To estimate default probabilities, we can use Altman's analysis of data from the ratings companies as shown </w:t>
      </w:r>
      <w:r w:rsidR="00966894">
        <w:rPr>
          <w:noProof/>
        </w:rPr>
        <w:t xml:space="preserve">below. It links bond ratings to annual and cumulative default probabilities over 10 years. </w:t>
      </w:r>
    </w:p>
    <w:p w14:paraId="12F70D74" w14:textId="77777777" w:rsidR="00966894" w:rsidRDefault="00966894" w:rsidP="000E5E5B">
      <w:r>
        <w:rPr>
          <w:noProof/>
        </w:rPr>
        <w:t>Estimating the cost of default requires much more hand-waving. Emprical studies place it in the range of 5-20% of the firm's unlevered "value." Fifteen percent is a good place to start.</w:t>
      </w:r>
    </w:p>
    <w:p w14:paraId="2ACBDD61" w14:textId="77777777" w:rsidR="00065DD4" w:rsidRDefault="00966894" w:rsidP="000E5E5B">
      <w:r>
        <w:t xml:space="preserve">The third link in the logic of debt </w:t>
      </w:r>
      <w:r w:rsidR="00820977">
        <w:t>are</w:t>
      </w:r>
      <w:r>
        <w:t xml:space="preserve"> the relationship</w:t>
      </w:r>
      <w:r w:rsidR="00820977">
        <w:t>s</w:t>
      </w:r>
      <w:r>
        <w:t xml:space="preserve"> between default risk, ratings, and interest rates. The ratings agencies use </w:t>
      </w:r>
      <w:proofErr w:type="gramStart"/>
      <w:r>
        <w:t>a number of</w:t>
      </w:r>
      <w:proofErr w:type="gramEnd"/>
      <w:r>
        <w:t xml:space="preserve"> factors in assessing risk, but the most important one is </w:t>
      </w:r>
      <w:r>
        <w:lastRenderedPageBreak/>
        <w:t xml:space="preserve">interest coverage. That is the ratio of EBIT to interest expense (having adjusted interest to reflect the interest on the implied debt of long-term leases.) </w:t>
      </w:r>
    </w:p>
    <w:p w14:paraId="69F89B97" w14:textId="77777777" w:rsidR="00966894" w:rsidRDefault="00966894" w:rsidP="000E5E5B">
      <w:r>
        <w:t xml:space="preserve">Aswath Damodaran (Stern School, NYU) provides these useful (and current as of 2009) tables relating interest coverage ratios to bond ratings and interest spreads (interest rates above long-term Treasury rates). </w:t>
      </w:r>
    </w:p>
    <w:p w14:paraId="0175E965" w14:textId="77777777" w:rsidR="00966894" w:rsidRDefault="00966894" w:rsidP="000E5E5B"/>
    <w:p w14:paraId="23876CA2" w14:textId="77777777" w:rsidR="00065DD4" w:rsidRDefault="00125BA7" w:rsidP="00F8720E">
      <w:pPr>
        <w:pStyle w:val="Caption"/>
        <w:jc w:val="center"/>
      </w:pPr>
      <w:r>
        <w:t xml:space="preserve">Exhibit </w:t>
      </w:r>
      <w:fldSimple w:instr=" SEQ Exhibit \* ARABIC ">
        <w:r w:rsidR="0005654D">
          <w:rPr>
            <w:noProof/>
          </w:rPr>
          <w:t>2</w:t>
        </w:r>
      </w:fldSimple>
    </w:p>
    <w:p w14:paraId="1D5F4B63" w14:textId="77777777" w:rsidR="00065DD4" w:rsidRDefault="00966894" w:rsidP="00F8720E">
      <w:pPr>
        <w:jc w:val="center"/>
      </w:pPr>
      <w:r w:rsidRPr="00966894">
        <w:rPr>
          <w:noProof/>
        </w:rPr>
        <w:drawing>
          <wp:inline distT="0" distB="0" distL="0" distR="0" wp14:anchorId="008E064B" wp14:editId="639418CD">
            <wp:extent cx="3057525" cy="2924175"/>
            <wp:effectExtent l="1905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srcRect/>
                    <a:stretch>
                      <a:fillRect/>
                    </a:stretch>
                  </pic:blipFill>
                  <pic:spPr bwMode="auto">
                    <a:xfrm>
                      <a:off x="0" y="0"/>
                      <a:ext cx="3057525" cy="2924175"/>
                    </a:xfrm>
                    <a:prstGeom prst="rect">
                      <a:avLst/>
                    </a:prstGeom>
                    <a:noFill/>
                    <a:ln w="9525">
                      <a:noFill/>
                      <a:miter lim="800000"/>
                      <a:headEnd/>
                      <a:tailEnd/>
                    </a:ln>
                  </pic:spPr>
                </pic:pic>
              </a:graphicData>
            </a:graphic>
          </wp:inline>
        </w:drawing>
      </w:r>
    </w:p>
    <w:p w14:paraId="6BDBCD59" w14:textId="77777777" w:rsidR="00125BA7" w:rsidRDefault="00125BA7" w:rsidP="00F8720E">
      <w:pPr>
        <w:jc w:val="center"/>
      </w:pPr>
      <w:r w:rsidRPr="00125BA7">
        <w:rPr>
          <w:noProof/>
        </w:rPr>
        <w:drawing>
          <wp:inline distT="0" distB="0" distL="0" distR="0" wp14:anchorId="43885B19" wp14:editId="611B9F3A">
            <wp:extent cx="3057525" cy="2924175"/>
            <wp:effectExtent l="1905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srcRect/>
                    <a:stretch>
                      <a:fillRect/>
                    </a:stretch>
                  </pic:blipFill>
                  <pic:spPr bwMode="auto">
                    <a:xfrm>
                      <a:off x="0" y="0"/>
                      <a:ext cx="3057525" cy="2924175"/>
                    </a:xfrm>
                    <a:prstGeom prst="rect">
                      <a:avLst/>
                    </a:prstGeom>
                    <a:noFill/>
                    <a:ln w="9525">
                      <a:noFill/>
                      <a:miter lim="800000"/>
                      <a:headEnd/>
                      <a:tailEnd/>
                    </a:ln>
                  </pic:spPr>
                </pic:pic>
              </a:graphicData>
            </a:graphic>
          </wp:inline>
        </w:drawing>
      </w:r>
    </w:p>
    <w:p w14:paraId="6A61B040" w14:textId="77777777" w:rsidR="00125BA7" w:rsidRDefault="00125BA7" w:rsidP="000E5E5B"/>
    <w:p w14:paraId="40B37279" w14:textId="77777777" w:rsidR="00125BA7" w:rsidRDefault="00125BA7">
      <w:pPr>
        <w:spacing w:before="0"/>
        <w:jc w:val="left"/>
      </w:pPr>
      <w:r>
        <w:br w:type="page"/>
      </w:r>
    </w:p>
    <w:p w14:paraId="3F3B6306" w14:textId="77777777" w:rsidR="00125BA7" w:rsidRDefault="00125BA7" w:rsidP="00F8720E">
      <w:pPr>
        <w:jc w:val="center"/>
      </w:pPr>
      <w:r>
        <w:lastRenderedPageBreak/>
        <w:t>Exhibit 2 continued</w:t>
      </w:r>
    </w:p>
    <w:p w14:paraId="6452B990" w14:textId="77777777" w:rsidR="00125BA7" w:rsidRDefault="00125BA7" w:rsidP="00F8720E">
      <w:pPr>
        <w:jc w:val="center"/>
      </w:pPr>
      <w:r w:rsidRPr="00125BA7">
        <w:rPr>
          <w:noProof/>
        </w:rPr>
        <w:drawing>
          <wp:inline distT="0" distB="0" distL="0" distR="0" wp14:anchorId="7BB86968" wp14:editId="6CB0A5DA">
            <wp:extent cx="3057525" cy="2924175"/>
            <wp:effectExtent l="1905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srcRect/>
                    <a:stretch>
                      <a:fillRect/>
                    </a:stretch>
                  </pic:blipFill>
                  <pic:spPr bwMode="auto">
                    <a:xfrm>
                      <a:off x="0" y="0"/>
                      <a:ext cx="3057525" cy="2924175"/>
                    </a:xfrm>
                    <a:prstGeom prst="rect">
                      <a:avLst/>
                    </a:prstGeom>
                    <a:noFill/>
                    <a:ln w="9525">
                      <a:noFill/>
                      <a:miter lim="800000"/>
                      <a:headEnd/>
                      <a:tailEnd/>
                    </a:ln>
                  </pic:spPr>
                </pic:pic>
              </a:graphicData>
            </a:graphic>
          </wp:inline>
        </w:drawing>
      </w:r>
    </w:p>
    <w:p w14:paraId="54A5C817" w14:textId="77777777" w:rsidR="00125BA7" w:rsidRDefault="00125BA7" w:rsidP="000E5E5B"/>
    <w:p w14:paraId="76FA0114" w14:textId="77777777" w:rsidR="00125BA7" w:rsidRDefault="00125BA7" w:rsidP="000E5E5B">
      <w:r>
        <w:t>For up-to-date data on ratings and spreads you can visit www.bondsonline.com and search on "spreads."</w:t>
      </w:r>
    </w:p>
    <w:p w14:paraId="70085D97" w14:textId="77777777" w:rsidR="00125BA7" w:rsidRDefault="00F8720E" w:rsidP="000E5E5B">
      <w:r>
        <w:rPr>
          <w:noProof/>
        </w:rPr>
        <w:drawing>
          <wp:anchor distT="0" distB="0" distL="114300" distR="114300" simplePos="0" relativeHeight="251661312" behindDoc="0" locked="0" layoutInCell="1" allowOverlap="1" wp14:anchorId="4FD78BC3" wp14:editId="1B19A384">
            <wp:simplePos x="0" y="0"/>
            <wp:positionH relativeFrom="column">
              <wp:posOffset>3333750</wp:posOffset>
            </wp:positionH>
            <wp:positionV relativeFrom="paragraph">
              <wp:posOffset>624205</wp:posOffset>
            </wp:positionV>
            <wp:extent cx="2209800" cy="3076575"/>
            <wp:effectExtent l="19050" t="0" r="0" b="0"/>
            <wp:wrapSquare wrapText="left"/>
            <wp:docPr id="10"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124200" cy="4648200"/>
                      <a:chOff x="2971800" y="990600"/>
                      <a:chExt cx="3124200" cy="4648200"/>
                    </a:xfrm>
                  </a:grpSpPr>
                  <a:sp>
                    <a:nvSpPr>
                      <a:cNvPr id="4" name="Rectangle 3"/>
                      <a:cNvSpPr/>
                    </a:nvSpPr>
                    <a:spPr>
                      <a:xfrm>
                        <a:off x="3657600" y="990600"/>
                        <a:ext cx="990600" cy="685800"/>
                      </a:xfrm>
                      <a:prstGeom prst="rect">
                        <a:avLst/>
                      </a:prstGeom>
                      <a:no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dirty="0" smtClean="0">
                              <a:solidFill>
                                <a:schemeClr val="tx1"/>
                              </a:solidFill>
                            </a:rPr>
                            <a:t>Debt</a:t>
                          </a:r>
                          <a:endParaRPr lang="en-US"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5" name="Rectangle 4"/>
                      <a:cNvSpPr/>
                    </a:nvSpPr>
                    <a:spPr>
                      <a:xfrm>
                        <a:off x="3429000" y="3048000"/>
                        <a:ext cx="1371600" cy="685800"/>
                      </a:xfrm>
                      <a:prstGeom prst="rect">
                        <a:avLst/>
                      </a:prstGeom>
                      <a:no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dirty="0" smtClean="0">
                              <a:solidFill>
                                <a:schemeClr val="tx1"/>
                              </a:solidFill>
                            </a:rPr>
                            <a:t>Coverage</a:t>
                          </a:r>
                          <a:endParaRPr lang="en-US"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Rectangle 5"/>
                      <a:cNvSpPr/>
                    </a:nvSpPr>
                    <a:spPr>
                      <a:xfrm>
                        <a:off x="5105400" y="990600"/>
                        <a:ext cx="990600" cy="685800"/>
                      </a:xfrm>
                      <a:prstGeom prst="rect">
                        <a:avLst/>
                      </a:prstGeom>
                      <a:no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dirty="0" smtClean="0">
                              <a:solidFill>
                                <a:schemeClr val="tx1"/>
                              </a:solidFill>
                            </a:rPr>
                            <a:t>Interest rate</a:t>
                          </a:r>
                          <a:endParaRPr lang="en-US"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Rectangle 6"/>
                      <a:cNvSpPr/>
                    </a:nvSpPr>
                    <a:spPr>
                      <a:xfrm>
                        <a:off x="2971800" y="1981200"/>
                        <a:ext cx="990600" cy="685800"/>
                      </a:xfrm>
                      <a:prstGeom prst="rect">
                        <a:avLst/>
                      </a:prstGeom>
                      <a:no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dirty="0" smtClean="0">
                              <a:solidFill>
                                <a:schemeClr val="tx1"/>
                              </a:solidFill>
                            </a:rPr>
                            <a:t>EBIT</a:t>
                          </a:r>
                          <a:endParaRPr lang="en-US"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8" name="Rectangle 7"/>
                      <a:cNvSpPr/>
                    </a:nvSpPr>
                    <a:spPr>
                      <a:xfrm>
                        <a:off x="4267200" y="1981200"/>
                        <a:ext cx="990600" cy="685800"/>
                      </a:xfrm>
                      <a:prstGeom prst="rect">
                        <a:avLst/>
                      </a:prstGeom>
                      <a:no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dirty="0" smtClean="0">
                              <a:solidFill>
                                <a:schemeClr val="tx1"/>
                              </a:solidFill>
                            </a:rPr>
                            <a:t>Interest expense</a:t>
                          </a:r>
                          <a:endParaRPr lang="en-US"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Rectangle 8"/>
                      <a:cNvSpPr/>
                    </a:nvSpPr>
                    <a:spPr>
                      <a:xfrm>
                        <a:off x="3733800" y="4038600"/>
                        <a:ext cx="990600" cy="685800"/>
                      </a:xfrm>
                      <a:prstGeom prst="rect">
                        <a:avLst/>
                      </a:prstGeom>
                      <a:no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dirty="0" smtClean="0">
                              <a:solidFill>
                                <a:schemeClr val="tx1"/>
                              </a:solidFill>
                            </a:rPr>
                            <a:t>Rating</a:t>
                          </a:r>
                          <a:endParaRPr lang="en-US"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11" name="Shape 10"/>
                      <a:cNvCxnSpPr>
                        <a:stCxn id="9" idx="3"/>
                      </a:cNvCxnSpPr>
                    </a:nvCxnSpPr>
                    <a:spPr>
                      <a:xfrm flipV="1">
                        <a:off x="4724400" y="1676400"/>
                        <a:ext cx="1066800" cy="2705100"/>
                      </a:xfrm>
                      <a:prstGeom prst="bentConnector2">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3" name="Straight Arrow Connector 12"/>
                      <a:cNvCxnSpPr>
                        <a:stCxn id="6" idx="2"/>
                      </a:cNvCxnSpPr>
                    </a:nvCxnSpPr>
                    <a:spPr>
                      <a:xfrm rot="5400000">
                        <a:off x="5162550" y="1543050"/>
                        <a:ext cx="304800" cy="57150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5" name="Straight Arrow Connector 14"/>
                      <a:cNvCxnSpPr>
                        <a:endCxn id="8" idx="0"/>
                      </a:cNvCxnSpPr>
                    </a:nvCxnSpPr>
                    <a:spPr>
                      <a:xfrm>
                        <a:off x="4267200" y="1676400"/>
                        <a:ext cx="495300" cy="30480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7" name="Straight Arrow Connector 16"/>
                      <a:cNvCxnSpPr>
                        <a:stCxn id="8" idx="2"/>
                      </a:cNvCxnSpPr>
                    </a:nvCxnSpPr>
                    <a:spPr>
                      <a:xfrm rot="5400000">
                        <a:off x="4362450" y="2647950"/>
                        <a:ext cx="381000" cy="41910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9" name="Straight Arrow Connector 18"/>
                      <a:cNvCxnSpPr>
                        <a:stCxn id="7" idx="2"/>
                      </a:cNvCxnSpPr>
                    </a:nvCxnSpPr>
                    <a:spPr>
                      <a:xfrm rot="16200000" flipH="1">
                        <a:off x="3448050" y="2686050"/>
                        <a:ext cx="381000" cy="34290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21" name="Straight Arrow Connector 20"/>
                      <a:cNvCxnSpPr>
                        <a:stCxn id="5" idx="2"/>
                      </a:cNvCxnSpPr>
                    </a:nvCxnSpPr>
                    <a:spPr>
                      <a:xfrm rot="5400000">
                        <a:off x="3962400" y="3886200"/>
                        <a:ext cx="3048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sp>
                    <a:nvSpPr>
                      <a:cNvPr id="24" name="Rectangle 23"/>
                      <a:cNvSpPr/>
                    </a:nvSpPr>
                    <a:spPr>
                      <a:xfrm>
                        <a:off x="3733800" y="4953000"/>
                        <a:ext cx="990600" cy="685800"/>
                      </a:xfrm>
                      <a:prstGeom prst="rect">
                        <a:avLst/>
                      </a:prstGeom>
                      <a:noFill/>
                      <a:ln>
                        <a:solidFill>
                          <a:schemeClr val="tx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dirty="0" smtClean="0">
                              <a:solidFill>
                                <a:schemeClr val="tx1"/>
                              </a:solidFill>
                            </a:rPr>
                            <a:t>Default prob.</a:t>
                          </a:r>
                          <a:endParaRPr lang="en-US"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26" name="Straight Arrow Connector 25"/>
                      <a:cNvCxnSpPr>
                        <a:stCxn id="9" idx="2"/>
                        <a:endCxn id="24" idx="0"/>
                      </a:cNvCxnSpPr>
                    </a:nvCxnSpPr>
                    <a:spPr>
                      <a:xfrm rot="5400000">
                        <a:off x="4114800" y="4838700"/>
                        <a:ext cx="2286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lc:lockedCanvas>
              </a:graphicData>
            </a:graphic>
          </wp:anchor>
        </w:drawing>
      </w:r>
      <w:r w:rsidR="006919FB">
        <w:t>Using this data to estimate a "rating" on a new level of debt involves (a) estimating the interest rate, (b) using that rate times the amount of debt to estimate interest payments, (c) dividing those payments into EBIT to get the coverage ratio, and then (d) using the coverage ratio to estimate the bond rating and the spread. This spread</w:t>
      </w:r>
      <w:r w:rsidR="00820977">
        <w:t>, added to the risk-free rate, gives</w:t>
      </w:r>
      <w:r w:rsidR="006919FB">
        <w:t xml:space="preserve"> the interest rate. If you</w:t>
      </w:r>
      <w:r w:rsidR="00820977">
        <w:t>r</w:t>
      </w:r>
      <w:r w:rsidR="006919FB">
        <w:t xml:space="preserve"> initial guess was far off, you need to go around the loop again until the rate used to calculate coverage is close to the rate implied by the virtual rating.</w:t>
      </w:r>
    </w:p>
    <w:p w14:paraId="0BFB577B" w14:textId="77777777" w:rsidR="006919FB" w:rsidRDefault="006919FB" w:rsidP="000E5E5B">
      <w:r>
        <w:t>Given the bond rating, you can back out a probability of default and then estimate the expected cost of default.</w:t>
      </w:r>
      <w:r w:rsidR="00F8720E" w:rsidRPr="00F8720E">
        <w:t xml:space="preserve"> </w:t>
      </w:r>
    </w:p>
    <w:p w14:paraId="4457B345" w14:textId="77777777" w:rsidR="006919FB" w:rsidRDefault="00F8720E" w:rsidP="000E5E5B">
      <w:r>
        <w:t xml:space="preserve">(A detail that must be </w:t>
      </w:r>
      <w:proofErr w:type="gramStart"/>
      <w:r>
        <w:t>taken into account</w:t>
      </w:r>
      <w:proofErr w:type="gramEnd"/>
      <w:r>
        <w:t xml:space="preserve"> if you want to have an accurate analysis of very high levels of debt is that the tax shield begins to disappear as interest expenses exceed EBIT.)</w:t>
      </w:r>
    </w:p>
    <w:p w14:paraId="738530A2" w14:textId="77777777" w:rsidR="00F8720E" w:rsidRDefault="00F8720E" w:rsidP="000E5E5B"/>
    <w:p w14:paraId="57A7BD7F" w14:textId="77777777" w:rsidR="00F8720E" w:rsidRDefault="00F8720E" w:rsidP="000E5E5B"/>
    <w:sectPr w:rsidR="00F8720E" w:rsidSect="00540062">
      <w:headerReference w:type="even" r:id="rId18"/>
      <w:headerReference w:type="default" r:id="rId19"/>
      <w:footerReference w:type="even" r:id="rId20"/>
      <w:footerReference w:type="default" r:id="rId21"/>
      <w:headerReference w:type="first" r:id="rId22"/>
      <w:footerReference w:type="first" r:id="rId23"/>
      <w:pgSz w:w="12240" w:h="15840" w:code="1"/>
      <w:pgMar w:top="1440" w:right="1800" w:bottom="1440" w:left="180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85E19" w14:textId="77777777" w:rsidR="00E442B5" w:rsidRDefault="00E442B5">
      <w:pPr>
        <w:spacing w:before="0"/>
      </w:pPr>
      <w:r>
        <w:separator/>
      </w:r>
    </w:p>
  </w:endnote>
  <w:endnote w:type="continuationSeparator" w:id="0">
    <w:p w14:paraId="0599504F" w14:textId="77777777" w:rsidR="00E442B5" w:rsidRDefault="00E442B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Neue Condensed">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BAB22" w14:textId="77777777" w:rsidR="0045563B" w:rsidRDefault="004556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0CACD" w14:textId="77777777" w:rsidR="005264DF" w:rsidRDefault="005264DF">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DC7A3" w14:textId="56FD9D9D" w:rsidR="005264DF" w:rsidRPr="0045563B" w:rsidRDefault="005264DF" w:rsidP="004556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904EA" w14:textId="77777777" w:rsidR="00E442B5" w:rsidRDefault="00E442B5">
      <w:pPr>
        <w:spacing w:before="0"/>
      </w:pPr>
      <w:r>
        <w:separator/>
      </w:r>
    </w:p>
  </w:footnote>
  <w:footnote w:type="continuationSeparator" w:id="0">
    <w:p w14:paraId="4DBC2676" w14:textId="77777777" w:rsidR="00E442B5" w:rsidRDefault="00E442B5">
      <w:pPr>
        <w:spacing w:before="0"/>
      </w:pPr>
      <w:r>
        <w:continuationSeparator/>
      </w:r>
    </w:p>
  </w:footnote>
  <w:footnote w:id="1">
    <w:p w14:paraId="62902447" w14:textId="7C00A5BC" w:rsidR="00ED6CBB" w:rsidRDefault="00ED6CBB">
      <w:pPr>
        <w:pStyle w:val="FootnoteText"/>
      </w:pPr>
      <w:r>
        <w:rPr>
          <w:rStyle w:val="FootnoteReference"/>
        </w:rPr>
        <w:footnoteRef/>
      </w:r>
      <w:r>
        <w:t xml:space="preserve"> Valuation Models.</w:t>
      </w:r>
    </w:p>
    <w:p w14:paraId="07B30075" w14:textId="052D3536" w:rsidR="0045563B" w:rsidRDefault="0045563B" w:rsidP="0045563B">
      <w:pPr>
        <w:pStyle w:val="FootnoteText"/>
        <w:ind w:firstLine="0"/>
      </w:pPr>
      <w:r w:rsidRPr="0045563B">
        <w:t>©2010 Richard P. Rumelt. This work is licensed under a Creative Commons Attribution NonCommercial 4.0 International License (CC BY-NC 4.0). You may copy, distribute, and adapt this material for non-commercial purposes, provided appropriate credit is given. Commercial use requires written permission from the author.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83CE5" w14:textId="77777777" w:rsidR="0045563B" w:rsidRDefault="004556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7D48A" w14:textId="5773C9BE" w:rsidR="005264DF" w:rsidRDefault="00E626E0" w:rsidP="00540062">
    <w:pPr>
      <w:pStyle w:val="Header"/>
      <w:tabs>
        <w:tab w:val="clear" w:pos="4320"/>
        <w:tab w:val="clear" w:pos="8640"/>
        <w:tab w:val="right" w:pos="8550"/>
        <w:tab w:val="right" w:pos="12870"/>
      </w:tabs>
      <w:spacing w:before="0"/>
    </w:pPr>
    <w:r>
      <w:rPr>
        <w:rFonts w:ascii="Arial" w:hAnsi="Arial" w:cs="Arial"/>
        <w:bCs/>
        <w:kern w:val="28"/>
      </w:rPr>
      <w:t>Value and Debt</w:t>
    </w:r>
    <w:r w:rsidR="005264DF">
      <w:tab/>
    </w:r>
    <w:r w:rsidR="004E1F85">
      <w:rPr>
        <w:rStyle w:val="PageNumber"/>
      </w:rPr>
      <w:fldChar w:fldCharType="begin"/>
    </w:r>
    <w:r w:rsidR="005264DF">
      <w:rPr>
        <w:rStyle w:val="PageNumber"/>
      </w:rPr>
      <w:instrText xml:space="preserve"> PAGE </w:instrText>
    </w:r>
    <w:r w:rsidR="004E1F85">
      <w:rPr>
        <w:rStyle w:val="PageNumber"/>
      </w:rPr>
      <w:fldChar w:fldCharType="separate"/>
    </w:r>
    <w:r w:rsidR="0005654D">
      <w:rPr>
        <w:rStyle w:val="PageNumber"/>
        <w:noProof/>
      </w:rPr>
      <w:t>3</w:t>
    </w:r>
    <w:r w:rsidR="004E1F85">
      <w:rPr>
        <w:rStyle w:val="PageNumber"/>
      </w:rPr>
      <w:fldChar w:fldCharType="end"/>
    </w:r>
    <w:r w:rsidR="005264DF">
      <w:tab/>
    </w:r>
  </w:p>
  <w:p w14:paraId="1A216EE7" w14:textId="77777777" w:rsidR="005264DF" w:rsidRDefault="005264DF">
    <w:pPr>
      <w:pStyle w:val="Header"/>
      <w:tabs>
        <w:tab w:val="clear" w:pos="4320"/>
      </w:tabs>
      <w:spacing w:befor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258D0" w14:textId="4BD122EC" w:rsidR="005264DF" w:rsidRDefault="005264DF">
    <w:pPr>
      <w:pStyle w:val="Header"/>
      <w:tabs>
        <w:tab w:val="clear" w:pos="4320"/>
      </w:tabs>
      <w:spacing w:before="0"/>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C49"/>
    <w:multiLevelType w:val="hybridMultilevel"/>
    <w:tmpl w:val="901636BE"/>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15:restartNumberingAfterBreak="0">
    <w:nsid w:val="1A5733F2"/>
    <w:multiLevelType w:val="hybridMultilevel"/>
    <w:tmpl w:val="33709A9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276920B1"/>
    <w:multiLevelType w:val="hybridMultilevel"/>
    <w:tmpl w:val="AE9878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2EE55134"/>
    <w:multiLevelType w:val="hybridMultilevel"/>
    <w:tmpl w:val="D0D632B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583F32"/>
    <w:multiLevelType w:val="hybridMultilevel"/>
    <w:tmpl w:val="632C0DBC"/>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368E154D"/>
    <w:multiLevelType w:val="hybridMultilevel"/>
    <w:tmpl w:val="5204FD06"/>
    <w:lvl w:ilvl="0" w:tplc="C9C2A30A">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3A091914"/>
    <w:multiLevelType w:val="hybridMultilevel"/>
    <w:tmpl w:val="81A64A52"/>
    <w:lvl w:ilvl="0" w:tplc="060AFEE6">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409733F2"/>
    <w:multiLevelType w:val="hybridMultilevel"/>
    <w:tmpl w:val="C43E1922"/>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7143604A"/>
    <w:multiLevelType w:val="hybridMultilevel"/>
    <w:tmpl w:val="6316E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8478487">
    <w:abstractNumId w:val="5"/>
  </w:num>
  <w:num w:numId="2" w16cid:durableId="3171388">
    <w:abstractNumId w:val="4"/>
  </w:num>
  <w:num w:numId="3" w16cid:durableId="1623615766">
    <w:abstractNumId w:val="1"/>
  </w:num>
  <w:num w:numId="4" w16cid:durableId="435253400">
    <w:abstractNumId w:val="0"/>
  </w:num>
  <w:num w:numId="5" w16cid:durableId="906888423">
    <w:abstractNumId w:val="6"/>
  </w:num>
  <w:num w:numId="6" w16cid:durableId="733970006">
    <w:abstractNumId w:val="7"/>
  </w:num>
  <w:num w:numId="7" w16cid:durableId="2033799450">
    <w:abstractNumId w:val="2"/>
  </w:num>
  <w:num w:numId="8" w16cid:durableId="1001811916">
    <w:abstractNumId w:val="8"/>
  </w:num>
  <w:num w:numId="9" w16cid:durableId="716515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rawingGridHorizontalSpacing w:val="110"/>
  <w:displayHorizontalDrawingGridEvery w:val="0"/>
  <w:displayVerticalDrawingGridEvery w:val="0"/>
  <w:noPunctuationKerning/>
  <w:characterSpacingControl w:val="doNotCompress"/>
  <w:hdrShapeDefaults>
    <o:shapedefaults v:ext="edit" spidmax="2055" fill="f" fillcolor="window" stroke="f">
      <v:fill color="window" on="f"/>
      <v:stroke on="f"/>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7DB3"/>
    <w:rsid w:val="00023194"/>
    <w:rsid w:val="0005654D"/>
    <w:rsid w:val="00065DD4"/>
    <w:rsid w:val="000778FE"/>
    <w:rsid w:val="00091270"/>
    <w:rsid w:val="00095BC6"/>
    <w:rsid w:val="000973D3"/>
    <w:rsid w:val="000A000B"/>
    <w:rsid w:val="000E5E5B"/>
    <w:rsid w:val="000F24D5"/>
    <w:rsid w:val="00101066"/>
    <w:rsid w:val="00115C62"/>
    <w:rsid w:val="00125BA7"/>
    <w:rsid w:val="00136A35"/>
    <w:rsid w:val="00185BBC"/>
    <w:rsid w:val="001A0593"/>
    <w:rsid w:val="001D5083"/>
    <w:rsid w:val="001E5680"/>
    <w:rsid w:val="001E6BBC"/>
    <w:rsid w:val="001F0849"/>
    <w:rsid w:val="00203603"/>
    <w:rsid w:val="0020385C"/>
    <w:rsid w:val="00242E20"/>
    <w:rsid w:val="00244B6A"/>
    <w:rsid w:val="00252EF3"/>
    <w:rsid w:val="00281447"/>
    <w:rsid w:val="002D4B5C"/>
    <w:rsid w:val="003337B0"/>
    <w:rsid w:val="00336E9D"/>
    <w:rsid w:val="003562C7"/>
    <w:rsid w:val="00361371"/>
    <w:rsid w:val="003A1D37"/>
    <w:rsid w:val="003A4A01"/>
    <w:rsid w:val="003B3ABE"/>
    <w:rsid w:val="003E02C4"/>
    <w:rsid w:val="003E4201"/>
    <w:rsid w:val="003F2A86"/>
    <w:rsid w:val="004214F4"/>
    <w:rsid w:val="00421C41"/>
    <w:rsid w:val="004435C8"/>
    <w:rsid w:val="0045309A"/>
    <w:rsid w:val="0045563B"/>
    <w:rsid w:val="00466EB9"/>
    <w:rsid w:val="00482A03"/>
    <w:rsid w:val="004A45A9"/>
    <w:rsid w:val="004C4589"/>
    <w:rsid w:val="004E1F85"/>
    <w:rsid w:val="004E6F25"/>
    <w:rsid w:val="004F00CC"/>
    <w:rsid w:val="00523F5A"/>
    <w:rsid w:val="005264DF"/>
    <w:rsid w:val="00530FC7"/>
    <w:rsid w:val="00540062"/>
    <w:rsid w:val="005535AE"/>
    <w:rsid w:val="00581020"/>
    <w:rsid w:val="00591212"/>
    <w:rsid w:val="005E65CD"/>
    <w:rsid w:val="005F43D1"/>
    <w:rsid w:val="0060214A"/>
    <w:rsid w:val="00602F58"/>
    <w:rsid w:val="006919FB"/>
    <w:rsid w:val="006D147B"/>
    <w:rsid w:val="006E295D"/>
    <w:rsid w:val="006E5BD8"/>
    <w:rsid w:val="006E693D"/>
    <w:rsid w:val="00703915"/>
    <w:rsid w:val="00761252"/>
    <w:rsid w:val="007A7670"/>
    <w:rsid w:val="007B4525"/>
    <w:rsid w:val="007F4683"/>
    <w:rsid w:val="007F54E3"/>
    <w:rsid w:val="00800E1D"/>
    <w:rsid w:val="00820977"/>
    <w:rsid w:val="00823B3D"/>
    <w:rsid w:val="0085571C"/>
    <w:rsid w:val="00855C5B"/>
    <w:rsid w:val="008768AE"/>
    <w:rsid w:val="008C5A3A"/>
    <w:rsid w:val="008C7545"/>
    <w:rsid w:val="008E6835"/>
    <w:rsid w:val="00906B97"/>
    <w:rsid w:val="00923502"/>
    <w:rsid w:val="00935987"/>
    <w:rsid w:val="0096583C"/>
    <w:rsid w:val="00966894"/>
    <w:rsid w:val="009A745C"/>
    <w:rsid w:val="009B6C53"/>
    <w:rsid w:val="009D7A46"/>
    <w:rsid w:val="00A121BD"/>
    <w:rsid w:val="00A226B4"/>
    <w:rsid w:val="00A32C19"/>
    <w:rsid w:val="00A8001D"/>
    <w:rsid w:val="00AE5F34"/>
    <w:rsid w:val="00AF7DB3"/>
    <w:rsid w:val="00B31A23"/>
    <w:rsid w:val="00B44647"/>
    <w:rsid w:val="00B50108"/>
    <w:rsid w:val="00B85839"/>
    <w:rsid w:val="00B94AD9"/>
    <w:rsid w:val="00BC7E06"/>
    <w:rsid w:val="00BD23D6"/>
    <w:rsid w:val="00BD4525"/>
    <w:rsid w:val="00BE2C92"/>
    <w:rsid w:val="00C3558D"/>
    <w:rsid w:val="00C37C47"/>
    <w:rsid w:val="00C519AD"/>
    <w:rsid w:val="00CA4694"/>
    <w:rsid w:val="00CB118D"/>
    <w:rsid w:val="00CC758F"/>
    <w:rsid w:val="00D127D6"/>
    <w:rsid w:val="00D13226"/>
    <w:rsid w:val="00D97184"/>
    <w:rsid w:val="00DB1D1F"/>
    <w:rsid w:val="00DC52D5"/>
    <w:rsid w:val="00DC765B"/>
    <w:rsid w:val="00DD1D36"/>
    <w:rsid w:val="00DE6912"/>
    <w:rsid w:val="00DF6F56"/>
    <w:rsid w:val="00E06C8C"/>
    <w:rsid w:val="00E10DB6"/>
    <w:rsid w:val="00E2128C"/>
    <w:rsid w:val="00E26362"/>
    <w:rsid w:val="00E42928"/>
    <w:rsid w:val="00E442B5"/>
    <w:rsid w:val="00E516A5"/>
    <w:rsid w:val="00E626E0"/>
    <w:rsid w:val="00E62F74"/>
    <w:rsid w:val="00ED6A5C"/>
    <w:rsid w:val="00ED6CBB"/>
    <w:rsid w:val="00EE1052"/>
    <w:rsid w:val="00F0008F"/>
    <w:rsid w:val="00F23323"/>
    <w:rsid w:val="00F56D3F"/>
    <w:rsid w:val="00F8720E"/>
    <w:rsid w:val="00FB2AC6"/>
    <w:rsid w:val="00FF2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fill="f" fillcolor="window" stroke="f">
      <v:fill color="window" on="f"/>
      <v:stroke on="f"/>
    </o:shapedefaults>
    <o:shapelayout v:ext="edit">
      <o:idmap v:ext="edit" data="2"/>
    </o:shapelayout>
  </w:shapeDefaults>
  <w:decimalSymbol w:val="."/>
  <w:listSeparator w:val=","/>
  <w14:docId w14:val="5E552022"/>
  <w15:docId w15:val="{7D28CF11-D6CE-46CC-B0B4-794EE152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58D"/>
    <w:pPr>
      <w:spacing w:before="120"/>
      <w:jc w:val="both"/>
    </w:pPr>
    <w:rPr>
      <w:sz w:val="22"/>
    </w:rPr>
  </w:style>
  <w:style w:type="paragraph" w:styleId="Heading1">
    <w:name w:val="heading 1"/>
    <w:basedOn w:val="Normal"/>
    <w:next w:val="Normal"/>
    <w:qFormat/>
    <w:rsid w:val="00C3558D"/>
    <w:pPr>
      <w:keepNext/>
      <w:spacing w:before="240" w:after="60"/>
      <w:outlineLvl w:val="0"/>
    </w:pPr>
    <w:rPr>
      <w:rFonts w:ascii="Arial" w:hAnsi="Arial"/>
      <w:b/>
      <w:kern w:val="28"/>
      <w:sz w:val="28"/>
    </w:rPr>
  </w:style>
  <w:style w:type="paragraph" w:styleId="Heading2">
    <w:name w:val="heading 2"/>
    <w:basedOn w:val="Normal"/>
    <w:next w:val="Normal"/>
    <w:qFormat/>
    <w:rsid w:val="00C3558D"/>
    <w:pPr>
      <w:keepNext/>
      <w:spacing w:before="240" w:after="60"/>
      <w:jc w:val="center"/>
      <w:outlineLvl w:val="1"/>
    </w:pPr>
    <w:rPr>
      <w:rFonts w:ascii="Arial" w:hAnsi="Arial"/>
      <w:b/>
      <w:i/>
      <w:sz w:val="24"/>
    </w:rPr>
  </w:style>
  <w:style w:type="paragraph" w:styleId="Heading3">
    <w:name w:val="heading 3"/>
    <w:basedOn w:val="Normal"/>
    <w:next w:val="Normal"/>
    <w:qFormat/>
    <w:rsid w:val="00136A35"/>
    <w:pPr>
      <w:keepNext/>
      <w:spacing w:after="240"/>
      <w:jc w:val="center"/>
      <w:outlineLvl w:val="2"/>
    </w:pPr>
    <w:rPr>
      <w:rFonts w:ascii="Arial" w:hAnsi="Arial" w:cs="Arial"/>
      <w:b/>
      <w:bCs/>
      <w:kern w:val="24"/>
      <w:sz w:val="24"/>
    </w:rPr>
  </w:style>
  <w:style w:type="paragraph" w:styleId="Heading4">
    <w:name w:val="heading 4"/>
    <w:basedOn w:val="Normal"/>
    <w:next w:val="Normal"/>
    <w:qFormat/>
    <w:rsid w:val="00C3558D"/>
    <w:pPr>
      <w:keepNext/>
      <w:ind w:hanging="10"/>
      <w:outlineLvl w:val="3"/>
    </w:pPr>
    <w:rPr>
      <w:rFonts w:ascii="Arial" w:hAnsi="Arial" w:cs="Arial"/>
      <w:b/>
      <w:bCs/>
      <w:sz w:val="20"/>
    </w:rPr>
  </w:style>
  <w:style w:type="paragraph" w:styleId="Heading5">
    <w:name w:val="heading 5"/>
    <w:basedOn w:val="Normal"/>
    <w:next w:val="Normal"/>
    <w:qFormat/>
    <w:rsid w:val="00C3558D"/>
    <w:pPr>
      <w:keepNext/>
      <w:jc w:val="center"/>
      <w:outlineLvl w:val="4"/>
    </w:pPr>
    <w:rPr>
      <w:b/>
      <w:bCs/>
    </w:rPr>
  </w:style>
  <w:style w:type="paragraph" w:styleId="Heading7">
    <w:name w:val="heading 7"/>
    <w:basedOn w:val="Normal"/>
    <w:next w:val="Normal"/>
    <w:qFormat/>
    <w:rsid w:val="00C3558D"/>
    <w:pPr>
      <w:keepNext/>
      <w:jc w:val="center"/>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dent">
    <w:name w:val="nodent"/>
    <w:basedOn w:val="Normal"/>
    <w:rsid w:val="00C3558D"/>
  </w:style>
  <w:style w:type="paragraph" w:customStyle="1" w:styleId="MTDisplayEquation">
    <w:name w:val="MTDisplayEquation"/>
    <w:basedOn w:val="Normal"/>
    <w:rsid w:val="00C3558D"/>
    <w:pPr>
      <w:tabs>
        <w:tab w:val="center" w:pos="4320"/>
        <w:tab w:val="right" w:pos="8640"/>
      </w:tabs>
    </w:pPr>
  </w:style>
  <w:style w:type="paragraph" w:styleId="FootnoteText">
    <w:name w:val="footnote text"/>
    <w:basedOn w:val="Normal"/>
    <w:semiHidden/>
    <w:rsid w:val="00C3558D"/>
    <w:pPr>
      <w:ind w:firstLine="180"/>
    </w:pPr>
    <w:rPr>
      <w:sz w:val="20"/>
    </w:rPr>
  </w:style>
  <w:style w:type="character" w:styleId="FootnoteReference">
    <w:name w:val="footnote reference"/>
    <w:basedOn w:val="DefaultParagraphFont"/>
    <w:semiHidden/>
    <w:rsid w:val="00C3558D"/>
    <w:rPr>
      <w:vertAlign w:val="superscript"/>
    </w:rPr>
  </w:style>
  <w:style w:type="paragraph" w:customStyle="1" w:styleId="item">
    <w:name w:val="item"/>
    <w:basedOn w:val="nodent"/>
    <w:rsid w:val="00C3558D"/>
    <w:pPr>
      <w:tabs>
        <w:tab w:val="left" w:pos="1080"/>
      </w:tabs>
      <w:ind w:left="1080" w:hanging="360"/>
    </w:pPr>
  </w:style>
  <w:style w:type="character" w:customStyle="1" w:styleId="MTEquationSection">
    <w:name w:val="MTEquationSection"/>
    <w:basedOn w:val="DefaultParagraphFont"/>
    <w:rsid w:val="00C3558D"/>
    <w:rPr>
      <w:vanish/>
      <w:color w:val="FF0000"/>
    </w:rPr>
  </w:style>
  <w:style w:type="paragraph" w:styleId="Header">
    <w:name w:val="header"/>
    <w:basedOn w:val="Normal"/>
    <w:rsid w:val="00C3558D"/>
    <w:pPr>
      <w:tabs>
        <w:tab w:val="center" w:pos="4320"/>
        <w:tab w:val="right" w:pos="8640"/>
      </w:tabs>
    </w:pPr>
  </w:style>
  <w:style w:type="paragraph" w:styleId="Footer">
    <w:name w:val="footer"/>
    <w:basedOn w:val="Normal"/>
    <w:rsid w:val="00C3558D"/>
    <w:pPr>
      <w:tabs>
        <w:tab w:val="center" w:pos="4320"/>
        <w:tab w:val="right" w:pos="8640"/>
      </w:tabs>
    </w:pPr>
  </w:style>
  <w:style w:type="character" w:styleId="PageNumber">
    <w:name w:val="page number"/>
    <w:basedOn w:val="DefaultParagraphFont"/>
    <w:rsid w:val="00C3558D"/>
  </w:style>
  <w:style w:type="character" w:styleId="Hyperlink">
    <w:name w:val="Hyperlink"/>
    <w:basedOn w:val="DefaultParagraphFont"/>
    <w:rsid w:val="00C3558D"/>
    <w:rPr>
      <w:color w:val="0000FF"/>
      <w:u w:val="single"/>
    </w:rPr>
  </w:style>
  <w:style w:type="paragraph" w:styleId="BodyText">
    <w:name w:val="Body Text"/>
    <w:basedOn w:val="Normal"/>
    <w:rsid w:val="00C3558D"/>
    <w:rPr>
      <w:sz w:val="24"/>
      <w:szCs w:val="24"/>
    </w:rPr>
  </w:style>
  <w:style w:type="paragraph" w:customStyle="1" w:styleId="Exhibit">
    <w:name w:val="Exhibit"/>
    <w:basedOn w:val="Normal"/>
    <w:rsid w:val="00C3558D"/>
    <w:pPr>
      <w:spacing w:after="120"/>
      <w:jc w:val="center"/>
    </w:pPr>
    <w:rPr>
      <w:b/>
      <w:bCs/>
    </w:rPr>
  </w:style>
  <w:style w:type="paragraph" w:styleId="Title">
    <w:name w:val="Title"/>
    <w:basedOn w:val="Normal"/>
    <w:qFormat/>
    <w:rsid w:val="00C3558D"/>
    <w:pPr>
      <w:spacing w:before="240" w:after="60"/>
      <w:jc w:val="center"/>
      <w:outlineLvl w:val="0"/>
    </w:pPr>
    <w:rPr>
      <w:rFonts w:ascii="Arial" w:hAnsi="Arial" w:cs="Arial"/>
      <w:b/>
      <w:bCs/>
      <w:kern w:val="28"/>
      <w:sz w:val="32"/>
      <w:szCs w:val="32"/>
    </w:rPr>
  </w:style>
  <w:style w:type="paragraph" w:customStyle="1" w:styleId="Tabletext">
    <w:name w:val="Table_text"/>
    <w:basedOn w:val="Normal"/>
    <w:rsid w:val="00C3558D"/>
    <w:pPr>
      <w:ind w:left="142"/>
    </w:pPr>
    <w:rPr>
      <w:rFonts w:ascii="Arial" w:hAnsi="Arial"/>
      <w:sz w:val="20"/>
    </w:rPr>
  </w:style>
  <w:style w:type="character" w:styleId="FollowedHyperlink">
    <w:name w:val="FollowedHyperlink"/>
    <w:basedOn w:val="DefaultParagraphFont"/>
    <w:rsid w:val="00C3558D"/>
    <w:rPr>
      <w:color w:val="800080"/>
      <w:u w:val="single"/>
    </w:rPr>
  </w:style>
  <w:style w:type="paragraph" w:customStyle="1" w:styleId="AGSM">
    <w:name w:val="AGSM"/>
    <w:basedOn w:val="Heading1"/>
    <w:rsid w:val="00C3558D"/>
    <w:pPr>
      <w:framePr w:hSpace="180" w:wrap="notBeside" w:vAnchor="text" w:hAnchor="margin" w:y="-324"/>
      <w:spacing w:before="120" w:after="0"/>
    </w:pPr>
    <w:rPr>
      <w:rFonts w:ascii="Arial Black" w:hAnsi="Arial Black" w:cs="Arial"/>
      <w:sz w:val="24"/>
    </w:rPr>
  </w:style>
  <w:style w:type="paragraph" w:customStyle="1" w:styleId="IDNumber">
    <w:name w:val="ID_Number"/>
    <w:basedOn w:val="Heading1"/>
    <w:rsid w:val="00C3558D"/>
    <w:pPr>
      <w:framePr w:hSpace="180" w:wrap="notBeside" w:vAnchor="text" w:hAnchor="margin" w:y="-324"/>
      <w:spacing w:before="120" w:after="0"/>
      <w:jc w:val="right"/>
    </w:pPr>
    <w:rPr>
      <w:rFonts w:cs="Arial"/>
      <w:b w:val="0"/>
      <w:bCs/>
      <w:sz w:val="22"/>
    </w:rPr>
  </w:style>
  <w:style w:type="paragraph" w:customStyle="1" w:styleId="Copyright">
    <w:name w:val="Copyright"/>
    <w:basedOn w:val="Heading4"/>
    <w:rsid w:val="00C3558D"/>
    <w:rPr>
      <w:b w:val="0"/>
      <w:bCs w:val="0"/>
      <w:sz w:val="18"/>
    </w:rPr>
  </w:style>
  <w:style w:type="paragraph" w:customStyle="1" w:styleId="TableInTitle">
    <w:name w:val="Table_In_Title"/>
    <w:basedOn w:val="Tabletext"/>
    <w:rsid w:val="00C3558D"/>
    <w:pPr>
      <w:jc w:val="center"/>
    </w:pPr>
    <w:rPr>
      <w:rFonts w:cs="Arial"/>
      <w:b/>
      <w:bCs/>
    </w:rPr>
  </w:style>
  <w:style w:type="paragraph" w:styleId="BodyText2">
    <w:name w:val="Body Text 2"/>
    <w:basedOn w:val="Normal"/>
    <w:rsid w:val="00C3558D"/>
    <w:pPr>
      <w:tabs>
        <w:tab w:val="left" w:pos="3150"/>
      </w:tabs>
      <w:jc w:val="left"/>
    </w:pPr>
  </w:style>
  <w:style w:type="character" w:customStyle="1" w:styleId="ExcelFunction">
    <w:name w:val="Excel Function"/>
    <w:basedOn w:val="DefaultParagraphFont"/>
    <w:rsid w:val="00C3558D"/>
    <w:rPr>
      <w:rFonts w:ascii="Arial" w:hAnsi="Arial"/>
      <w:b/>
      <w:smallCaps/>
      <w:sz w:val="20"/>
    </w:rPr>
  </w:style>
  <w:style w:type="table" w:styleId="TableGrid">
    <w:name w:val="Table Grid"/>
    <w:basedOn w:val="TableNormal"/>
    <w:uiPriority w:val="59"/>
    <w:rsid w:val="00C3558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tyle10ptPatternClearGray-10">
    <w:name w:val="Style 10 pt Pattern: Clear (Gray-10%)"/>
    <w:basedOn w:val="DefaultParagraphFont"/>
    <w:rsid w:val="00C3558D"/>
    <w:rPr>
      <w:sz w:val="20"/>
      <w:bdr w:val="none" w:sz="0" w:space="0" w:color="auto"/>
      <w:shd w:val="clear" w:color="auto" w:fill="auto"/>
    </w:rPr>
  </w:style>
  <w:style w:type="paragraph" w:styleId="DocumentMap">
    <w:name w:val="Document Map"/>
    <w:basedOn w:val="Normal"/>
    <w:link w:val="DocumentMapChar"/>
    <w:uiPriority w:val="99"/>
    <w:semiHidden/>
    <w:unhideWhenUsed/>
    <w:rsid w:val="006E693D"/>
    <w:rPr>
      <w:rFonts w:ascii="Tahoma" w:hAnsi="Tahoma" w:cs="Tahoma"/>
      <w:sz w:val="16"/>
      <w:szCs w:val="16"/>
    </w:rPr>
  </w:style>
  <w:style w:type="character" w:customStyle="1" w:styleId="DocumentMapChar">
    <w:name w:val="Document Map Char"/>
    <w:basedOn w:val="DefaultParagraphFont"/>
    <w:link w:val="DocumentMap"/>
    <w:uiPriority w:val="99"/>
    <w:semiHidden/>
    <w:rsid w:val="006E693D"/>
    <w:rPr>
      <w:rFonts w:ascii="Tahoma" w:hAnsi="Tahoma" w:cs="Tahoma"/>
      <w:sz w:val="16"/>
      <w:szCs w:val="16"/>
    </w:rPr>
  </w:style>
  <w:style w:type="paragraph" w:styleId="BodyTextIndent">
    <w:name w:val="Body Text Indent"/>
    <w:basedOn w:val="Normal"/>
    <w:link w:val="BodyTextIndentChar"/>
    <w:rsid w:val="000E5E5B"/>
    <w:pPr>
      <w:shd w:val="clear" w:color="auto" w:fill="D9D9D9"/>
      <w:ind w:firstLine="720"/>
    </w:pPr>
  </w:style>
  <w:style w:type="character" w:customStyle="1" w:styleId="BodyTextIndentChar">
    <w:name w:val="Body Text Indent Char"/>
    <w:basedOn w:val="DefaultParagraphFont"/>
    <w:link w:val="BodyTextIndent"/>
    <w:rsid w:val="000E5E5B"/>
    <w:rPr>
      <w:sz w:val="22"/>
      <w:shd w:val="clear" w:color="auto" w:fill="D9D9D9"/>
    </w:rPr>
  </w:style>
  <w:style w:type="table" w:styleId="TableElegant">
    <w:name w:val="Table Elegant"/>
    <w:basedOn w:val="TableNormal"/>
    <w:rsid w:val="000E5E5B"/>
    <w:pPr>
      <w:spacing w:before="120"/>
      <w:ind w:firstLine="72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semiHidden/>
    <w:unhideWhenUsed/>
    <w:rsid w:val="00B44647"/>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4647"/>
    <w:rPr>
      <w:rFonts w:ascii="Tahoma" w:hAnsi="Tahoma" w:cs="Tahoma"/>
      <w:sz w:val="16"/>
      <w:szCs w:val="16"/>
    </w:rPr>
  </w:style>
  <w:style w:type="paragraph" w:styleId="Caption">
    <w:name w:val="caption"/>
    <w:basedOn w:val="Normal"/>
    <w:next w:val="Normal"/>
    <w:uiPriority w:val="35"/>
    <w:unhideWhenUsed/>
    <w:qFormat/>
    <w:rsid w:val="00B44647"/>
    <w:rPr>
      <w:b/>
      <w:bCs/>
      <w:sz w:val="20"/>
    </w:rPr>
  </w:style>
  <w:style w:type="paragraph" w:styleId="NormalWeb">
    <w:name w:val="Normal (Web)"/>
    <w:basedOn w:val="Normal"/>
    <w:uiPriority w:val="99"/>
    <w:semiHidden/>
    <w:unhideWhenUsed/>
    <w:rsid w:val="00421C41"/>
    <w:pPr>
      <w:spacing w:before="100" w:beforeAutospacing="1" w:after="100" w:afterAutospacing="1"/>
      <w:jc w:val="left"/>
    </w:pPr>
    <w:rPr>
      <w:sz w:val="24"/>
      <w:szCs w:val="24"/>
    </w:rPr>
  </w:style>
  <w:style w:type="paragraph" w:customStyle="1" w:styleId="display">
    <w:name w:val="display"/>
    <w:basedOn w:val="Normal"/>
    <w:rsid w:val="00C3558D"/>
    <w:pPr>
      <w:tabs>
        <w:tab w:val="left" w:pos="1440"/>
        <w:tab w:val="left" w:pos="5760"/>
        <w:tab w:val="right" w:pos="8640"/>
      </w:tabs>
      <w:spacing w:before="72" w:after="72" w:line="180" w:lineRule="atLeast"/>
    </w:pPr>
  </w:style>
  <w:style w:type="paragraph" w:customStyle="1" w:styleId="section">
    <w:name w:val="section"/>
    <w:basedOn w:val="Normal"/>
    <w:rsid w:val="00C3558D"/>
    <w:pPr>
      <w:keepNext/>
      <w:tabs>
        <w:tab w:val="left" w:pos="720"/>
      </w:tabs>
      <w:spacing w:after="120" w:line="180" w:lineRule="atLeast"/>
      <w:jc w:val="center"/>
    </w:pPr>
    <w:rPr>
      <w:b/>
      <w:smallCaps/>
    </w:rPr>
  </w:style>
  <w:style w:type="paragraph" w:customStyle="1" w:styleId="subsection">
    <w:name w:val="subsection"/>
    <w:basedOn w:val="section"/>
    <w:rsid w:val="00C3558D"/>
    <w:pPr>
      <w:jc w:val="left"/>
    </w:pPr>
    <w:rPr>
      <w:i/>
      <w:smallCaps w:val="0"/>
    </w:rPr>
  </w:style>
  <w:style w:type="paragraph" w:styleId="ListParagraph">
    <w:name w:val="List Paragraph"/>
    <w:basedOn w:val="Normal"/>
    <w:uiPriority w:val="34"/>
    <w:qFormat/>
    <w:rsid w:val="008C5A3A"/>
    <w:pPr>
      <w:ind w:left="720"/>
      <w:contextualSpacing/>
    </w:pPr>
  </w:style>
  <w:style w:type="paragraph" w:customStyle="1" w:styleId="T-HdRight-SSBRPT">
    <w:name w:val="T-Hd Right (-)_SSB_RPT"/>
    <w:basedOn w:val="Normal"/>
    <w:rsid w:val="00065DD4"/>
    <w:pPr>
      <w:spacing w:before="20" w:line="200" w:lineRule="exact"/>
      <w:ind w:right="28"/>
      <w:jc w:val="right"/>
    </w:pPr>
    <w:rPr>
      <w:rFonts w:ascii="HelveticaNeue Condensed" w:hAnsi="HelveticaNeue Condensed"/>
      <w:b/>
      <w:color w:val="000000"/>
      <w:position w:val="-2"/>
      <w:sz w:val="14"/>
    </w:rPr>
  </w:style>
  <w:style w:type="paragraph" w:customStyle="1" w:styleId="T-HdLeftSSBRPT">
    <w:name w:val="T-Hd_Left_SSB_RPT"/>
    <w:basedOn w:val="Normal"/>
    <w:rsid w:val="00065DD4"/>
    <w:pPr>
      <w:keepNext/>
      <w:keepLines/>
      <w:spacing w:before="0" w:line="180" w:lineRule="exact"/>
      <w:jc w:val="left"/>
    </w:pPr>
    <w:rPr>
      <w:rFonts w:ascii="HelveticaNeue Condensed" w:hAnsi="HelveticaNeue Condensed"/>
      <w:b/>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641572">
      <w:bodyDiv w:val="1"/>
      <w:marLeft w:val="0"/>
      <w:marRight w:val="0"/>
      <w:marTop w:val="0"/>
      <w:marBottom w:val="0"/>
      <w:divBdr>
        <w:top w:val="none" w:sz="0" w:space="0" w:color="auto"/>
        <w:left w:val="none" w:sz="0" w:space="0" w:color="auto"/>
        <w:bottom w:val="none" w:sz="0" w:space="0" w:color="auto"/>
        <w:right w:val="none" w:sz="0" w:space="0" w:color="auto"/>
      </w:divBdr>
    </w:div>
    <w:div w:id="300966920">
      <w:bodyDiv w:val="1"/>
      <w:marLeft w:val="0"/>
      <w:marRight w:val="0"/>
      <w:marTop w:val="0"/>
      <w:marBottom w:val="0"/>
      <w:divBdr>
        <w:top w:val="none" w:sz="0" w:space="0" w:color="auto"/>
        <w:left w:val="none" w:sz="0" w:space="0" w:color="auto"/>
        <w:bottom w:val="none" w:sz="0" w:space="0" w:color="auto"/>
        <w:right w:val="none" w:sz="0" w:space="0" w:color="auto"/>
      </w:divBdr>
    </w:div>
    <w:div w:id="571811658">
      <w:bodyDiv w:val="1"/>
      <w:marLeft w:val="0"/>
      <w:marRight w:val="0"/>
      <w:marTop w:val="0"/>
      <w:marBottom w:val="0"/>
      <w:divBdr>
        <w:top w:val="none" w:sz="0" w:space="0" w:color="auto"/>
        <w:left w:val="none" w:sz="0" w:space="0" w:color="auto"/>
        <w:bottom w:val="none" w:sz="0" w:space="0" w:color="auto"/>
        <w:right w:val="none" w:sz="0" w:space="0" w:color="auto"/>
      </w:divBdr>
    </w:div>
    <w:div w:id="810513929">
      <w:bodyDiv w:val="1"/>
      <w:marLeft w:val="0"/>
      <w:marRight w:val="0"/>
      <w:marTop w:val="0"/>
      <w:marBottom w:val="0"/>
      <w:divBdr>
        <w:top w:val="none" w:sz="0" w:space="0" w:color="auto"/>
        <w:left w:val="none" w:sz="0" w:space="0" w:color="auto"/>
        <w:bottom w:val="none" w:sz="0" w:space="0" w:color="auto"/>
        <w:right w:val="none" w:sz="0" w:space="0" w:color="auto"/>
      </w:divBdr>
    </w:div>
    <w:div w:id="1235045031">
      <w:bodyDiv w:val="1"/>
      <w:marLeft w:val="0"/>
      <w:marRight w:val="0"/>
      <w:marTop w:val="0"/>
      <w:marBottom w:val="0"/>
      <w:divBdr>
        <w:top w:val="none" w:sz="0" w:space="0" w:color="auto"/>
        <w:left w:val="none" w:sz="0" w:space="0" w:color="auto"/>
        <w:bottom w:val="none" w:sz="0" w:space="0" w:color="auto"/>
        <w:right w:val="none" w:sz="0" w:space="0" w:color="auto"/>
      </w:divBdr>
    </w:div>
    <w:div w:id="1477797984">
      <w:bodyDiv w:val="1"/>
      <w:marLeft w:val="0"/>
      <w:marRight w:val="0"/>
      <w:marTop w:val="0"/>
      <w:marBottom w:val="0"/>
      <w:divBdr>
        <w:top w:val="none" w:sz="0" w:space="0" w:color="auto"/>
        <w:left w:val="none" w:sz="0" w:space="0" w:color="auto"/>
        <w:bottom w:val="none" w:sz="0" w:space="0" w:color="auto"/>
        <w:right w:val="none" w:sz="0" w:space="0" w:color="auto"/>
      </w:divBdr>
      <w:divsChild>
        <w:div w:id="1564945790">
          <w:marLeft w:val="0"/>
          <w:marRight w:val="0"/>
          <w:marTop w:val="0"/>
          <w:marBottom w:val="0"/>
          <w:divBdr>
            <w:top w:val="none" w:sz="0" w:space="0" w:color="auto"/>
            <w:left w:val="none" w:sz="0" w:space="0" w:color="auto"/>
            <w:bottom w:val="none" w:sz="0" w:space="0" w:color="auto"/>
            <w:right w:val="none" w:sz="0" w:space="0" w:color="auto"/>
          </w:divBdr>
        </w:div>
      </w:divsChild>
    </w:div>
    <w:div w:id="1889411756">
      <w:bodyDiv w:val="1"/>
      <w:marLeft w:val="0"/>
      <w:marRight w:val="0"/>
      <w:marTop w:val="0"/>
      <w:marBottom w:val="0"/>
      <w:divBdr>
        <w:top w:val="none" w:sz="0" w:space="0" w:color="auto"/>
        <w:left w:val="none" w:sz="0" w:space="0" w:color="auto"/>
        <w:bottom w:val="none" w:sz="0" w:space="0" w:color="auto"/>
        <w:right w:val="none" w:sz="0" w:space="0" w:color="auto"/>
      </w:divBdr>
    </w:div>
    <w:div w:id="1922181060">
      <w:bodyDiv w:val="1"/>
      <w:marLeft w:val="0"/>
      <w:marRight w:val="0"/>
      <w:marTop w:val="0"/>
      <w:marBottom w:val="0"/>
      <w:divBdr>
        <w:top w:val="none" w:sz="0" w:space="0" w:color="auto"/>
        <w:left w:val="none" w:sz="0" w:space="0" w:color="auto"/>
        <w:bottom w:val="none" w:sz="0" w:space="0" w:color="auto"/>
        <w:right w:val="none" w:sz="0" w:space="0" w:color="auto"/>
      </w:divBdr>
    </w:div>
    <w:div w:id="1942643286">
      <w:bodyDiv w:val="1"/>
      <w:marLeft w:val="0"/>
      <w:marRight w:val="0"/>
      <w:marTop w:val="0"/>
      <w:marBottom w:val="0"/>
      <w:divBdr>
        <w:top w:val="none" w:sz="0" w:space="0" w:color="auto"/>
        <w:left w:val="none" w:sz="0" w:space="0" w:color="auto"/>
        <w:bottom w:val="none" w:sz="0" w:space="0" w:color="auto"/>
        <w:right w:val="none" w:sz="0" w:space="0" w:color="auto"/>
      </w:divBdr>
    </w:div>
    <w:div w:id="1990867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image" Target="media/image2.wm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Numbers%201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DF89E-7BBF-426E-B143-2A6FDBC95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Numbers 101.dot</Template>
  <TotalTime>1</TotalTime>
  <Pages>4</Pages>
  <Words>876</Words>
  <Characters>4131</Characters>
  <Application>Microsoft Office Word</Application>
  <DocSecurity>0</DocSecurity>
  <Lines>79</Lines>
  <Paragraphs>35</Paragraphs>
  <ScaleCrop>false</ScaleCrop>
  <HeadingPairs>
    <vt:vector size="2" baseType="variant">
      <vt:variant>
        <vt:lpstr>Title</vt:lpstr>
      </vt:variant>
      <vt:variant>
        <vt:i4>1</vt:i4>
      </vt:variant>
    </vt:vector>
  </HeadingPairs>
  <TitlesOfParts>
    <vt:vector size="1" baseType="lpstr">
      <vt:lpstr>Margins, Markups, and Break-Evens</vt:lpstr>
    </vt:vector>
  </TitlesOfParts>
  <Company>The Anderson School at UCLA</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Margins, Markups, and Break-Evens</dc:title>
  <dc:creator>Richard P. Rumelt</dc:creator>
  <cp:lastModifiedBy>Richard Rumelt</cp:lastModifiedBy>
  <cp:revision>2</cp:revision>
  <cp:lastPrinted>2010-04-27T00:41:00Z</cp:lastPrinted>
  <dcterms:created xsi:type="dcterms:W3CDTF">2026-04-13T22:33:00Z</dcterms:created>
  <dcterms:modified xsi:type="dcterms:W3CDTF">2026-04-13T22:33:00Z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