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ED666" w14:textId="1CDF354F" w:rsidR="007A7670" w:rsidRDefault="00581020" w:rsidP="00013462">
      <w:pPr>
        <w:pStyle w:val="Heading1"/>
        <w:jc w:val="center"/>
      </w:pPr>
      <w:r>
        <w:br/>
      </w:r>
      <w:r w:rsidR="001C02FB">
        <w:t xml:space="preserve">Valuing </w:t>
      </w:r>
      <w:r w:rsidR="00F53073">
        <w:t>&amp; Comparing Patterns of Payments</w:t>
      </w:r>
    </w:p>
    <w:p w14:paraId="1B1729C7" w14:textId="67E6C3E2" w:rsidR="00013462" w:rsidRPr="00013462" w:rsidRDefault="00013462" w:rsidP="00013462">
      <w:pPr>
        <w:jc w:val="center"/>
        <w:rPr>
          <w:sz w:val="28"/>
          <w:szCs w:val="28"/>
        </w:rPr>
      </w:pPr>
      <w:r w:rsidRPr="00013462">
        <w:rPr>
          <w:sz w:val="28"/>
          <w:szCs w:val="28"/>
        </w:rPr>
        <w:t>Richard P. Rumelt</w:t>
      </w:r>
    </w:p>
    <w:p w14:paraId="0C93F461" w14:textId="77777777" w:rsidR="000F24D5" w:rsidRPr="00013462" w:rsidRDefault="000F24D5" w:rsidP="00013462">
      <w:pPr>
        <w:jc w:val="center"/>
        <w:rPr>
          <w:sz w:val="28"/>
          <w:szCs w:val="28"/>
        </w:rPr>
      </w:pPr>
    </w:p>
    <w:p w14:paraId="2312E151" w14:textId="77777777" w:rsidR="003B23EE" w:rsidRDefault="003B23EE" w:rsidP="001C02FB">
      <w:r>
        <w:t>The standard toolkit of every analyst includes computing present values. The purpose of this note is to focus attention on the three issues that create the greatest confusion and error in practice. They are (1) dealing with financing expenses, (2) dealing with capital investment, taxes, and depreciation, (3) dealing with terminal values, and (4) presenting managerially meaningful results.</w:t>
      </w:r>
    </w:p>
    <w:p w14:paraId="265A9D1F" w14:textId="77777777" w:rsidR="001C02FB" w:rsidRDefault="003B23EE" w:rsidP="001C02FB">
      <w:r>
        <w:t xml:space="preserve">This note does not address the issue of choosing an appropriate discount rate. That is a complex subject which will not be addressed here. In this note I assume that you have already determined the appropriate discount rate. </w:t>
      </w:r>
    </w:p>
    <w:p w14:paraId="7D4A66AE" w14:textId="77777777" w:rsidR="001C02FB" w:rsidRDefault="00971706" w:rsidP="00971706">
      <w:pPr>
        <w:pStyle w:val="Heading2"/>
      </w:pPr>
      <w:r>
        <w:t>Smoothing and Time Shifting</w:t>
      </w:r>
    </w:p>
    <w:p w14:paraId="2A5218CC" w14:textId="77777777" w:rsidR="00971706" w:rsidRDefault="00000000" w:rsidP="001C02FB">
      <w:r>
        <w:rPr>
          <w:noProof/>
          <w:lang w:eastAsia="zh-TW"/>
        </w:rPr>
        <w:pict w14:anchorId="2C9C1432">
          <v:shapetype id="_x0000_t202" coordsize="21600,21600" o:spt="202" path="m,l,21600r21600,l21600,xe">
            <v:stroke joinstyle="miter"/>
            <v:path gradientshapeok="t" o:connecttype="rect"/>
          </v:shapetype>
          <v:shape id="_x0000_s2056" type="#_x0000_t202" style="position:absolute;left:0;text-align:left;margin-left:40.35pt;margin-top:28.4pt;width:360.15pt;height:71.25pt;z-index:1;mso-wrap-distance-bottom:14.4pt;mso-width-relative:margin;mso-height-relative:margin" o:allowoverlap="f" stroked="f">
            <v:textbox style="mso-next-textbox:#_x0000_s2056">
              <w:txbxContent>
                <w:p w14:paraId="6702C026" w14:textId="77777777" w:rsidR="005F1709" w:rsidRDefault="005F1709" w:rsidP="00033B57">
                  <w:pPr>
                    <w:pStyle w:val="Caption"/>
                  </w:pPr>
                  <w:bookmarkStart w:id="0" w:name="_Ref257913693"/>
                  <w:r>
                    <w:t xml:space="preserve">Exhibit </w:t>
                  </w:r>
                  <w:fldSimple w:instr=" SEQ Exhibit \* ARABIC ">
                    <w:r>
                      <w:rPr>
                        <w:noProof/>
                      </w:rPr>
                      <w:t>1</w:t>
                    </w:r>
                  </w:fldSimple>
                  <w:bookmarkEnd w:id="0"/>
                </w:p>
                <w:tbl>
                  <w:tblPr>
                    <w:tblW w:w="5760" w:type="dxa"/>
                    <w:tblCellMar>
                      <w:left w:w="0" w:type="dxa"/>
                      <w:right w:w="0" w:type="dxa"/>
                    </w:tblCellMar>
                    <w:tblLook w:val="04A0" w:firstRow="1" w:lastRow="0" w:firstColumn="1" w:lastColumn="0" w:noHBand="0" w:noVBand="1"/>
                  </w:tblPr>
                  <w:tblGrid>
                    <w:gridCol w:w="960"/>
                    <w:gridCol w:w="960"/>
                    <w:gridCol w:w="960"/>
                    <w:gridCol w:w="960"/>
                    <w:gridCol w:w="960"/>
                    <w:gridCol w:w="960"/>
                  </w:tblGrid>
                  <w:tr w:rsidR="005F1709" w:rsidRPr="00FA5DB5" w14:paraId="503C0E94" w14:textId="77777777" w:rsidTr="00DA267C">
                    <w:trPr>
                      <w:trHeight w:val="300"/>
                    </w:trPr>
                    <w:tc>
                      <w:tcPr>
                        <w:tcW w:w="960" w:type="dxa"/>
                        <w:tcBorders>
                          <w:top w:val="nil"/>
                          <w:left w:val="nil"/>
                          <w:bottom w:val="single" w:sz="4" w:space="0" w:color="auto"/>
                          <w:right w:val="nil"/>
                        </w:tcBorders>
                        <w:noWrap/>
                        <w:tcMar>
                          <w:top w:w="15" w:type="dxa"/>
                          <w:left w:w="15" w:type="dxa"/>
                          <w:bottom w:w="0" w:type="dxa"/>
                          <w:right w:w="15" w:type="dxa"/>
                        </w:tcMar>
                        <w:vAlign w:val="bottom"/>
                        <w:hideMark/>
                      </w:tcPr>
                      <w:p w14:paraId="6F924D5D" w14:textId="77777777" w:rsidR="005F1709" w:rsidRPr="00FA5DB5" w:rsidRDefault="005F1709">
                        <w:pPr>
                          <w:rPr>
                            <w:rFonts w:ascii="Calibri" w:hAnsi="Calibri"/>
                            <w:color w:val="000000"/>
                            <w:sz w:val="20"/>
                          </w:rPr>
                        </w:pPr>
                        <w:r w:rsidRPr="00FA5DB5">
                          <w:rPr>
                            <w:rFonts w:ascii="Calibri" w:hAnsi="Calibri"/>
                            <w:color w:val="000000"/>
                            <w:sz w:val="20"/>
                          </w:rPr>
                          <w:t>Period</w:t>
                        </w:r>
                      </w:p>
                    </w:tc>
                    <w:tc>
                      <w:tcPr>
                        <w:tcW w:w="960" w:type="dxa"/>
                        <w:tcBorders>
                          <w:top w:val="nil"/>
                          <w:left w:val="nil"/>
                          <w:bottom w:val="single" w:sz="4" w:space="0" w:color="auto"/>
                          <w:right w:val="nil"/>
                        </w:tcBorders>
                        <w:noWrap/>
                        <w:tcMar>
                          <w:top w:w="15" w:type="dxa"/>
                          <w:left w:w="15" w:type="dxa"/>
                          <w:bottom w:w="0" w:type="dxa"/>
                          <w:right w:w="15" w:type="dxa"/>
                        </w:tcMar>
                        <w:vAlign w:val="bottom"/>
                        <w:hideMark/>
                      </w:tcPr>
                      <w:p w14:paraId="5AAEE7A3" w14:textId="77777777" w:rsidR="005F1709" w:rsidRPr="00FA5DB5" w:rsidRDefault="005F1709">
                        <w:pPr>
                          <w:jc w:val="right"/>
                          <w:rPr>
                            <w:rFonts w:ascii="Calibri" w:hAnsi="Calibri"/>
                            <w:color w:val="000000"/>
                            <w:sz w:val="20"/>
                          </w:rPr>
                        </w:pPr>
                        <w:r w:rsidRPr="00FA5DB5">
                          <w:rPr>
                            <w:rFonts w:ascii="Calibri" w:hAnsi="Calibri"/>
                            <w:color w:val="000000"/>
                            <w:sz w:val="20"/>
                          </w:rPr>
                          <w:t>1</w:t>
                        </w:r>
                      </w:p>
                    </w:tc>
                    <w:tc>
                      <w:tcPr>
                        <w:tcW w:w="960" w:type="dxa"/>
                        <w:tcBorders>
                          <w:top w:val="nil"/>
                          <w:left w:val="nil"/>
                          <w:bottom w:val="single" w:sz="4" w:space="0" w:color="auto"/>
                          <w:right w:val="nil"/>
                        </w:tcBorders>
                        <w:noWrap/>
                        <w:tcMar>
                          <w:top w:w="15" w:type="dxa"/>
                          <w:left w:w="15" w:type="dxa"/>
                          <w:bottom w:w="0" w:type="dxa"/>
                          <w:right w:w="15" w:type="dxa"/>
                        </w:tcMar>
                        <w:vAlign w:val="bottom"/>
                        <w:hideMark/>
                      </w:tcPr>
                      <w:p w14:paraId="02F945FD" w14:textId="77777777" w:rsidR="005F1709" w:rsidRPr="00FA5DB5" w:rsidRDefault="005F1709">
                        <w:pPr>
                          <w:jc w:val="right"/>
                          <w:rPr>
                            <w:rFonts w:ascii="Calibri" w:hAnsi="Calibri"/>
                            <w:color w:val="000000"/>
                            <w:sz w:val="20"/>
                          </w:rPr>
                        </w:pPr>
                        <w:r w:rsidRPr="00FA5DB5">
                          <w:rPr>
                            <w:rFonts w:ascii="Calibri" w:hAnsi="Calibri"/>
                            <w:color w:val="000000"/>
                            <w:sz w:val="20"/>
                          </w:rPr>
                          <w:t>2</w:t>
                        </w:r>
                      </w:p>
                    </w:tc>
                    <w:tc>
                      <w:tcPr>
                        <w:tcW w:w="960" w:type="dxa"/>
                        <w:tcBorders>
                          <w:top w:val="nil"/>
                          <w:left w:val="nil"/>
                          <w:bottom w:val="single" w:sz="4" w:space="0" w:color="auto"/>
                          <w:right w:val="nil"/>
                        </w:tcBorders>
                        <w:noWrap/>
                        <w:tcMar>
                          <w:top w:w="15" w:type="dxa"/>
                          <w:left w:w="15" w:type="dxa"/>
                          <w:bottom w:w="0" w:type="dxa"/>
                          <w:right w:w="15" w:type="dxa"/>
                        </w:tcMar>
                        <w:vAlign w:val="bottom"/>
                        <w:hideMark/>
                      </w:tcPr>
                      <w:p w14:paraId="2FFEB25C" w14:textId="77777777" w:rsidR="005F1709" w:rsidRPr="00FA5DB5" w:rsidRDefault="005F1709">
                        <w:pPr>
                          <w:jc w:val="right"/>
                          <w:rPr>
                            <w:rFonts w:ascii="Calibri" w:hAnsi="Calibri"/>
                            <w:color w:val="000000"/>
                            <w:sz w:val="20"/>
                          </w:rPr>
                        </w:pPr>
                        <w:r w:rsidRPr="00FA5DB5">
                          <w:rPr>
                            <w:rFonts w:ascii="Calibri" w:hAnsi="Calibri"/>
                            <w:color w:val="000000"/>
                            <w:sz w:val="20"/>
                          </w:rPr>
                          <w:t>3</w:t>
                        </w:r>
                      </w:p>
                    </w:tc>
                    <w:tc>
                      <w:tcPr>
                        <w:tcW w:w="960" w:type="dxa"/>
                        <w:tcBorders>
                          <w:top w:val="nil"/>
                          <w:left w:val="nil"/>
                          <w:bottom w:val="single" w:sz="4" w:space="0" w:color="auto"/>
                          <w:right w:val="nil"/>
                        </w:tcBorders>
                        <w:noWrap/>
                        <w:tcMar>
                          <w:top w:w="15" w:type="dxa"/>
                          <w:left w:w="15" w:type="dxa"/>
                          <w:bottom w:w="0" w:type="dxa"/>
                          <w:right w:w="15" w:type="dxa"/>
                        </w:tcMar>
                        <w:vAlign w:val="bottom"/>
                        <w:hideMark/>
                      </w:tcPr>
                      <w:p w14:paraId="590D36C9" w14:textId="77777777" w:rsidR="005F1709" w:rsidRPr="00FA5DB5" w:rsidRDefault="005F1709">
                        <w:pPr>
                          <w:jc w:val="right"/>
                          <w:rPr>
                            <w:rFonts w:ascii="Calibri" w:hAnsi="Calibri"/>
                            <w:color w:val="000000"/>
                            <w:sz w:val="20"/>
                          </w:rPr>
                        </w:pPr>
                        <w:r w:rsidRPr="00FA5DB5">
                          <w:rPr>
                            <w:rFonts w:ascii="Calibri" w:hAnsi="Calibri"/>
                            <w:color w:val="000000"/>
                            <w:sz w:val="20"/>
                          </w:rPr>
                          <w:t>4</w:t>
                        </w:r>
                      </w:p>
                    </w:tc>
                    <w:tc>
                      <w:tcPr>
                        <w:tcW w:w="960" w:type="dxa"/>
                        <w:tcBorders>
                          <w:top w:val="nil"/>
                          <w:left w:val="nil"/>
                          <w:bottom w:val="single" w:sz="4" w:space="0" w:color="auto"/>
                          <w:right w:val="nil"/>
                        </w:tcBorders>
                        <w:noWrap/>
                        <w:tcMar>
                          <w:top w:w="15" w:type="dxa"/>
                          <w:left w:w="15" w:type="dxa"/>
                          <w:bottom w:w="0" w:type="dxa"/>
                          <w:right w:w="15" w:type="dxa"/>
                        </w:tcMar>
                        <w:vAlign w:val="bottom"/>
                        <w:hideMark/>
                      </w:tcPr>
                      <w:p w14:paraId="6AFB92CF" w14:textId="77777777" w:rsidR="005F1709" w:rsidRPr="00FA5DB5" w:rsidRDefault="005F1709">
                        <w:pPr>
                          <w:jc w:val="right"/>
                          <w:rPr>
                            <w:rFonts w:ascii="Calibri" w:hAnsi="Calibri"/>
                            <w:color w:val="000000"/>
                            <w:sz w:val="20"/>
                          </w:rPr>
                        </w:pPr>
                        <w:r w:rsidRPr="00FA5DB5">
                          <w:rPr>
                            <w:rFonts w:ascii="Calibri" w:hAnsi="Calibri"/>
                            <w:color w:val="000000"/>
                            <w:sz w:val="20"/>
                          </w:rPr>
                          <w:t>5</w:t>
                        </w:r>
                      </w:p>
                    </w:tc>
                  </w:tr>
                  <w:tr w:rsidR="005F1709" w:rsidRPr="00FA5DB5" w14:paraId="73BE1BE7" w14:textId="77777777" w:rsidTr="00DA267C">
                    <w:trPr>
                      <w:trHeight w:val="300"/>
                    </w:trPr>
                    <w:tc>
                      <w:tcPr>
                        <w:tcW w:w="0" w:type="auto"/>
                        <w:tcBorders>
                          <w:top w:val="single" w:sz="4" w:space="0" w:color="auto"/>
                          <w:left w:val="nil"/>
                          <w:bottom w:val="nil"/>
                          <w:right w:val="nil"/>
                        </w:tcBorders>
                        <w:noWrap/>
                        <w:tcMar>
                          <w:top w:w="15" w:type="dxa"/>
                          <w:left w:w="15" w:type="dxa"/>
                          <w:bottom w:w="0" w:type="dxa"/>
                          <w:right w:w="15" w:type="dxa"/>
                        </w:tcMar>
                        <w:vAlign w:val="bottom"/>
                        <w:hideMark/>
                      </w:tcPr>
                      <w:p w14:paraId="2B081584" w14:textId="77777777" w:rsidR="005F1709" w:rsidRPr="00FA5DB5" w:rsidRDefault="005F1709">
                        <w:pPr>
                          <w:rPr>
                            <w:rFonts w:ascii="Calibri" w:hAnsi="Calibri"/>
                            <w:color w:val="000000"/>
                            <w:sz w:val="20"/>
                          </w:rPr>
                        </w:pPr>
                        <w:r w:rsidRPr="00FA5DB5">
                          <w:rPr>
                            <w:rFonts w:ascii="Calibri" w:hAnsi="Calibri"/>
                            <w:color w:val="000000"/>
                            <w:sz w:val="20"/>
                          </w:rPr>
                          <w:t>Payment</w:t>
                        </w:r>
                      </w:p>
                    </w:tc>
                    <w:tc>
                      <w:tcPr>
                        <w:tcW w:w="0" w:type="auto"/>
                        <w:tcBorders>
                          <w:top w:val="single" w:sz="4" w:space="0" w:color="auto"/>
                          <w:left w:val="nil"/>
                          <w:bottom w:val="nil"/>
                          <w:right w:val="nil"/>
                        </w:tcBorders>
                        <w:noWrap/>
                        <w:tcMar>
                          <w:top w:w="15" w:type="dxa"/>
                          <w:left w:w="15" w:type="dxa"/>
                          <w:bottom w:w="0" w:type="dxa"/>
                          <w:right w:w="15" w:type="dxa"/>
                        </w:tcMar>
                        <w:vAlign w:val="bottom"/>
                        <w:hideMark/>
                      </w:tcPr>
                      <w:p w14:paraId="702E22F2" w14:textId="77777777" w:rsidR="005F1709" w:rsidRPr="00FA5DB5" w:rsidRDefault="005F1709">
                        <w:pPr>
                          <w:jc w:val="right"/>
                          <w:rPr>
                            <w:rFonts w:ascii="Calibri" w:hAnsi="Calibri"/>
                            <w:color w:val="000000"/>
                            <w:sz w:val="20"/>
                          </w:rPr>
                        </w:pPr>
                        <w:r w:rsidRPr="00FA5DB5">
                          <w:rPr>
                            <w:rFonts w:ascii="Calibri" w:hAnsi="Calibri"/>
                            <w:color w:val="000000"/>
                            <w:sz w:val="20"/>
                          </w:rPr>
                          <w:t>100</w:t>
                        </w:r>
                      </w:p>
                    </w:tc>
                    <w:tc>
                      <w:tcPr>
                        <w:tcW w:w="0" w:type="auto"/>
                        <w:tcBorders>
                          <w:top w:val="single" w:sz="4" w:space="0" w:color="auto"/>
                          <w:left w:val="nil"/>
                          <w:bottom w:val="nil"/>
                          <w:right w:val="nil"/>
                        </w:tcBorders>
                        <w:noWrap/>
                        <w:tcMar>
                          <w:top w:w="15" w:type="dxa"/>
                          <w:left w:w="15" w:type="dxa"/>
                          <w:bottom w:w="0" w:type="dxa"/>
                          <w:right w:w="15" w:type="dxa"/>
                        </w:tcMar>
                        <w:vAlign w:val="bottom"/>
                        <w:hideMark/>
                      </w:tcPr>
                      <w:p w14:paraId="34FF8E62" w14:textId="77777777" w:rsidR="005F1709" w:rsidRPr="00FA5DB5" w:rsidRDefault="005F1709">
                        <w:pPr>
                          <w:jc w:val="right"/>
                          <w:rPr>
                            <w:rFonts w:ascii="Calibri" w:hAnsi="Calibri"/>
                            <w:color w:val="000000"/>
                            <w:sz w:val="20"/>
                          </w:rPr>
                        </w:pPr>
                        <w:r w:rsidRPr="00FA5DB5">
                          <w:rPr>
                            <w:rFonts w:ascii="Calibri" w:hAnsi="Calibri"/>
                            <w:color w:val="000000"/>
                            <w:sz w:val="20"/>
                          </w:rPr>
                          <w:t>120</w:t>
                        </w:r>
                      </w:p>
                    </w:tc>
                    <w:tc>
                      <w:tcPr>
                        <w:tcW w:w="0" w:type="auto"/>
                        <w:tcBorders>
                          <w:top w:val="single" w:sz="4" w:space="0" w:color="auto"/>
                          <w:left w:val="nil"/>
                          <w:bottom w:val="nil"/>
                          <w:right w:val="nil"/>
                        </w:tcBorders>
                        <w:noWrap/>
                        <w:tcMar>
                          <w:top w:w="15" w:type="dxa"/>
                          <w:left w:w="15" w:type="dxa"/>
                          <w:bottom w:w="0" w:type="dxa"/>
                          <w:right w:w="15" w:type="dxa"/>
                        </w:tcMar>
                        <w:vAlign w:val="bottom"/>
                        <w:hideMark/>
                      </w:tcPr>
                      <w:p w14:paraId="4B0611CE" w14:textId="77777777" w:rsidR="005F1709" w:rsidRPr="00FA5DB5" w:rsidRDefault="005F1709">
                        <w:pPr>
                          <w:jc w:val="right"/>
                          <w:rPr>
                            <w:rFonts w:ascii="Calibri" w:hAnsi="Calibri"/>
                            <w:color w:val="000000"/>
                            <w:sz w:val="20"/>
                          </w:rPr>
                        </w:pPr>
                        <w:r w:rsidRPr="00FA5DB5">
                          <w:rPr>
                            <w:rFonts w:ascii="Calibri" w:hAnsi="Calibri"/>
                            <w:color w:val="000000"/>
                            <w:sz w:val="20"/>
                          </w:rPr>
                          <w:t>50</w:t>
                        </w:r>
                      </w:p>
                    </w:tc>
                    <w:tc>
                      <w:tcPr>
                        <w:tcW w:w="0" w:type="auto"/>
                        <w:tcBorders>
                          <w:top w:val="single" w:sz="4" w:space="0" w:color="auto"/>
                          <w:left w:val="nil"/>
                          <w:bottom w:val="nil"/>
                          <w:right w:val="nil"/>
                        </w:tcBorders>
                        <w:noWrap/>
                        <w:tcMar>
                          <w:top w:w="15" w:type="dxa"/>
                          <w:left w:w="15" w:type="dxa"/>
                          <w:bottom w:w="0" w:type="dxa"/>
                          <w:right w:w="15" w:type="dxa"/>
                        </w:tcMar>
                        <w:vAlign w:val="bottom"/>
                        <w:hideMark/>
                      </w:tcPr>
                      <w:p w14:paraId="42E5DB43" w14:textId="77777777" w:rsidR="005F1709" w:rsidRPr="00FA5DB5" w:rsidRDefault="005F1709">
                        <w:pPr>
                          <w:jc w:val="right"/>
                          <w:rPr>
                            <w:rFonts w:ascii="Calibri" w:hAnsi="Calibri"/>
                            <w:color w:val="000000"/>
                            <w:sz w:val="20"/>
                          </w:rPr>
                        </w:pPr>
                        <w:r w:rsidRPr="00FA5DB5">
                          <w:rPr>
                            <w:rFonts w:ascii="Calibri" w:hAnsi="Calibri"/>
                            <w:color w:val="000000"/>
                            <w:sz w:val="20"/>
                          </w:rPr>
                          <w:t>30</w:t>
                        </w:r>
                      </w:p>
                    </w:tc>
                    <w:tc>
                      <w:tcPr>
                        <w:tcW w:w="0" w:type="auto"/>
                        <w:tcBorders>
                          <w:top w:val="single" w:sz="4" w:space="0" w:color="auto"/>
                          <w:left w:val="nil"/>
                          <w:bottom w:val="nil"/>
                          <w:right w:val="nil"/>
                        </w:tcBorders>
                        <w:noWrap/>
                        <w:tcMar>
                          <w:top w:w="15" w:type="dxa"/>
                          <w:left w:w="15" w:type="dxa"/>
                          <w:bottom w:w="0" w:type="dxa"/>
                          <w:right w:w="15" w:type="dxa"/>
                        </w:tcMar>
                        <w:vAlign w:val="bottom"/>
                        <w:hideMark/>
                      </w:tcPr>
                      <w:p w14:paraId="07196180" w14:textId="77777777" w:rsidR="005F1709" w:rsidRPr="00FA5DB5" w:rsidRDefault="005F1709">
                        <w:pPr>
                          <w:jc w:val="right"/>
                          <w:rPr>
                            <w:rFonts w:ascii="Calibri" w:hAnsi="Calibri"/>
                            <w:color w:val="000000"/>
                            <w:sz w:val="20"/>
                          </w:rPr>
                        </w:pPr>
                        <w:r w:rsidRPr="00FA5DB5">
                          <w:rPr>
                            <w:rFonts w:ascii="Calibri" w:hAnsi="Calibri"/>
                            <w:color w:val="000000"/>
                            <w:sz w:val="20"/>
                          </w:rPr>
                          <w:t>80</w:t>
                        </w:r>
                      </w:p>
                    </w:tc>
                  </w:tr>
                  <w:tr w:rsidR="005F1709" w:rsidRPr="00FA5DB5" w14:paraId="12BF3FB3" w14:textId="77777777" w:rsidTr="00DA267C">
                    <w:trPr>
                      <w:gridAfter w:val="1"/>
                      <w:wAfter w:w="960" w:type="dxa"/>
                      <w:trHeight w:val="300"/>
                    </w:trPr>
                    <w:tc>
                      <w:tcPr>
                        <w:tcW w:w="960" w:type="dxa"/>
                        <w:tcBorders>
                          <w:top w:val="nil"/>
                          <w:left w:val="nil"/>
                          <w:bottom w:val="nil"/>
                          <w:right w:val="nil"/>
                        </w:tcBorders>
                        <w:noWrap/>
                        <w:tcMar>
                          <w:top w:w="15" w:type="dxa"/>
                          <w:left w:w="15" w:type="dxa"/>
                          <w:bottom w:w="0" w:type="dxa"/>
                          <w:right w:w="15" w:type="dxa"/>
                        </w:tcMar>
                        <w:vAlign w:val="bottom"/>
                        <w:hideMark/>
                      </w:tcPr>
                      <w:p w14:paraId="5F4153CB" w14:textId="77777777" w:rsidR="005F1709" w:rsidRPr="00FA5DB5" w:rsidRDefault="005F1709">
                        <w:pPr>
                          <w:rPr>
                            <w:rFonts w:ascii="Calibri" w:hAnsi="Calibri"/>
                            <w:color w:val="000000"/>
                            <w:sz w:val="20"/>
                          </w:rPr>
                        </w:pPr>
                      </w:p>
                    </w:tc>
                    <w:tc>
                      <w:tcPr>
                        <w:tcW w:w="960" w:type="dxa"/>
                        <w:tcBorders>
                          <w:top w:val="nil"/>
                          <w:left w:val="nil"/>
                          <w:bottom w:val="nil"/>
                          <w:right w:val="nil"/>
                        </w:tcBorders>
                        <w:noWrap/>
                        <w:tcMar>
                          <w:top w:w="15" w:type="dxa"/>
                          <w:left w:w="15" w:type="dxa"/>
                          <w:bottom w:w="0" w:type="dxa"/>
                          <w:right w:w="15" w:type="dxa"/>
                        </w:tcMar>
                        <w:vAlign w:val="bottom"/>
                        <w:hideMark/>
                      </w:tcPr>
                      <w:p w14:paraId="68387BB8" w14:textId="77777777" w:rsidR="005F1709" w:rsidRPr="00FA5DB5" w:rsidRDefault="005F1709">
                        <w:pPr>
                          <w:jc w:val="right"/>
                          <w:rPr>
                            <w:rFonts w:ascii="Calibri" w:hAnsi="Calibri"/>
                            <w:color w:val="000000"/>
                            <w:sz w:val="20"/>
                          </w:rPr>
                        </w:pPr>
                      </w:p>
                    </w:tc>
                    <w:tc>
                      <w:tcPr>
                        <w:tcW w:w="960" w:type="dxa"/>
                        <w:tcBorders>
                          <w:top w:val="nil"/>
                          <w:left w:val="nil"/>
                          <w:bottom w:val="nil"/>
                          <w:right w:val="nil"/>
                        </w:tcBorders>
                        <w:noWrap/>
                        <w:tcMar>
                          <w:top w:w="15" w:type="dxa"/>
                          <w:left w:w="15" w:type="dxa"/>
                          <w:bottom w:w="0" w:type="dxa"/>
                          <w:right w:w="15" w:type="dxa"/>
                        </w:tcMar>
                        <w:vAlign w:val="bottom"/>
                        <w:hideMark/>
                      </w:tcPr>
                      <w:p w14:paraId="59EF2E0A" w14:textId="77777777" w:rsidR="005F1709" w:rsidRPr="00FA5DB5" w:rsidRDefault="005F1709">
                        <w:pPr>
                          <w:jc w:val="right"/>
                          <w:rPr>
                            <w:rFonts w:ascii="Calibri" w:hAnsi="Calibri"/>
                            <w:color w:val="000000"/>
                            <w:sz w:val="20"/>
                          </w:rPr>
                        </w:pPr>
                      </w:p>
                    </w:tc>
                    <w:tc>
                      <w:tcPr>
                        <w:tcW w:w="960" w:type="dxa"/>
                        <w:tcBorders>
                          <w:top w:val="nil"/>
                          <w:left w:val="nil"/>
                          <w:bottom w:val="nil"/>
                          <w:right w:val="nil"/>
                        </w:tcBorders>
                        <w:noWrap/>
                        <w:tcMar>
                          <w:top w:w="15" w:type="dxa"/>
                          <w:left w:w="15" w:type="dxa"/>
                          <w:bottom w:w="0" w:type="dxa"/>
                          <w:right w:w="15" w:type="dxa"/>
                        </w:tcMar>
                        <w:vAlign w:val="bottom"/>
                        <w:hideMark/>
                      </w:tcPr>
                      <w:p w14:paraId="47C61A90" w14:textId="77777777" w:rsidR="005F1709" w:rsidRPr="00FA5DB5" w:rsidRDefault="005F1709">
                        <w:pPr>
                          <w:jc w:val="right"/>
                          <w:rPr>
                            <w:rFonts w:ascii="Calibri" w:hAnsi="Calibri"/>
                            <w:color w:val="000000"/>
                            <w:sz w:val="20"/>
                          </w:rPr>
                        </w:pPr>
                      </w:p>
                    </w:tc>
                    <w:tc>
                      <w:tcPr>
                        <w:tcW w:w="960" w:type="dxa"/>
                        <w:tcBorders>
                          <w:top w:val="nil"/>
                          <w:left w:val="nil"/>
                          <w:bottom w:val="nil"/>
                          <w:right w:val="nil"/>
                        </w:tcBorders>
                        <w:noWrap/>
                        <w:tcMar>
                          <w:top w:w="15" w:type="dxa"/>
                          <w:left w:w="15" w:type="dxa"/>
                          <w:bottom w:w="0" w:type="dxa"/>
                          <w:right w:w="15" w:type="dxa"/>
                        </w:tcMar>
                        <w:vAlign w:val="bottom"/>
                        <w:hideMark/>
                      </w:tcPr>
                      <w:p w14:paraId="15F5D37E" w14:textId="77777777" w:rsidR="005F1709" w:rsidRPr="00FA5DB5" w:rsidRDefault="005F1709">
                        <w:pPr>
                          <w:jc w:val="right"/>
                          <w:rPr>
                            <w:rFonts w:ascii="Calibri" w:hAnsi="Calibri"/>
                            <w:color w:val="000000"/>
                            <w:sz w:val="20"/>
                          </w:rPr>
                        </w:pPr>
                      </w:p>
                    </w:tc>
                  </w:tr>
                  <w:tr w:rsidR="005F1709" w:rsidRPr="00FA5DB5" w14:paraId="4C6E719A" w14:textId="77777777" w:rsidTr="00DA267C">
                    <w:trPr>
                      <w:gridAfter w:val="1"/>
                      <w:wAfter w:w="960" w:type="dxa"/>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4DFB6EF9" w14:textId="77777777" w:rsidR="005F1709" w:rsidRPr="00FA5DB5" w:rsidRDefault="005F1709">
                        <w:pPr>
                          <w:rPr>
                            <w:rFonts w:ascii="Calibri" w:hAnsi="Calibri"/>
                            <w:color w:val="000000"/>
                            <w:sz w:val="20"/>
                          </w:rPr>
                        </w:pPr>
                      </w:p>
                    </w:tc>
                    <w:tc>
                      <w:tcPr>
                        <w:tcW w:w="0" w:type="auto"/>
                        <w:tcBorders>
                          <w:top w:val="nil"/>
                          <w:left w:val="nil"/>
                          <w:bottom w:val="nil"/>
                          <w:right w:val="nil"/>
                        </w:tcBorders>
                        <w:noWrap/>
                        <w:tcMar>
                          <w:top w:w="15" w:type="dxa"/>
                          <w:left w:w="15" w:type="dxa"/>
                          <w:bottom w:w="0" w:type="dxa"/>
                          <w:right w:w="15" w:type="dxa"/>
                        </w:tcMar>
                        <w:vAlign w:val="bottom"/>
                        <w:hideMark/>
                      </w:tcPr>
                      <w:p w14:paraId="41DD2218" w14:textId="77777777" w:rsidR="005F1709" w:rsidRPr="00FA5DB5" w:rsidRDefault="005F1709">
                        <w:pPr>
                          <w:jc w:val="right"/>
                          <w:rPr>
                            <w:rFonts w:ascii="Calibri" w:hAnsi="Calibri"/>
                            <w:color w:val="000000"/>
                            <w:sz w:val="20"/>
                          </w:rPr>
                        </w:pPr>
                      </w:p>
                    </w:tc>
                    <w:tc>
                      <w:tcPr>
                        <w:tcW w:w="0" w:type="auto"/>
                        <w:tcBorders>
                          <w:top w:val="nil"/>
                          <w:left w:val="nil"/>
                          <w:bottom w:val="nil"/>
                          <w:right w:val="nil"/>
                        </w:tcBorders>
                        <w:noWrap/>
                        <w:tcMar>
                          <w:top w:w="15" w:type="dxa"/>
                          <w:left w:w="15" w:type="dxa"/>
                          <w:bottom w:w="0" w:type="dxa"/>
                          <w:right w:w="15" w:type="dxa"/>
                        </w:tcMar>
                        <w:vAlign w:val="bottom"/>
                        <w:hideMark/>
                      </w:tcPr>
                      <w:p w14:paraId="5B71D22D" w14:textId="77777777" w:rsidR="005F1709" w:rsidRPr="00FA5DB5" w:rsidRDefault="005F1709">
                        <w:pPr>
                          <w:jc w:val="right"/>
                          <w:rPr>
                            <w:rFonts w:ascii="Calibri" w:hAnsi="Calibri"/>
                            <w:color w:val="000000"/>
                            <w:sz w:val="20"/>
                          </w:rPr>
                        </w:pPr>
                      </w:p>
                    </w:tc>
                    <w:tc>
                      <w:tcPr>
                        <w:tcW w:w="0" w:type="auto"/>
                        <w:tcBorders>
                          <w:top w:val="nil"/>
                          <w:left w:val="nil"/>
                          <w:bottom w:val="nil"/>
                          <w:right w:val="nil"/>
                        </w:tcBorders>
                        <w:noWrap/>
                        <w:tcMar>
                          <w:top w:w="15" w:type="dxa"/>
                          <w:left w:w="15" w:type="dxa"/>
                          <w:bottom w:w="0" w:type="dxa"/>
                          <w:right w:w="15" w:type="dxa"/>
                        </w:tcMar>
                        <w:vAlign w:val="bottom"/>
                        <w:hideMark/>
                      </w:tcPr>
                      <w:p w14:paraId="3898F1EC" w14:textId="77777777" w:rsidR="005F1709" w:rsidRPr="00FA5DB5" w:rsidRDefault="005F1709">
                        <w:pPr>
                          <w:jc w:val="right"/>
                          <w:rPr>
                            <w:rFonts w:ascii="Calibri" w:hAnsi="Calibri"/>
                            <w:color w:val="000000"/>
                            <w:sz w:val="20"/>
                          </w:rPr>
                        </w:pPr>
                      </w:p>
                    </w:tc>
                    <w:tc>
                      <w:tcPr>
                        <w:tcW w:w="0" w:type="auto"/>
                        <w:tcBorders>
                          <w:top w:val="nil"/>
                          <w:left w:val="nil"/>
                          <w:bottom w:val="nil"/>
                          <w:right w:val="nil"/>
                        </w:tcBorders>
                        <w:noWrap/>
                        <w:tcMar>
                          <w:top w:w="15" w:type="dxa"/>
                          <w:left w:w="15" w:type="dxa"/>
                          <w:bottom w:w="0" w:type="dxa"/>
                          <w:right w:w="15" w:type="dxa"/>
                        </w:tcMar>
                        <w:vAlign w:val="bottom"/>
                        <w:hideMark/>
                      </w:tcPr>
                      <w:p w14:paraId="5E85C1F3" w14:textId="77777777" w:rsidR="005F1709" w:rsidRPr="00FA5DB5" w:rsidRDefault="005F1709">
                        <w:pPr>
                          <w:jc w:val="right"/>
                          <w:rPr>
                            <w:rFonts w:ascii="Calibri" w:hAnsi="Calibri"/>
                            <w:color w:val="000000"/>
                            <w:sz w:val="20"/>
                          </w:rPr>
                        </w:pPr>
                      </w:p>
                    </w:tc>
                  </w:tr>
                </w:tbl>
                <w:p w14:paraId="4408F11E" w14:textId="77777777" w:rsidR="005F1709" w:rsidRDefault="005F1709"/>
              </w:txbxContent>
            </v:textbox>
            <w10:wrap type="topAndBottom"/>
          </v:shape>
        </w:pict>
      </w:r>
      <w:r w:rsidR="00971706">
        <w:t xml:space="preserve">Consider a set of monetary payments, each received at the end of each period, as shown </w:t>
      </w:r>
      <w:r w:rsidR="00033B57">
        <w:t xml:space="preserve">in </w:t>
      </w:r>
      <w:fldSimple w:instr=" REF _Ref257913693 ">
        <w:r w:rsidR="00BD190A">
          <w:t xml:space="preserve">Exhibit </w:t>
        </w:r>
        <w:r w:rsidR="00BD190A">
          <w:rPr>
            <w:noProof/>
          </w:rPr>
          <w:t>1</w:t>
        </w:r>
      </w:fldSimple>
      <w:r w:rsidR="00971706">
        <w:t xml:space="preserve">. </w:t>
      </w:r>
      <w:r w:rsidR="006D72DF">
        <w:t>P</w:t>
      </w:r>
      <w:r w:rsidR="00DA267C">
        <w:t xml:space="preserve">ayments are received at the end of each period. </w:t>
      </w:r>
      <w:r w:rsidR="00E55196">
        <w:t xml:space="preserve">A </w:t>
      </w:r>
      <w:r w:rsidR="006D72DF">
        <w:t xml:space="preserve">payment of </w:t>
      </w:r>
      <w:r w:rsidR="008223DF">
        <w:t>$</w:t>
      </w:r>
      <w:r w:rsidR="006D72DF">
        <w:t xml:space="preserve">100 will be received one year from “now,” a payment of </w:t>
      </w:r>
      <w:r w:rsidR="008223DF">
        <w:t>$</w:t>
      </w:r>
      <w:r w:rsidR="006D72DF">
        <w:t xml:space="preserve">120 at the end of two years, and so on. Taking the discount rate </w:t>
      </w:r>
      <w:r w:rsidR="006D72DF" w:rsidRPr="006D72DF">
        <w:rPr>
          <w:b/>
          <w:i/>
        </w:rPr>
        <w:t>k</w:t>
      </w:r>
      <w:r w:rsidR="006D72DF">
        <w:t xml:space="preserve"> to be 10%, Excel’s NPV function reveals that the </w:t>
      </w:r>
      <w:proofErr w:type="gramStart"/>
      <w:r w:rsidR="006D72DF">
        <w:t>present-value</w:t>
      </w:r>
      <w:proofErr w:type="gramEnd"/>
      <w:r w:rsidR="006D72DF">
        <w:t xml:space="preserve"> of these payments is </w:t>
      </w:r>
      <w:r w:rsidR="008223DF">
        <w:t>$</w:t>
      </w:r>
      <w:r w:rsidR="006D72DF">
        <w:t xml:space="preserve">297.81. What this means is that if we had $291.81 today, and if we could earn 10% per-annum (after any taxes!) on this amount, then we could reproduce these payments, running out of funds exactly at the end of year 5. Thus, this pattern of payments is equivalent, in terms of value, to a single payment today of </w:t>
      </w:r>
      <w:r w:rsidR="008223DF">
        <w:t>$</w:t>
      </w:r>
      <w:r w:rsidR="006D72DF">
        <w:t>297.81</w:t>
      </w:r>
    </w:p>
    <w:p w14:paraId="2A8E200E" w14:textId="77777777" w:rsidR="006D72DF" w:rsidRDefault="006D72DF" w:rsidP="001C02FB">
      <w:r>
        <w:t xml:space="preserve">That is the totally standard way of thinking about </w:t>
      </w:r>
      <w:proofErr w:type="gramStart"/>
      <w:r>
        <w:t>present-value</w:t>
      </w:r>
      <w:proofErr w:type="gramEnd"/>
      <w:r>
        <w:t xml:space="preserve"> and discounting. </w:t>
      </w:r>
      <w:proofErr w:type="gramStart"/>
      <w:r>
        <w:t>But,</w:t>
      </w:r>
      <w:proofErr w:type="gramEnd"/>
      <w:r>
        <w:t xml:space="preserve"> there is more. There are an infinite number of patterns of payments which are value-equivalent to this one and the analyst can construct them at will. Which one is constructed depends on the comparison being made.</w:t>
      </w:r>
    </w:p>
    <w:p w14:paraId="297079AD" w14:textId="77777777" w:rsidR="006D72DF" w:rsidRDefault="00634447" w:rsidP="001C02FB">
      <w:r>
        <w:t xml:space="preserve">For example, instead of a present </w:t>
      </w:r>
      <w:r w:rsidR="008223DF">
        <w:t xml:space="preserve">value one can easily compute a </w:t>
      </w:r>
      <w:r>
        <w:t xml:space="preserve">future value. That is the financially equivalent amount </w:t>
      </w:r>
      <w:proofErr w:type="gramStart"/>
      <w:r>
        <w:t>were</w:t>
      </w:r>
      <w:proofErr w:type="gramEnd"/>
      <w:r>
        <w:t xml:space="preserve"> it received at the end of year 5. In this case, the future value is </w:t>
      </w:r>
      <w:r w:rsidR="008223DF" w:rsidRPr="00634447">
        <w:rPr>
          <w:position w:val="-10"/>
        </w:rPr>
        <w:object w:dxaOrig="2460" w:dyaOrig="360" w14:anchorId="7ABF9D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18pt" o:ole="">
            <v:imagedata r:id="rId7" o:title=""/>
          </v:shape>
          <o:OLEObject Type="Embed" ProgID="Equation.DSMT4" ShapeID="_x0000_i1025" DrawAspect="Content" ObjectID="_1837604423" r:id="rId8"/>
        </w:object>
      </w:r>
      <w:r>
        <w:t>In the case of pension planning, this number might be more relevant than the present value.</w:t>
      </w:r>
    </w:p>
    <w:p w14:paraId="5AF8AB5A" w14:textId="77777777" w:rsidR="00634447" w:rsidRDefault="00634447" w:rsidP="001C02FB">
      <w:r>
        <w:lastRenderedPageBreak/>
        <w:t xml:space="preserve">One could just as easily compute the amount received at the end of period 2 that is financially equivalent to the original stream. That would be </w:t>
      </w:r>
      <w:r w:rsidR="008223DF" w:rsidRPr="00634447">
        <w:rPr>
          <w:position w:val="-10"/>
        </w:rPr>
        <w:object w:dxaOrig="2460" w:dyaOrig="360" w14:anchorId="240181D7">
          <v:shape id="_x0000_i1026" type="#_x0000_t75" style="width:123pt;height:18pt" o:ole="">
            <v:imagedata r:id="rId9" o:title=""/>
          </v:shape>
          <o:OLEObject Type="Embed" ProgID="Equation.DSMT4" ShapeID="_x0000_i1026" DrawAspect="Content" ObjectID="_1837604424" r:id="rId10"/>
        </w:object>
      </w:r>
      <w:r w:rsidR="005D1C78">
        <w:t xml:space="preserve"> It is only a bit harder to compute the two equal amounts, received at the ends of periods 2 and 4, that are financially equivalent to the original pattern. They are each </w:t>
      </w:r>
      <w:r w:rsidR="008223DF">
        <w:t>$</w:t>
      </w:r>
      <w:r w:rsidR="005D1C78">
        <w:t xml:space="preserve">197.30. </w:t>
      </w:r>
    </w:p>
    <w:p w14:paraId="10D27CCE" w14:textId="77777777" w:rsidR="00DA267C" w:rsidRDefault="00634447" w:rsidP="001C02FB">
      <w:r>
        <w:t>A useful transformation is to a level stream. To compute this one could use the finite annuity formula</w:t>
      </w:r>
    </w:p>
    <w:p w14:paraId="760AADE5" w14:textId="77777777" w:rsidR="00634447" w:rsidRDefault="00DA267C" w:rsidP="00DA267C">
      <w:pPr>
        <w:pStyle w:val="MTDisplayEquation"/>
      </w:pPr>
      <w:r>
        <w:tab/>
      </w:r>
      <w:r w:rsidRPr="00DA267C">
        <w:rPr>
          <w:position w:val="-30"/>
        </w:rPr>
        <w:object w:dxaOrig="2200" w:dyaOrig="720" w14:anchorId="68DECEDF">
          <v:shape id="_x0000_i1027" type="#_x0000_t75" style="width:110.25pt;height:36pt" o:ole="">
            <v:imagedata r:id="rId11" o:title=""/>
          </v:shape>
          <o:OLEObject Type="Embed" ProgID="Equation.DSMT4" ShapeID="_x0000_i1027" DrawAspect="Content" ObjectID="_1837604425" r:id="rId12"/>
        </w:object>
      </w:r>
      <w:r>
        <w:tab/>
      </w:r>
      <w:r w:rsidR="006F1FA3">
        <w:fldChar w:fldCharType="begin"/>
      </w:r>
      <w:r>
        <w:instrText xml:space="preserve"> MACROBUTTON MTPlaceRef \* MERGEFORMAT </w:instrText>
      </w:r>
      <w:r w:rsidR="006F1FA3">
        <w:fldChar w:fldCharType="begin"/>
      </w:r>
      <w:r>
        <w:instrText xml:space="preserve"> SEQ MTEqn \h \* MERGEFORMAT </w:instrText>
      </w:r>
      <w:r w:rsidR="006F1FA3">
        <w:fldChar w:fldCharType="end"/>
      </w:r>
      <w:r>
        <w:instrText>(</w:instrText>
      </w:r>
      <w:fldSimple w:instr=" SEQ MTEqn \c \* Arabic \* MERGEFORMAT ">
        <w:r w:rsidR="00BD190A">
          <w:rPr>
            <w:noProof/>
          </w:rPr>
          <w:instrText>1</w:instrText>
        </w:r>
      </w:fldSimple>
      <w:r>
        <w:instrText>)</w:instrText>
      </w:r>
      <w:r w:rsidR="006F1FA3">
        <w:fldChar w:fldCharType="end"/>
      </w:r>
    </w:p>
    <w:p w14:paraId="12BE19D6" w14:textId="77777777" w:rsidR="00EA3C16" w:rsidRDefault="00634447" w:rsidP="008223DF">
      <w:r>
        <w:t xml:space="preserve">as described in </w:t>
      </w:r>
      <w:r w:rsidRPr="008223DF">
        <w:rPr>
          <w:i/>
        </w:rPr>
        <w:t>ASA Technical Note on Present Value Formulae</w:t>
      </w:r>
      <w:r>
        <w:t xml:space="preserve">, or simply invoke the Excel function </w:t>
      </w:r>
      <w:proofErr w:type="gramStart"/>
      <w:r>
        <w:t>PMT(</w:t>
      </w:r>
      <w:proofErr w:type="gramEnd"/>
      <w:r w:rsidRPr="00634447">
        <w:rPr>
          <w:b/>
          <w:i/>
        </w:rPr>
        <w:t>k</w:t>
      </w:r>
      <w:r>
        <w:t xml:space="preserve">, 5, -297.81). Doing so produces the </w:t>
      </w:r>
      <w:proofErr w:type="gramStart"/>
      <w:r>
        <w:t>value</w:t>
      </w:r>
      <w:proofErr w:type="gramEnd"/>
      <w:r>
        <w:t xml:space="preserve"> </w:t>
      </w:r>
      <w:r w:rsidR="008223DF">
        <w:t>$</w:t>
      </w:r>
      <w:r>
        <w:t>78.56</w:t>
      </w:r>
      <w:r w:rsidR="00F63774">
        <w:t>. R</w:t>
      </w:r>
      <w:r>
        <w:t xml:space="preserve">eceiving that amount each year is financially equivalent to receiving </w:t>
      </w:r>
      <w:r w:rsidR="008223DF">
        <w:t>$</w:t>
      </w:r>
      <w:r>
        <w:t xml:space="preserve">298.81 now or </w:t>
      </w:r>
      <w:r w:rsidR="008223DF">
        <w:t xml:space="preserve">to </w:t>
      </w:r>
      <w:r>
        <w:t>the original pattern.</w:t>
      </w:r>
      <w:r w:rsidR="00650AA8">
        <w:t xml:space="preserve"> This sort of smoothing is especially useful in creating managerially meaningful numbers. </w:t>
      </w:r>
      <w:r w:rsidR="008223DF">
        <w:t>For</w:t>
      </w:r>
      <w:r w:rsidR="00650AA8">
        <w:t xml:space="preserve"> example,</w:t>
      </w:r>
      <w:r w:rsidR="008223DF">
        <w:t xml:space="preserve"> if</w:t>
      </w:r>
      <w:r w:rsidR="00650AA8">
        <w:t xml:space="preserve"> these payments are for the maintenance of a machine, telling someone that maintenance expenses have a present value of </w:t>
      </w:r>
      <w:r w:rsidR="008223DF">
        <w:t>$</w:t>
      </w:r>
      <w:r w:rsidR="00650AA8">
        <w:t xml:space="preserve">297.81 is not very enlightening. On the other hand, a maintenance charge of </w:t>
      </w:r>
      <w:r w:rsidR="008223DF">
        <w:t>$</w:t>
      </w:r>
      <w:r w:rsidR="00650AA8">
        <w:t xml:space="preserve">78 per year is a better basis for comparison and judgment. </w:t>
      </w:r>
    </w:p>
    <w:p w14:paraId="21F1F319" w14:textId="77777777" w:rsidR="005D1C78" w:rsidRDefault="005D1C78" w:rsidP="001C02FB">
      <w:r>
        <w:t xml:space="preserve">Importantly, note that this </w:t>
      </w:r>
      <w:proofErr w:type="gramStart"/>
      <w:r>
        <w:t>particular level</w:t>
      </w:r>
      <w:proofErr w:type="gramEnd"/>
      <w:r>
        <w:t xml:space="preserve"> stream of </w:t>
      </w:r>
      <w:r w:rsidR="008223DF">
        <w:t>$</w:t>
      </w:r>
      <w:r>
        <w:t xml:space="preserve">78.56 per year lasts only five years. It is not hard to compute, instead, the equivalent 10-year level stream:  </w:t>
      </w:r>
      <w:proofErr w:type="gramStart"/>
      <w:r>
        <w:t>PMT(</w:t>
      </w:r>
      <w:proofErr w:type="gramEnd"/>
      <w:r>
        <w:t>.1,</w:t>
      </w:r>
      <w:proofErr w:type="gramStart"/>
      <w:r>
        <w:t>10,-</w:t>
      </w:r>
      <w:proofErr w:type="gramEnd"/>
      <w:r>
        <w:t xml:space="preserve">297.81) = </w:t>
      </w:r>
      <w:r w:rsidR="008223DF">
        <w:t>$</w:t>
      </w:r>
      <w:r>
        <w:t xml:space="preserve">48.47. The equivalent 20-year stream has annual payments of </w:t>
      </w:r>
      <w:r w:rsidR="008223DF">
        <w:t>$</w:t>
      </w:r>
      <w:r>
        <w:t xml:space="preserve">34.98. As we make the stream longer and longer, it becomes an infinite annuity and the annual payment becomes </w:t>
      </w:r>
      <w:r w:rsidR="008223DF" w:rsidRPr="005D1C78">
        <w:rPr>
          <w:position w:val="-6"/>
        </w:rPr>
        <w:object w:dxaOrig="1840" w:dyaOrig="279" w14:anchorId="46B342F0">
          <v:shape id="_x0000_i1028" type="#_x0000_t75" style="width:92.25pt;height:14.25pt" o:ole="">
            <v:imagedata r:id="rId13" o:title=""/>
          </v:shape>
          <o:OLEObject Type="Embed" ProgID="Equation.DSMT4" ShapeID="_x0000_i1028" DrawAspect="Content" ObjectID="_1837604426" r:id="rId14"/>
        </w:object>
      </w:r>
      <w:r>
        <w:t xml:space="preserve">. </w:t>
      </w:r>
    </w:p>
    <w:p w14:paraId="5A07BD14" w14:textId="77777777" w:rsidR="00033B57" w:rsidRDefault="00033B57" w:rsidP="001C02FB">
      <w:r>
        <w:t xml:space="preserve">The choice of the length of the equivalent annuity is important if the pattern of payments will be repeated in the future. For example, suppose that we are interested in the value of repeating the pattern of </w:t>
      </w:r>
      <w:fldSimple w:instr=" REF _Ref257913693 ">
        <w:r w:rsidR="00BD190A">
          <w:t xml:space="preserve">Exhibit </w:t>
        </w:r>
        <w:r w:rsidR="00BD190A">
          <w:rPr>
            <w:noProof/>
          </w:rPr>
          <w:t>1</w:t>
        </w:r>
      </w:fldSimple>
      <w:r>
        <w:t xml:space="preserve"> </w:t>
      </w:r>
      <w:proofErr w:type="gramStart"/>
      <w:r>
        <w:t>over and over ag</w:t>
      </w:r>
      <w:r w:rsidR="00EA3C16">
        <w:t>ain</w:t>
      </w:r>
      <w:proofErr w:type="gramEnd"/>
      <w:r w:rsidR="00EA3C16">
        <w:t xml:space="preserve">. Since </w:t>
      </w:r>
      <w:r>
        <w:t xml:space="preserve">this payment stream is equivalent to five annual level payments of $78.56, repeating the project </w:t>
      </w:r>
      <w:proofErr w:type="gramStart"/>
      <w:r>
        <w:t>over and over again</w:t>
      </w:r>
      <w:proofErr w:type="gramEnd"/>
      <w:r>
        <w:t xml:space="preserve"> is like an infinite stream of payments of $78.56 and we immediately know that its present value is $785.5. </w:t>
      </w:r>
    </w:p>
    <w:p w14:paraId="75ED8E8A" w14:textId="77777777" w:rsidR="005D1C78" w:rsidRDefault="00000000" w:rsidP="001C02FB">
      <w:r>
        <w:rPr>
          <w:noProof/>
          <w:lang w:eastAsia="zh-TW"/>
        </w:rPr>
        <w:pict w14:anchorId="661BC9AD">
          <v:shape id="_x0000_s2057" type="#_x0000_t202" style="position:absolute;left:0;text-align:left;margin-left:1.9pt;margin-top:97.95pt;width:428.25pt;height:174pt;z-index:2;mso-wrap-distance-top:7.2pt;mso-wrap-distance-bottom:14.4pt;mso-width-relative:margin;mso-height-relative:margin" o:allowoverlap="f" stroked="f">
            <v:textbox style="mso-next-textbox:#_x0000_s2057">
              <w:txbxContent>
                <w:p w14:paraId="59837DCB" w14:textId="77777777" w:rsidR="005F1709" w:rsidRDefault="005F1709" w:rsidP="00DC68E5">
                  <w:pPr>
                    <w:pStyle w:val="Caption"/>
                  </w:pPr>
                  <w:bookmarkStart w:id="1" w:name="_Ref257820140"/>
                  <w:r>
                    <w:t xml:space="preserve">Exhibit </w:t>
                  </w:r>
                  <w:fldSimple w:instr=" SEQ Exhibit \* ARABIC ">
                    <w:r>
                      <w:rPr>
                        <w:noProof/>
                      </w:rPr>
                      <w:t>2</w:t>
                    </w:r>
                  </w:fldSimple>
                  <w:bookmarkEnd w:id="1"/>
                  <w:r>
                    <w:t>—Comparing Streams of Different Length</w:t>
                  </w:r>
                </w:p>
                <w:p w14:paraId="247DBF5F" w14:textId="77777777" w:rsidR="005F1709" w:rsidRPr="00720BF3" w:rsidRDefault="005F1709" w:rsidP="00720BF3"/>
                <w:tbl>
                  <w:tblPr>
                    <w:tblW w:w="0" w:type="auto"/>
                    <w:tblCellMar>
                      <w:left w:w="144" w:type="dxa"/>
                      <w:right w:w="144" w:type="dxa"/>
                    </w:tblCellMar>
                    <w:tblLook w:val="04A0" w:firstRow="1" w:lastRow="0" w:firstColumn="1" w:lastColumn="0" w:noHBand="0" w:noVBand="1"/>
                  </w:tblPr>
                  <w:tblGrid>
                    <w:gridCol w:w="560"/>
                    <w:gridCol w:w="720"/>
                    <w:gridCol w:w="720"/>
                    <w:gridCol w:w="576"/>
                    <w:gridCol w:w="3168"/>
                    <w:gridCol w:w="1008"/>
                    <w:gridCol w:w="1008"/>
                  </w:tblGrid>
                  <w:tr w:rsidR="005F1709" w:rsidRPr="00FA5DB5" w14:paraId="76600741" w14:textId="77777777" w:rsidTr="00FA5DB5">
                    <w:trPr>
                      <w:trHeight w:val="20"/>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7236533"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Period</w:t>
                        </w:r>
                      </w:p>
                    </w:tc>
                    <w:tc>
                      <w:tcPr>
                        <w:tcW w:w="720" w:type="dxa"/>
                        <w:tcBorders>
                          <w:top w:val="nil"/>
                          <w:left w:val="nil"/>
                          <w:bottom w:val="single" w:sz="4" w:space="0" w:color="auto"/>
                          <w:right w:val="nil"/>
                        </w:tcBorders>
                        <w:noWrap/>
                        <w:tcMar>
                          <w:top w:w="15" w:type="dxa"/>
                          <w:left w:w="15" w:type="dxa"/>
                          <w:bottom w:w="0" w:type="dxa"/>
                          <w:right w:w="15" w:type="dxa"/>
                        </w:tcMar>
                        <w:vAlign w:val="center"/>
                        <w:hideMark/>
                      </w:tcPr>
                      <w:p w14:paraId="73EE0627"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L</w:t>
                        </w:r>
                      </w:p>
                    </w:tc>
                    <w:tc>
                      <w:tcPr>
                        <w:tcW w:w="720" w:type="dxa"/>
                        <w:tcBorders>
                          <w:top w:val="nil"/>
                          <w:left w:val="nil"/>
                          <w:bottom w:val="single" w:sz="4" w:space="0" w:color="auto"/>
                          <w:right w:val="nil"/>
                        </w:tcBorders>
                        <w:noWrap/>
                        <w:tcMar>
                          <w:top w:w="15" w:type="dxa"/>
                          <w:left w:w="15" w:type="dxa"/>
                          <w:bottom w:w="0" w:type="dxa"/>
                          <w:right w:w="15" w:type="dxa"/>
                        </w:tcMar>
                        <w:vAlign w:val="center"/>
                        <w:hideMark/>
                      </w:tcPr>
                      <w:p w14:paraId="0D6F01F4"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S</w:t>
                        </w:r>
                      </w:p>
                    </w:tc>
                    <w:tc>
                      <w:tcPr>
                        <w:tcW w:w="576" w:type="dxa"/>
                        <w:tcBorders>
                          <w:top w:val="nil"/>
                          <w:left w:val="nil"/>
                          <w:bottom w:val="nil"/>
                          <w:right w:val="nil"/>
                        </w:tcBorders>
                        <w:noWrap/>
                        <w:tcMar>
                          <w:top w:w="15" w:type="dxa"/>
                          <w:left w:w="15" w:type="dxa"/>
                          <w:bottom w:w="0" w:type="dxa"/>
                          <w:right w:w="15" w:type="dxa"/>
                        </w:tcMar>
                        <w:vAlign w:val="bottom"/>
                        <w:hideMark/>
                      </w:tcPr>
                      <w:p w14:paraId="76AAA3D0" w14:textId="77777777" w:rsidR="005F1709" w:rsidRPr="00FA5DB5" w:rsidRDefault="005F1709">
                        <w:pPr>
                          <w:rPr>
                            <w:rFonts w:ascii="Calibri" w:hAnsi="Calibri"/>
                            <w:color w:val="000000"/>
                            <w:sz w:val="20"/>
                          </w:rPr>
                        </w:pPr>
                      </w:p>
                    </w:tc>
                    <w:tc>
                      <w:tcPr>
                        <w:tcW w:w="3168" w:type="dxa"/>
                        <w:tcBorders>
                          <w:top w:val="nil"/>
                          <w:left w:val="nil"/>
                          <w:bottom w:val="single" w:sz="4" w:space="0" w:color="auto"/>
                          <w:right w:val="nil"/>
                        </w:tcBorders>
                        <w:noWrap/>
                        <w:tcMar>
                          <w:top w:w="15" w:type="dxa"/>
                          <w:left w:w="15" w:type="dxa"/>
                          <w:bottom w:w="0" w:type="dxa"/>
                          <w:right w:w="15" w:type="dxa"/>
                        </w:tcMar>
                        <w:vAlign w:val="bottom"/>
                        <w:hideMark/>
                      </w:tcPr>
                      <w:p w14:paraId="0B5B48EB" w14:textId="77777777" w:rsidR="005F1709" w:rsidRPr="00FA5DB5" w:rsidRDefault="005F1709">
                        <w:pPr>
                          <w:rPr>
                            <w:rFonts w:ascii="Calibri" w:hAnsi="Calibri"/>
                            <w:color w:val="000000"/>
                            <w:sz w:val="20"/>
                          </w:rPr>
                        </w:pPr>
                        <w:r w:rsidRPr="00FA5DB5">
                          <w:rPr>
                            <w:rFonts w:ascii="Calibri" w:hAnsi="Calibri"/>
                            <w:color w:val="000000"/>
                            <w:sz w:val="20"/>
                          </w:rPr>
                          <w:t>Stream Values</w:t>
                        </w:r>
                      </w:p>
                    </w:tc>
                    <w:tc>
                      <w:tcPr>
                        <w:tcW w:w="1008" w:type="dxa"/>
                        <w:tcBorders>
                          <w:top w:val="nil"/>
                          <w:left w:val="nil"/>
                          <w:bottom w:val="single" w:sz="4" w:space="0" w:color="auto"/>
                          <w:right w:val="nil"/>
                        </w:tcBorders>
                        <w:noWrap/>
                        <w:tcMar>
                          <w:top w:w="15" w:type="dxa"/>
                          <w:left w:w="15" w:type="dxa"/>
                          <w:bottom w:w="0" w:type="dxa"/>
                          <w:right w:w="15" w:type="dxa"/>
                        </w:tcMar>
                        <w:vAlign w:val="bottom"/>
                        <w:hideMark/>
                      </w:tcPr>
                      <w:p w14:paraId="480917A4" w14:textId="77777777" w:rsidR="005F1709" w:rsidRPr="00FA5DB5" w:rsidRDefault="005F1709">
                        <w:pPr>
                          <w:jc w:val="center"/>
                          <w:rPr>
                            <w:rFonts w:ascii="Calibri" w:hAnsi="Calibri"/>
                            <w:color w:val="000000"/>
                            <w:sz w:val="20"/>
                          </w:rPr>
                        </w:pPr>
                        <w:r w:rsidRPr="00FA5DB5">
                          <w:rPr>
                            <w:rFonts w:ascii="Calibri" w:hAnsi="Calibri"/>
                            <w:color w:val="000000"/>
                            <w:sz w:val="20"/>
                          </w:rPr>
                          <w:t>L</w:t>
                        </w:r>
                      </w:p>
                    </w:tc>
                    <w:tc>
                      <w:tcPr>
                        <w:tcW w:w="1008" w:type="dxa"/>
                        <w:tcBorders>
                          <w:top w:val="nil"/>
                          <w:left w:val="nil"/>
                          <w:bottom w:val="single" w:sz="4" w:space="0" w:color="auto"/>
                          <w:right w:val="nil"/>
                        </w:tcBorders>
                        <w:noWrap/>
                        <w:tcMar>
                          <w:top w:w="15" w:type="dxa"/>
                          <w:left w:w="15" w:type="dxa"/>
                          <w:bottom w:w="0" w:type="dxa"/>
                          <w:right w:w="15" w:type="dxa"/>
                        </w:tcMar>
                        <w:vAlign w:val="bottom"/>
                        <w:hideMark/>
                      </w:tcPr>
                      <w:p w14:paraId="1FDCD83B" w14:textId="77777777" w:rsidR="005F1709" w:rsidRPr="00FA5DB5" w:rsidRDefault="005F1709">
                        <w:pPr>
                          <w:jc w:val="center"/>
                          <w:rPr>
                            <w:rFonts w:ascii="Calibri" w:hAnsi="Calibri"/>
                            <w:color w:val="000000"/>
                            <w:sz w:val="20"/>
                          </w:rPr>
                        </w:pPr>
                        <w:r w:rsidRPr="00FA5DB5">
                          <w:rPr>
                            <w:rFonts w:ascii="Calibri" w:hAnsi="Calibri"/>
                            <w:color w:val="000000"/>
                            <w:sz w:val="20"/>
                          </w:rPr>
                          <w:t>S</w:t>
                        </w:r>
                      </w:p>
                    </w:tc>
                  </w:tr>
                  <w:tr w:rsidR="005F1709" w:rsidRPr="00FA5DB5" w14:paraId="21EE4CB3" w14:textId="77777777" w:rsidTr="00FA5DB5">
                    <w:trPr>
                      <w:trHeight w:val="20"/>
                    </w:trPr>
                    <w:tc>
                      <w:tcPr>
                        <w:tcW w:w="0" w:type="auto"/>
                        <w:tcBorders>
                          <w:top w:val="single" w:sz="4" w:space="0" w:color="auto"/>
                          <w:left w:val="nil"/>
                          <w:bottom w:val="nil"/>
                          <w:right w:val="nil"/>
                        </w:tcBorders>
                        <w:noWrap/>
                        <w:tcMar>
                          <w:top w:w="15" w:type="dxa"/>
                          <w:left w:w="15" w:type="dxa"/>
                          <w:bottom w:w="0" w:type="dxa"/>
                          <w:right w:w="15" w:type="dxa"/>
                        </w:tcMar>
                        <w:vAlign w:val="center"/>
                        <w:hideMark/>
                      </w:tcPr>
                      <w:p w14:paraId="5D032ED0"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1</w:t>
                        </w:r>
                      </w:p>
                    </w:tc>
                    <w:tc>
                      <w:tcPr>
                        <w:tcW w:w="720" w:type="dxa"/>
                        <w:tcBorders>
                          <w:top w:val="single" w:sz="4" w:space="0" w:color="auto"/>
                          <w:left w:val="nil"/>
                          <w:bottom w:val="nil"/>
                          <w:right w:val="nil"/>
                        </w:tcBorders>
                        <w:noWrap/>
                        <w:tcMar>
                          <w:top w:w="15" w:type="dxa"/>
                          <w:left w:w="15" w:type="dxa"/>
                          <w:bottom w:w="0" w:type="dxa"/>
                          <w:right w:w="15" w:type="dxa"/>
                        </w:tcMar>
                        <w:vAlign w:val="center"/>
                        <w:hideMark/>
                      </w:tcPr>
                      <w:p w14:paraId="5E27D879"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100</w:t>
                        </w:r>
                      </w:p>
                    </w:tc>
                    <w:tc>
                      <w:tcPr>
                        <w:tcW w:w="720" w:type="dxa"/>
                        <w:tcBorders>
                          <w:top w:val="single" w:sz="4" w:space="0" w:color="auto"/>
                          <w:left w:val="nil"/>
                          <w:bottom w:val="nil"/>
                          <w:right w:val="nil"/>
                        </w:tcBorders>
                        <w:noWrap/>
                        <w:tcMar>
                          <w:top w:w="15" w:type="dxa"/>
                          <w:left w:w="15" w:type="dxa"/>
                          <w:bottom w:w="0" w:type="dxa"/>
                          <w:right w:w="15" w:type="dxa"/>
                        </w:tcMar>
                        <w:vAlign w:val="center"/>
                        <w:hideMark/>
                      </w:tcPr>
                      <w:p w14:paraId="39A87DE9"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30</w:t>
                        </w:r>
                      </w:p>
                    </w:tc>
                    <w:tc>
                      <w:tcPr>
                        <w:tcW w:w="576" w:type="dxa"/>
                        <w:tcBorders>
                          <w:top w:val="nil"/>
                          <w:left w:val="nil"/>
                          <w:bottom w:val="nil"/>
                          <w:right w:val="nil"/>
                        </w:tcBorders>
                        <w:noWrap/>
                        <w:tcMar>
                          <w:top w:w="15" w:type="dxa"/>
                          <w:left w:w="15" w:type="dxa"/>
                          <w:bottom w:w="0" w:type="dxa"/>
                          <w:right w:w="15" w:type="dxa"/>
                        </w:tcMar>
                        <w:vAlign w:val="bottom"/>
                        <w:hideMark/>
                      </w:tcPr>
                      <w:p w14:paraId="0FF33953" w14:textId="77777777" w:rsidR="005F1709" w:rsidRPr="00FA5DB5" w:rsidRDefault="005F1709">
                        <w:pPr>
                          <w:rPr>
                            <w:rFonts w:ascii="Calibri" w:hAnsi="Calibri"/>
                            <w:color w:val="000000"/>
                            <w:sz w:val="20"/>
                          </w:rPr>
                        </w:pPr>
                      </w:p>
                    </w:tc>
                    <w:tc>
                      <w:tcPr>
                        <w:tcW w:w="3168" w:type="dxa"/>
                        <w:tcBorders>
                          <w:top w:val="single" w:sz="4" w:space="0" w:color="auto"/>
                          <w:left w:val="nil"/>
                          <w:bottom w:val="nil"/>
                          <w:right w:val="nil"/>
                        </w:tcBorders>
                        <w:noWrap/>
                        <w:tcMar>
                          <w:top w:w="15" w:type="dxa"/>
                          <w:left w:w="15" w:type="dxa"/>
                          <w:bottom w:w="0" w:type="dxa"/>
                          <w:right w:w="15" w:type="dxa"/>
                        </w:tcMar>
                        <w:vAlign w:val="center"/>
                        <w:hideMark/>
                      </w:tcPr>
                      <w:p w14:paraId="00EAEB4A" w14:textId="77777777" w:rsidR="005F1709" w:rsidRPr="00FA5DB5" w:rsidRDefault="005F1709" w:rsidP="00720BF3">
                        <w:pPr>
                          <w:jc w:val="left"/>
                          <w:rPr>
                            <w:rFonts w:ascii="Calibri" w:hAnsi="Calibri"/>
                            <w:color w:val="000000"/>
                            <w:sz w:val="20"/>
                          </w:rPr>
                        </w:pPr>
                        <w:r w:rsidRPr="00FA5DB5">
                          <w:rPr>
                            <w:rFonts w:ascii="Calibri" w:hAnsi="Calibri"/>
                            <w:color w:val="000000"/>
                            <w:sz w:val="20"/>
                          </w:rPr>
                          <w:t>Present value</w:t>
                        </w:r>
                      </w:p>
                    </w:tc>
                    <w:tc>
                      <w:tcPr>
                        <w:tcW w:w="1008" w:type="dxa"/>
                        <w:tcBorders>
                          <w:top w:val="single" w:sz="4" w:space="0" w:color="auto"/>
                          <w:left w:val="nil"/>
                          <w:bottom w:val="nil"/>
                          <w:right w:val="nil"/>
                        </w:tcBorders>
                        <w:noWrap/>
                        <w:tcMar>
                          <w:top w:w="15" w:type="dxa"/>
                          <w:left w:w="15" w:type="dxa"/>
                          <w:bottom w:w="0" w:type="dxa"/>
                          <w:right w:w="15" w:type="dxa"/>
                        </w:tcMar>
                        <w:vAlign w:val="center"/>
                        <w:hideMark/>
                      </w:tcPr>
                      <w:p w14:paraId="4F5129F5"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$297.81</w:t>
                        </w:r>
                      </w:p>
                    </w:tc>
                    <w:tc>
                      <w:tcPr>
                        <w:tcW w:w="1008" w:type="dxa"/>
                        <w:tcBorders>
                          <w:top w:val="single" w:sz="4" w:space="0" w:color="auto"/>
                          <w:left w:val="nil"/>
                          <w:bottom w:val="nil"/>
                          <w:right w:val="nil"/>
                        </w:tcBorders>
                        <w:noWrap/>
                        <w:tcMar>
                          <w:top w:w="15" w:type="dxa"/>
                          <w:left w:w="15" w:type="dxa"/>
                          <w:bottom w:w="0" w:type="dxa"/>
                          <w:right w:w="15" w:type="dxa"/>
                        </w:tcMar>
                        <w:vAlign w:val="center"/>
                        <w:hideMark/>
                      </w:tcPr>
                      <w:p w14:paraId="77C37F0F"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$213.60</w:t>
                        </w:r>
                      </w:p>
                    </w:tc>
                  </w:tr>
                  <w:tr w:rsidR="005F1709" w:rsidRPr="00FA5DB5" w14:paraId="0F58584C" w14:textId="77777777" w:rsidTr="00FA5DB5">
                    <w:trPr>
                      <w:trHeight w:val="20"/>
                    </w:trPr>
                    <w:tc>
                      <w:tcPr>
                        <w:tcW w:w="0" w:type="auto"/>
                        <w:tcBorders>
                          <w:top w:val="nil"/>
                          <w:left w:val="nil"/>
                          <w:bottom w:val="nil"/>
                          <w:right w:val="nil"/>
                        </w:tcBorders>
                        <w:noWrap/>
                        <w:tcMar>
                          <w:top w:w="15" w:type="dxa"/>
                          <w:left w:w="15" w:type="dxa"/>
                          <w:bottom w:w="0" w:type="dxa"/>
                          <w:right w:w="15" w:type="dxa"/>
                        </w:tcMar>
                        <w:vAlign w:val="center"/>
                        <w:hideMark/>
                      </w:tcPr>
                      <w:p w14:paraId="4E013862"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2</w:t>
                        </w:r>
                      </w:p>
                    </w:tc>
                    <w:tc>
                      <w:tcPr>
                        <w:tcW w:w="720" w:type="dxa"/>
                        <w:tcBorders>
                          <w:top w:val="nil"/>
                          <w:left w:val="nil"/>
                          <w:bottom w:val="nil"/>
                          <w:right w:val="nil"/>
                        </w:tcBorders>
                        <w:noWrap/>
                        <w:tcMar>
                          <w:top w:w="15" w:type="dxa"/>
                          <w:left w:w="15" w:type="dxa"/>
                          <w:bottom w:w="0" w:type="dxa"/>
                          <w:right w:w="15" w:type="dxa"/>
                        </w:tcMar>
                        <w:vAlign w:val="center"/>
                        <w:hideMark/>
                      </w:tcPr>
                      <w:p w14:paraId="1FDCDAC6"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120</w:t>
                        </w:r>
                      </w:p>
                    </w:tc>
                    <w:tc>
                      <w:tcPr>
                        <w:tcW w:w="720" w:type="dxa"/>
                        <w:tcBorders>
                          <w:top w:val="nil"/>
                          <w:left w:val="nil"/>
                          <w:bottom w:val="nil"/>
                          <w:right w:val="nil"/>
                        </w:tcBorders>
                        <w:noWrap/>
                        <w:tcMar>
                          <w:top w:w="15" w:type="dxa"/>
                          <w:left w:w="15" w:type="dxa"/>
                          <w:bottom w:w="0" w:type="dxa"/>
                          <w:right w:w="15" w:type="dxa"/>
                        </w:tcMar>
                        <w:vAlign w:val="center"/>
                        <w:hideMark/>
                      </w:tcPr>
                      <w:p w14:paraId="76C1A93B"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180</w:t>
                        </w:r>
                      </w:p>
                    </w:tc>
                    <w:tc>
                      <w:tcPr>
                        <w:tcW w:w="576" w:type="dxa"/>
                        <w:tcBorders>
                          <w:top w:val="nil"/>
                          <w:left w:val="nil"/>
                          <w:bottom w:val="nil"/>
                          <w:right w:val="nil"/>
                        </w:tcBorders>
                        <w:noWrap/>
                        <w:tcMar>
                          <w:top w:w="15" w:type="dxa"/>
                          <w:left w:w="15" w:type="dxa"/>
                          <w:bottom w:w="0" w:type="dxa"/>
                          <w:right w:w="15" w:type="dxa"/>
                        </w:tcMar>
                        <w:vAlign w:val="bottom"/>
                        <w:hideMark/>
                      </w:tcPr>
                      <w:p w14:paraId="7E862B53" w14:textId="77777777" w:rsidR="005F1709" w:rsidRPr="00FA5DB5" w:rsidRDefault="005F1709">
                        <w:pPr>
                          <w:rPr>
                            <w:rFonts w:ascii="Calibri" w:hAnsi="Calibri"/>
                            <w:color w:val="000000"/>
                            <w:sz w:val="20"/>
                          </w:rPr>
                        </w:pPr>
                      </w:p>
                    </w:tc>
                    <w:tc>
                      <w:tcPr>
                        <w:tcW w:w="3168" w:type="dxa"/>
                        <w:tcBorders>
                          <w:top w:val="nil"/>
                          <w:left w:val="nil"/>
                          <w:bottom w:val="nil"/>
                          <w:right w:val="nil"/>
                        </w:tcBorders>
                        <w:noWrap/>
                        <w:tcMar>
                          <w:top w:w="15" w:type="dxa"/>
                          <w:left w:w="15" w:type="dxa"/>
                          <w:bottom w:w="0" w:type="dxa"/>
                          <w:right w:w="15" w:type="dxa"/>
                        </w:tcMar>
                        <w:vAlign w:val="center"/>
                        <w:hideMark/>
                      </w:tcPr>
                      <w:p w14:paraId="7C3908C2" w14:textId="77777777" w:rsidR="005F1709" w:rsidRPr="00FA5DB5" w:rsidRDefault="005F1709" w:rsidP="00720BF3">
                        <w:pPr>
                          <w:jc w:val="left"/>
                          <w:rPr>
                            <w:rFonts w:ascii="Calibri" w:hAnsi="Calibri"/>
                            <w:color w:val="000000"/>
                            <w:sz w:val="20"/>
                          </w:rPr>
                        </w:pPr>
                        <w:r w:rsidRPr="00FA5DB5">
                          <w:rPr>
                            <w:rFonts w:ascii="Calibri" w:hAnsi="Calibri"/>
                            <w:color w:val="000000"/>
                            <w:sz w:val="20"/>
                          </w:rPr>
                          <w:t>5-Year level payment equivalent</w:t>
                        </w:r>
                      </w:p>
                    </w:tc>
                    <w:tc>
                      <w:tcPr>
                        <w:tcW w:w="1008" w:type="dxa"/>
                        <w:tcBorders>
                          <w:top w:val="nil"/>
                          <w:left w:val="nil"/>
                          <w:bottom w:val="nil"/>
                          <w:right w:val="nil"/>
                        </w:tcBorders>
                        <w:noWrap/>
                        <w:tcMar>
                          <w:top w:w="15" w:type="dxa"/>
                          <w:left w:w="15" w:type="dxa"/>
                          <w:bottom w:w="0" w:type="dxa"/>
                          <w:right w:w="15" w:type="dxa"/>
                        </w:tcMar>
                        <w:vAlign w:val="center"/>
                        <w:hideMark/>
                      </w:tcPr>
                      <w:p w14:paraId="3311F330" w14:textId="77777777" w:rsidR="005F1709" w:rsidRPr="00FA5DB5" w:rsidRDefault="005F1709" w:rsidP="00720BF3">
                        <w:pPr>
                          <w:jc w:val="center"/>
                          <w:rPr>
                            <w:rFonts w:ascii="Calibri" w:hAnsi="Calibri"/>
                            <w:b/>
                            <w:bCs/>
                            <w:color w:val="000000"/>
                            <w:sz w:val="20"/>
                          </w:rPr>
                        </w:pPr>
                        <w:r w:rsidRPr="00FA5DB5">
                          <w:rPr>
                            <w:rFonts w:ascii="Calibri" w:hAnsi="Calibri"/>
                            <w:b/>
                            <w:bCs/>
                            <w:color w:val="000000"/>
                            <w:sz w:val="20"/>
                          </w:rPr>
                          <w:t>$78.56</w:t>
                        </w:r>
                      </w:p>
                    </w:tc>
                    <w:tc>
                      <w:tcPr>
                        <w:tcW w:w="1008" w:type="dxa"/>
                        <w:tcBorders>
                          <w:top w:val="nil"/>
                          <w:left w:val="nil"/>
                          <w:bottom w:val="nil"/>
                          <w:right w:val="nil"/>
                        </w:tcBorders>
                        <w:noWrap/>
                        <w:tcMar>
                          <w:top w:w="15" w:type="dxa"/>
                          <w:left w:w="15" w:type="dxa"/>
                          <w:bottom w:w="0" w:type="dxa"/>
                          <w:right w:w="15" w:type="dxa"/>
                        </w:tcMar>
                        <w:vAlign w:val="center"/>
                        <w:hideMark/>
                      </w:tcPr>
                      <w:p w14:paraId="52AB43E4"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$56.35</w:t>
                        </w:r>
                      </w:p>
                    </w:tc>
                  </w:tr>
                  <w:tr w:rsidR="005F1709" w:rsidRPr="00FA5DB5" w14:paraId="73B7054D" w14:textId="77777777" w:rsidTr="00FA5DB5">
                    <w:trPr>
                      <w:trHeight w:val="20"/>
                    </w:trPr>
                    <w:tc>
                      <w:tcPr>
                        <w:tcW w:w="0" w:type="auto"/>
                        <w:tcBorders>
                          <w:top w:val="nil"/>
                          <w:left w:val="nil"/>
                          <w:bottom w:val="nil"/>
                          <w:right w:val="nil"/>
                        </w:tcBorders>
                        <w:noWrap/>
                        <w:tcMar>
                          <w:top w:w="15" w:type="dxa"/>
                          <w:left w:w="15" w:type="dxa"/>
                          <w:bottom w:w="0" w:type="dxa"/>
                          <w:right w:w="15" w:type="dxa"/>
                        </w:tcMar>
                        <w:vAlign w:val="center"/>
                        <w:hideMark/>
                      </w:tcPr>
                      <w:p w14:paraId="4B40269D"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3</w:t>
                        </w:r>
                      </w:p>
                    </w:tc>
                    <w:tc>
                      <w:tcPr>
                        <w:tcW w:w="720" w:type="dxa"/>
                        <w:tcBorders>
                          <w:top w:val="nil"/>
                          <w:left w:val="nil"/>
                          <w:bottom w:val="nil"/>
                          <w:right w:val="nil"/>
                        </w:tcBorders>
                        <w:noWrap/>
                        <w:tcMar>
                          <w:top w:w="15" w:type="dxa"/>
                          <w:left w:w="15" w:type="dxa"/>
                          <w:bottom w:w="0" w:type="dxa"/>
                          <w:right w:w="15" w:type="dxa"/>
                        </w:tcMar>
                        <w:vAlign w:val="center"/>
                        <w:hideMark/>
                      </w:tcPr>
                      <w:p w14:paraId="7716280D"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50</w:t>
                        </w:r>
                      </w:p>
                    </w:tc>
                    <w:tc>
                      <w:tcPr>
                        <w:tcW w:w="720" w:type="dxa"/>
                        <w:tcBorders>
                          <w:top w:val="nil"/>
                          <w:left w:val="nil"/>
                          <w:bottom w:val="nil"/>
                          <w:right w:val="nil"/>
                        </w:tcBorders>
                        <w:noWrap/>
                        <w:tcMar>
                          <w:top w:w="15" w:type="dxa"/>
                          <w:left w:w="15" w:type="dxa"/>
                          <w:bottom w:w="0" w:type="dxa"/>
                          <w:right w:w="15" w:type="dxa"/>
                        </w:tcMar>
                        <w:vAlign w:val="center"/>
                        <w:hideMark/>
                      </w:tcPr>
                      <w:p w14:paraId="280B84D1"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50</w:t>
                        </w:r>
                      </w:p>
                    </w:tc>
                    <w:tc>
                      <w:tcPr>
                        <w:tcW w:w="576" w:type="dxa"/>
                        <w:tcBorders>
                          <w:top w:val="nil"/>
                          <w:left w:val="nil"/>
                          <w:bottom w:val="nil"/>
                          <w:right w:val="nil"/>
                        </w:tcBorders>
                        <w:noWrap/>
                        <w:tcMar>
                          <w:top w:w="15" w:type="dxa"/>
                          <w:left w:w="15" w:type="dxa"/>
                          <w:bottom w:w="0" w:type="dxa"/>
                          <w:right w:w="15" w:type="dxa"/>
                        </w:tcMar>
                        <w:vAlign w:val="bottom"/>
                        <w:hideMark/>
                      </w:tcPr>
                      <w:p w14:paraId="5CF316C6" w14:textId="77777777" w:rsidR="005F1709" w:rsidRPr="00FA5DB5" w:rsidRDefault="005F1709">
                        <w:pPr>
                          <w:rPr>
                            <w:rFonts w:ascii="Calibri" w:hAnsi="Calibri"/>
                            <w:color w:val="000000"/>
                            <w:sz w:val="20"/>
                          </w:rPr>
                        </w:pPr>
                      </w:p>
                    </w:tc>
                    <w:tc>
                      <w:tcPr>
                        <w:tcW w:w="3168" w:type="dxa"/>
                        <w:tcBorders>
                          <w:top w:val="nil"/>
                          <w:left w:val="nil"/>
                          <w:bottom w:val="nil"/>
                          <w:right w:val="nil"/>
                        </w:tcBorders>
                        <w:noWrap/>
                        <w:tcMar>
                          <w:top w:w="15" w:type="dxa"/>
                          <w:left w:w="15" w:type="dxa"/>
                          <w:bottom w:w="0" w:type="dxa"/>
                          <w:right w:w="15" w:type="dxa"/>
                        </w:tcMar>
                        <w:vAlign w:val="center"/>
                        <w:hideMark/>
                      </w:tcPr>
                      <w:p w14:paraId="74BD8364" w14:textId="77777777" w:rsidR="005F1709" w:rsidRPr="00FA5DB5" w:rsidRDefault="005F1709" w:rsidP="00720BF3">
                        <w:pPr>
                          <w:jc w:val="left"/>
                          <w:rPr>
                            <w:rFonts w:ascii="Calibri" w:hAnsi="Calibri"/>
                            <w:color w:val="000000"/>
                            <w:sz w:val="20"/>
                          </w:rPr>
                        </w:pPr>
                        <w:r w:rsidRPr="00FA5DB5">
                          <w:rPr>
                            <w:rFonts w:ascii="Calibri" w:hAnsi="Calibri"/>
                            <w:color w:val="000000"/>
                            <w:sz w:val="20"/>
                          </w:rPr>
                          <w:t>4-year level payment equivalent</w:t>
                        </w:r>
                      </w:p>
                    </w:tc>
                    <w:tc>
                      <w:tcPr>
                        <w:tcW w:w="1008" w:type="dxa"/>
                        <w:tcBorders>
                          <w:top w:val="nil"/>
                          <w:left w:val="nil"/>
                          <w:bottom w:val="nil"/>
                          <w:right w:val="nil"/>
                        </w:tcBorders>
                        <w:noWrap/>
                        <w:tcMar>
                          <w:top w:w="15" w:type="dxa"/>
                          <w:left w:w="15" w:type="dxa"/>
                          <w:bottom w:w="0" w:type="dxa"/>
                          <w:right w:w="15" w:type="dxa"/>
                        </w:tcMar>
                        <w:vAlign w:val="center"/>
                        <w:hideMark/>
                      </w:tcPr>
                      <w:p w14:paraId="25668EE3"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$93.95</w:t>
                        </w:r>
                      </w:p>
                    </w:tc>
                    <w:tc>
                      <w:tcPr>
                        <w:tcW w:w="1008" w:type="dxa"/>
                        <w:tcBorders>
                          <w:top w:val="nil"/>
                          <w:left w:val="nil"/>
                          <w:bottom w:val="nil"/>
                          <w:right w:val="nil"/>
                        </w:tcBorders>
                        <w:noWrap/>
                        <w:tcMar>
                          <w:top w:w="15" w:type="dxa"/>
                          <w:left w:w="15" w:type="dxa"/>
                          <w:bottom w:w="0" w:type="dxa"/>
                          <w:right w:w="15" w:type="dxa"/>
                        </w:tcMar>
                        <w:vAlign w:val="center"/>
                        <w:hideMark/>
                      </w:tcPr>
                      <w:p w14:paraId="6A84622B"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$67.38</w:t>
                        </w:r>
                      </w:p>
                    </w:tc>
                  </w:tr>
                  <w:tr w:rsidR="005F1709" w:rsidRPr="00FA5DB5" w14:paraId="0303C3BE" w14:textId="77777777" w:rsidTr="00FA5DB5">
                    <w:trPr>
                      <w:trHeight w:val="20"/>
                    </w:trPr>
                    <w:tc>
                      <w:tcPr>
                        <w:tcW w:w="0" w:type="auto"/>
                        <w:tcBorders>
                          <w:top w:val="nil"/>
                          <w:left w:val="nil"/>
                          <w:bottom w:val="nil"/>
                          <w:right w:val="nil"/>
                        </w:tcBorders>
                        <w:noWrap/>
                        <w:tcMar>
                          <w:top w:w="15" w:type="dxa"/>
                          <w:left w:w="15" w:type="dxa"/>
                          <w:bottom w:w="0" w:type="dxa"/>
                          <w:right w:w="15" w:type="dxa"/>
                        </w:tcMar>
                        <w:vAlign w:val="center"/>
                        <w:hideMark/>
                      </w:tcPr>
                      <w:p w14:paraId="4F535A93"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4</w:t>
                        </w:r>
                      </w:p>
                    </w:tc>
                    <w:tc>
                      <w:tcPr>
                        <w:tcW w:w="720" w:type="dxa"/>
                        <w:tcBorders>
                          <w:top w:val="nil"/>
                          <w:left w:val="nil"/>
                          <w:bottom w:val="nil"/>
                          <w:right w:val="nil"/>
                        </w:tcBorders>
                        <w:noWrap/>
                        <w:tcMar>
                          <w:top w:w="15" w:type="dxa"/>
                          <w:left w:w="15" w:type="dxa"/>
                          <w:bottom w:w="0" w:type="dxa"/>
                          <w:right w:w="15" w:type="dxa"/>
                        </w:tcMar>
                        <w:vAlign w:val="center"/>
                        <w:hideMark/>
                      </w:tcPr>
                      <w:p w14:paraId="4BC6A021"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30</w:t>
                        </w:r>
                      </w:p>
                    </w:tc>
                    <w:tc>
                      <w:tcPr>
                        <w:tcW w:w="720" w:type="dxa"/>
                        <w:tcBorders>
                          <w:top w:val="nil"/>
                          <w:left w:val="nil"/>
                          <w:bottom w:val="nil"/>
                          <w:right w:val="nil"/>
                        </w:tcBorders>
                        <w:noWrap/>
                        <w:tcMar>
                          <w:top w:w="15" w:type="dxa"/>
                          <w:left w:w="15" w:type="dxa"/>
                          <w:bottom w:w="0" w:type="dxa"/>
                          <w:right w:w="15" w:type="dxa"/>
                        </w:tcMar>
                        <w:vAlign w:val="center"/>
                        <w:hideMark/>
                      </w:tcPr>
                      <w:p w14:paraId="1DF9ECF4" w14:textId="77777777" w:rsidR="005F1709" w:rsidRPr="00FA5DB5" w:rsidRDefault="005F1709" w:rsidP="00720BF3">
                        <w:pPr>
                          <w:jc w:val="center"/>
                          <w:rPr>
                            <w:rFonts w:ascii="Calibri" w:hAnsi="Calibri"/>
                            <w:color w:val="000000"/>
                            <w:sz w:val="20"/>
                          </w:rPr>
                        </w:pPr>
                      </w:p>
                    </w:tc>
                    <w:tc>
                      <w:tcPr>
                        <w:tcW w:w="576" w:type="dxa"/>
                        <w:tcBorders>
                          <w:top w:val="nil"/>
                          <w:left w:val="nil"/>
                          <w:bottom w:val="nil"/>
                          <w:right w:val="nil"/>
                        </w:tcBorders>
                        <w:noWrap/>
                        <w:tcMar>
                          <w:top w:w="15" w:type="dxa"/>
                          <w:left w:w="15" w:type="dxa"/>
                          <w:bottom w:w="0" w:type="dxa"/>
                          <w:right w:w="15" w:type="dxa"/>
                        </w:tcMar>
                        <w:vAlign w:val="bottom"/>
                        <w:hideMark/>
                      </w:tcPr>
                      <w:p w14:paraId="180413C0" w14:textId="77777777" w:rsidR="005F1709" w:rsidRPr="00FA5DB5" w:rsidRDefault="005F1709">
                        <w:pPr>
                          <w:rPr>
                            <w:rFonts w:ascii="Calibri" w:hAnsi="Calibri"/>
                            <w:color w:val="000000"/>
                            <w:sz w:val="20"/>
                          </w:rPr>
                        </w:pPr>
                      </w:p>
                    </w:tc>
                    <w:tc>
                      <w:tcPr>
                        <w:tcW w:w="3168" w:type="dxa"/>
                        <w:tcBorders>
                          <w:top w:val="nil"/>
                          <w:left w:val="nil"/>
                          <w:bottom w:val="nil"/>
                          <w:right w:val="nil"/>
                        </w:tcBorders>
                        <w:noWrap/>
                        <w:tcMar>
                          <w:top w:w="15" w:type="dxa"/>
                          <w:left w:w="15" w:type="dxa"/>
                          <w:bottom w:w="0" w:type="dxa"/>
                          <w:right w:w="15" w:type="dxa"/>
                        </w:tcMar>
                        <w:vAlign w:val="center"/>
                        <w:hideMark/>
                      </w:tcPr>
                      <w:p w14:paraId="6F766EAF" w14:textId="77777777" w:rsidR="005F1709" w:rsidRPr="00FA5DB5" w:rsidRDefault="005F1709" w:rsidP="00720BF3">
                        <w:pPr>
                          <w:jc w:val="left"/>
                          <w:rPr>
                            <w:rFonts w:ascii="Calibri" w:hAnsi="Calibri"/>
                            <w:color w:val="000000"/>
                            <w:sz w:val="20"/>
                          </w:rPr>
                        </w:pPr>
                        <w:r w:rsidRPr="00FA5DB5">
                          <w:rPr>
                            <w:rFonts w:ascii="Calibri" w:hAnsi="Calibri"/>
                            <w:color w:val="000000"/>
                            <w:sz w:val="20"/>
                          </w:rPr>
                          <w:t>3-year level payment equivalent</w:t>
                        </w:r>
                      </w:p>
                    </w:tc>
                    <w:tc>
                      <w:tcPr>
                        <w:tcW w:w="1008" w:type="dxa"/>
                        <w:tcBorders>
                          <w:top w:val="nil"/>
                          <w:left w:val="nil"/>
                          <w:bottom w:val="nil"/>
                          <w:right w:val="nil"/>
                        </w:tcBorders>
                        <w:noWrap/>
                        <w:tcMar>
                          <w:top w:w="15" w:type="dxa"/>
                          <w:left w:w="15" w:type="dxa"/>
                          <w:bottom w:w="0" w:type="dxa"/>
                          <w:right w:w="15" w:type="dxa"/>
                        </w:tcMar>
                        <w:vAlign w:val="center"/>
                        <w:hideMark/>
                      </w:tcPr>
                      <w:p w14:paraId="2D8129C9"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$119.75</w:t>
                        </w:r>
                      </w:p>
                    </w:tc>
                    <w:tc>
                      <w:tcPr>
                        <w:tcW w:w="1008" w:type="dxa"/>
                        <w:tcBorders>
                          <w:top w:val="nil"/>
                          <w:left w:val="nil"/>
                          <w:bottom w:val="nil"/>
                          <w:right w:val="nil"/>
                        </w:tcBorders>
                        <w:noWrap/>
                        <w:tcMar>
                          <w:top w:w="15" w:type="dxa"/>
                          <w:left w:w="15" w:type="dxa"/>
                          <w:bottom w:w="0" w:type="dxa"/>
                          <w:right w:w="15" w:type="dxa"/>
                        </w:tcMar>
                        <w:vAlign w:val="center"/>
                        <w:hideMark/>
                      </w:tcPr>
                      <w:p w14:paraId="4F2CC163" w14:textId="77777777" w:rsidR="005F1709" w:rsidRPr="00FA5DB5" w:rsidRDefault="005F1709" w:rsidP="00720BF3">
                        <w:pPr>
                          <w:jc w:val="center"/>
                          <w:rPr>
                            <w:rFonts w:ascii="Calibri" w:hAnsi="Calibri"/>
                            <w:b/>
                            <w:bCs/>
                            <w:color w:val="000000"/>
                            <w:sz w:val="20"/>
                          </w:rPr>
                        </w:pPr>
                        <w:r w:rsidRPr="00FA5DB5">
                          <w:rPr>
                            <w:rFonts w:ascii="Calibri" w:hAnsi="Calibri"/>
                            <w:b/>
                            <w:bCs/>
                            <w:color w:val="000000"/>
                            <w:sz w:val="20"/>
                          </w:rPr>
                          <w:t>$85.89</w:t>
                        </w:r>
                      </w:p>
                    </w:tc>
                  </w:tr>
                  <w:tr w:rsidR="005F1709" w:rsidRPr="00FA5DB5" w14:paraId="7C96E096" w14:textId="77777777" w:rsidTr="00FA5DB5">
                    <w:trPr>
                      <w:trHeight w:val="20"/>
                    </w:trPr>
                    <w:tc>
                      <w:tcPr>
                        <w:tcW w:w="0" w:type="auto"/>
                        <w:tcBorders>
                          <w:top w:val="nil"/>
                          <w:left w:val="nil"/>
                          <w:bottom w:val="nil"/>
                          <w:right w:val="nil"/>
                        </w:tcBorders>
                        <w:noWrap/>
                        <w:tcMar>
                          <w:top w:w="15" w:type="dxa"/>
                          <w:left w:w="15" w:type="dxa"/>
                          <w:bottom w:w="0" w:type="dxa"/>
                          <w:right w:w="15" w:type="dxa"/>
                        </w:tcMar>
                        <w:vAlign w:val="center"/>
                        <w:hideMark/>
                      </w:tcPr>
                      <w:p w14:paraId="4278FC28"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5</w:t>
                        </w:r>
                      </w:p>
                    </w:tc>
                    <w:tc>
                      <w:tcPr>
                        <w:tcW w:w="720" w:type="dxa"/>
                        <w:tcBorders>
                          <w:top w:val="nil"/>
                          <w:left w:val="nil"/>
                          <w:bottom w:val="nil"/>
                          <w:right w:val="nil"/>
                        </w:tcBorders>
                        <w:noWrap/>
                        <w:tcMar>
                          <w:top w:w="15" w:type="dxa"/>
                          <w:left w:w="15" w:type="dxa"/>
                          <w:bottom w:w="0" w:type="dxa"/>
                          <w:right w:w="15" w:type="dxa"/>
                        </w:tcMar>
                        <w:vAlign w:val="center"/>
                        <w:hideMark/>
                      </w:tcPr>
                      <w:p w14:paraId="366E63D9" w14:textId="77777777" w:rsidR="005F1709" w:rsidRPr="00FA5DB5" w:rsidRDefault="005F1709" w:rsidP="00720BF3">
                        <w:pPr>
                          <w:jc w:val="center"/>
                          <w:rPr>
                            <w:rFonts w:ascii="Calibri" w:hAnsi="Calibri"/>
                            <w:color w:val="000000"/>
                            <w:sz w:val="20"/>
                          </w:rPr>
                        </w:pPr>
                        <w:r w:rsidRPr="00FA5DB5">
                          <w:rPr>
                            <w:rFonts w:ascii="Calibri" w:hAnsi="Calibri"/>
                            <w:color w:val="000000"/>
                            <w:sz w:val="20"/>
                          </w:rPr>
                          <w:t>80</w:t>
                        </w:r>
                      </w:p>
                    </w:tc>
                    <w:tc>
                      <w:tcPr>
                        <w:tcW w:w="720" w:type="dxa"/>
                        <w:tcBorders>
                          <w:top w:val="nil"/>
                          <w:left w:val="nil"/>
                          <w:bottom w:val="nil"/>
                          <w:right w:val="nil"/>
                        </w:tcBorders>
                        <w:noWrap/>
                        <w:tcMar>
                          <w:top w:w="15" w:type="dxa"/>
                          <w:left w:w="15" w:type="dxa"/>
                          <w:bottom w:w="0" w:type="dxa"/>
                          <w:right w:w="15" w:type="dxa"/>
                        </w:tcMar>
                        <w:vAlign w:val="center"/>
                        <w:hideMark/>
                      </w:tcPr>
                      <w:p w14:paraId="43F95A18" w14:textId="77777777" w:rsidR="005F1709" w:rsidRPr="00FA5DB5" w:rsidRDefault="005F1709" w:rsidP="00720BF3">
                        <w:pPr>
                          <w:jc w:val="center"/>
                          <w:rPr>
                            <w:rFonts w:ascii="Calibri" w:hAnsi="Calibri"/>
                            <w:color w:val="000000"/>
                            <w:sz w:val="20"/>
                          </w:rPr>
                        </w:pPr>
                      </w:p>
                    </w:tc>
                    <w:tc>
                      <w:tcPr>
                        <w:tcW w:w="576" w:type="dxa"/>
                        <w:tcBorders>
                          <w:top w:val="nil"/>
                          <w:left w:val="nil"/>
                          <w:bottom w:val="nil"/>
                          <w:right w:val="nil"/>
                        </w:tcBorders>
                        <w:noWrap/>
                        <w:tcMar>
                          <w:top w:w="15" w:type="dxa"/>
                          <w:left w:w="15" w:type="dxa"/>
                          <w:bottom w:w="0" w:type="dxa"/>
                          <w:right w:w="15" w:type="dxa"/>
                        </w:tcMar>
                        <w:vAlign w:val="bottom"/>
                        <w:hideMark/>
                      </w:tcPr>
                      <w:p w14:paraId="50021186" w14:textId="77777777" w:rsidR="005F1709" w:rsidRPr="00FA5DB5" w:rsidRDefault="005F1709">
                        <w:pPr>
                          <w:rPr>
                            <w:rFonts w:ascii="Calibri" w:hAnsi="Calibri"/>
                            <w:color w:val="000000"/>
                            <w:sz w:val="20"/>
                          </w:rPr>
                        </w:pPr>
                      </w:p>
                    </w:tc>
                    <w:tc>
                      <w:tcPr>
                        <w:tcW w:w="3168" w:type="dxa"/>
                        <w:tcBorders>
                          <w:top w:val="nil"/>
                          <w:left w:val="nil"/>
                          <w:bottom w:val="nil"/>
                          <w:right w:val="nil"/>
                        </w:tcBorders>
                        <w:noWrap/>
                        <w:tcMar>
                          <w:top w:w="15" w:type="dxa"/>
                          <w:left w:w="15" w:type="dxa"/>
                          <w:bottom w:w="0" w:type="dxa"/>
                          <w:right w:w="15" w:type="dxa"/>
                        </w:tcMar>
                        <w:vAlign w:val="bottom"/>
                        <w:hideMark/>
                      </w:tcPr>
                      <w:p w14:paraId="7A673477" w14:textId="77777777" w:rsidR="005F1709" w:rsidRPr="00FA5DB5" w:rsidRDefault="005F1709">
                        <w:pPr>
                          <w:rPr>
                            <w:rFonts w:ascii="Calibri" w:hAnsi="Calibri"/>
                            <w:color w:val="000000"/>
                            <w:sz w:val="20"/>
                          </w:rPr>
                        </w:pPr>
                      </w:p>
                    </w:tc>
                    <w:tc>
                      <w:tcPr>
                        <w:tcW w:w="1008" w:type="dxa"/>
                        <w:tcBorders>
                          <w:top w:val="nil"/>
                          <w:left w:val="nil"/>
                          <w:bottom w:val="nil"/>
                          <w:right w:val="nil"/>
                        </w:tcBorders>
                        <w:noWrap/>
                        <w:tcMar>
                          <w:top w:w="15" w:type="dxa"/>
                          <w:left w:w="15" w:type="dxa"/>
                          <w:bottom w:w="0" w:type="dxa"/>
                          <w:right w:w="15" w:type="dxa"/>
                        </w:tcMar>
                        <w:vAlign w:val="bottom"/>
                        <w:hideMark/>
                      </w:tcPr>
                      <w:p w14:paraId="6454C3EC" w14:textId="77777777" w:rsidR="005F1709" w:rsidRPr="00FA5DB5" w:rsidRDefault="005F1709">
                        <w:pPr>
                          <w:rPr>
                            <w:rFonts w:ascii="Calibri" w:hAnsi="Calibri"/>
                            <w:color w:val="000000"/>
                            <w:sz w:val="20"/>
                          </w:rPr>
                        </w:pPr>
                      </w:p>
                    </w:tc>
                    <w:tc>
                      <w:tcPr>
                        <w:tcW w:w="1008" w:type="dxa"/>
                        <w:tcBorders>
                          <w:top w:val="nil"/>
                          <w:left w:val="nil"/>
                          <w:bottom w:val="nil"/>
                          <w:right w:val="nil"/>
                        </w:tcBorders>
                        <w:noWrap/>
                        <w:tcMar>
                          <w:top w:w="15" w:type="dxa"/>
                          <w:left w:w="15" w:type="dxa"/>
                          <w:bottom w:w="0" w:type="dxa"/>
                          <w:right w:w="15" w:type="dxa"/>
                        </w:tcMar>
                        <w:vAlign w:val="bottom"/>
                        <w:hideMark/>
                      </w:tcPr>
                      <w:p w14:paraId="22ED16F8" w14:textId="77777777" w:rsidR="005F1709" w:rsidRPr="00FA5DB5" w:rsidRDefault="005F1709">
                        <w:pPr>
                          <w:rPr>
                            <w:rFonts w:ascii="Calibri" w:hAnsi="Calibri"/>
                            <w:color w:val="000000"/>
                            <w:sz w:val="20"/>
                          </w:rPr>
                        </w:pPr>
                      </w:p>
                    </w:tc>
                  </w:tr>
                </w:tbl>
                <w:p w14:paraId="4332D90C" w14:textId="77777777" w:rsidR="005F1709" w:rsidRDefault="005F1709"/>
              </w:txbxContent>
            </v:textbox>
            <w10:wrap type="topAndBottom"/>
          </v:shape>
        </w:pict>
      </w:r>
      <w:r w:rsidR="00033B57">
        <w:t xml:space="preserve">Matching the payment stream length to the project length is also important in comparing streams of unequal length. </w:t>
      </w:r>
      <w:r w:rsidR="00652FDE">
        <w:t xml:space="preserve">For example, consider the two payment streams L and S, shown in </w:t>
      </w:r>
      <w:r w:rsidR="006F1FA3">
        <w:fldChar w:fldCharType="begin"/>
      </w:r>
      <w:r w:rsidR="00652FDE">
        <w:instrText xml:space="preserve"> REF _Ref257820140 \h </w:instrText>
      </w:r>
      <w:r w:rsidR="006F1FA3">
        <w:fldChar w:fldCharType="separate"/>
      </w:r>
      <w:r w:rsidR="00BD190A">
        <w:t xml:space="preserve">Exhibit </w:t>
      </w:r>
      <w:r w:rsidR="00BD190A">
        <w:rPr>
          <w:noProof/>
        </w:rPr>
        <w:t>2</w:t>
      </w:r>
      <w:r w:rsidR="006F1FA3">
        <w:fldChar w:fldCharType="end"/>
      </w:r>
      <w:r w:rsidR="00652FDE">
        <w:t xml:space="preserve">. Stream L is the same stream analyzed </w:t>
      </w:r>
      <w:proofErr w:type="gramStart"/>
      <w:r w:rsidR="00652FDE">
        <w:t>above</w:t>
      </w:r>
      <w:proofErr w:type="gramEnd"/>
      <w:r w:rsidR="00652FDE">
        <w:t xml:space="preserve"> and S is a shorter 3-year stream. </w:t>
      </w:r>
      <w:r w:rsidR="00DC68E5">
        <w:t xml:space="preserve">If these payment streams were the whole </w:t>
      </w:r>
      <w:proofErr w:type="gramStart"/>
      <w:r w:rsidR="00DC68E5">
        <w:t>story—</w:t>
      </w:r>
      <w:proofErr w:type="gramEnd"/>
      <w:r w:rsidR="00DC68E5">
        <w:t>if nothing else happened in the future—then it would be proper to compare their present values. Or to compare their annuity values for the same periods of time. That is, compare the equivalent 3-year annuities for both</w:t>
      </w:r>
      <w:r w:rsidR="00EA3C16">
        <w:t xml:space="preserve">—the annuity values are proportional to </w:t>
      </w:r>
      <w:r w:rsidR="00EA3C16">
        <w:lastRenderedPageBreak/>
        <w:t>the present values</w:t>
      </w:r>
      <w:r w:rsidR="00DC68E5">
        <w:t xml:space="preserve">. The present value of L is </w:t>
      </w:r>
      <w:r w:rsidR="00EA3C16">
        <w:t xml:space="preserve">larger </w:t>
      </w:r>
      <w:r w:rsidR="00DC68E5">
        <w:t>and so are its equivalent level annuity payments for any length of time (78.6 &gt; 56.3 and 94 &gt; 67.4 and 119.8 &gt; 85.9).</w:t>
      </w:r>
    </w:p>
    <w:p w14:paraId="35824203" w14:textId="77777777" w:rsidR="00DC68E5" w:rsidRDefault="00DC68E5" w:rsidP="001C02FB">
      <w:r>
        <w:t>But suppose that these patterns will be repeated in the future. That is, after 5 years</w:t>
      </w:r>
      <w:r w:rsidR="00033B57">
        <w:t xml:space="preserve">, </w:t>
      </w:r>
      <w:r>
        <w:t>we can receive payment pattern L again</w:t>
      </w:r>
      <w:r w:rsidR="00033B57">
        <w:t xml:space="preserve">, and then again </w:t>
      </w:r>
      <w:r w:rsidR="00720BF3">
        <w:t xml:space="preserve">after 5 more years, </w:t>
      </w:r>
      <w:r w:rsidR="00033B57">
        <w:t>and so on</w:t>
      </w:r>
      <w:r>
        <w:t xml:space="preserve">. And the same with pattern S. </w:t>
      </w:r>
      <w:r w:rsidRPr="00720BF3">
        <w:rPr>
          <w:i/>
        </w:rPr>
        <w:t>Then the appropriate comparison is between the level payment annuities of corresponding pattern lengths</w:t>
      </w:r>
      <w:r>
        <w:t xml:space="preserve">. That is, the 5-year level payments for stream L should be compared to the 3-year level payments for stream S. </w:t>
      </w:r>
      <w:r w:rsidR="00720BF3">
        <w:t xml:space="preserve">Doing so flips the result, and </w:t>
      </w:r>
      <w:r>
        <w:t xml:space="preserve">stream L </w:t>
      </w:r>
      <w:r w:rsidR="00720BF3">
        <w:t>is</w:t>
      </w:r>
      <w:r>
        <w:t xml:space="preserve"> more valuable (85.9 &gt; 78.6). </w:t>
      </w:r>
      <w:r w:rsidR="00F539C8">
        <w:t>T</w:t>
      </w:r>
      <w:r>
        <w:t xml:space="preserve">he intuition is straightforward. If pattern L is equivalent to receiving </w:t>
      </w:r>
      <w:r w:rsidR="008223DF">
        <w:t>$</w:t>
      </w:r>
      <w:r>
        <w:t xml:space="preserve">78.6 per year for each of 5 years, then repeating it </w:t>
      </w:r>
      <w:proofErr w:type="gramStart"/>
      <w:r>
        <w:t>over and over again</w:t>
      </w:r>
      <w:proofErr w:type="gramEnd"/>
      <w:r>
        <w:t xml:space="preserve"> is equivalent to receiving </w:t>
      </w:r>
      <w:r w:rsidR="008223DF">
        <w:t>$</w:t>
      </w:r>
      <w:r>
        <w:t xml:space="preserve">78.6 each year forever. </w:t>
      </w:r>
      <w:r w:rsidR="00F539C8">
        <w:t xml:space="preserve">And repeating pattern L </w:t>
      </w:r>
      <w:proofErr w:type="gramStart"/>
      <w:r w:rsidR="00F539C8">
        <w:t>over and over again</w:t>
      </w:r>
      <w:proofErr w:type="gramEnd"/>
      <w:r w:rsidR="00F539C8">
        <w:t xml:space="preserve"> is equivalent to receiving </w:t>
      </w:r>
      <w:r w:rsidR="008223DF">
        <w:t>$</w:t>
      </w:r>
      <w:r w:rsidR="00F539C8">
        <w:t xml:space="preserve">85.9 each year forever. </w:t>
      </w:r>
    </w:p>
    <w:p w14:paraId="612B4CEC" w14:textId="77777777" w:rsidR="00720BF3" w:rsidRDefault="00F539C8" w:rsidP="001C02FB">
      <w:r>
        <w:t xml:space="preserve">This kind of reasoning often arises in capital projects. For example, a business </w:t>
      </w:r>
      <w:proofErr w:type="gramStart"/>
      <w:r>
        <w:t>my</w:t>
      </w:r>
      <w:proofErr w:type="gramEnd"/>
      <w:r>
        <w:t xml:space="preserve"> consider building a large facility which will last for 20 years. The present value of the </w:t>
      </w:r>
      <w:proofErr w:type="gramStart"/>
      <w:r>
        <w:t>expenditures</w:t>
      </w:r>
      <w:proofErr w:type="gramEnd"/>
      <w:r>
        <w:t xml:space="preserve"> and </w:t>
      </w:r>
      <w:proofErr w:type="gramStart"/>
      <w:r>
        <w:t>investments</w:t>
      </w:r>
      <w:proofErr w:type="gramEnd"/>
      <w:r>
        <w:t xml:space="preserve"> associated with the project has been computed to be $100 million (the discount rate is 10%). But what should be the terminal “cost?” That is, what costs should be expected to be incurred in years 21, 22 and so on? </w:t>
      </w:r>
      <w:r w:rsidR="00720BF3">
        <w:t xml:space="preserve">This is called the “terminal value” assumption. </w:t>
      </w:r>
      <w:r w:rsidR="00BD190A">
        <w:t xml:space="preserve">We know that the project has implications for future cash flows beyond the end date of the analysis, but what are they? </w:t>
      </w:r>
      <w:r w:rsidR="00720BF3">
        <w:t xml:space="preserve">Very often one sees analysts inserting a terminal “book value” of assets </w:t>
      </w:r>
      <w:r w:rsidR="00BD190A">
        <w:t xml:space="preserve">as a terminal value. Or the present value of perpetual payments equal to </w:t>
      </w:r>
      <w:proofErr w:type="gramStart"/>
      <w:r w:rsidR="00BD190A">
        <w:t>the last</w:t>
      </w:r>
      <w:proofErr w:type="gramEnd"/>
      <w:r w:rsidR="00BD190A">
        <w:t xml:space="preserve"> year’s income. Very often, a better assumption is that the project will simply repeat, </w:t>
      </w:r>
      <w:proofErr w:type="gramStart"/>
      <w:r w:rsidR="00BD190A">
        <w:t>over and over again</w:t>
      </w:r>
      <w:proofErr w:type="gramEnd"/>
      <w:r w:rsidR="00BD190A">
        <w:t xml:space="preserve">. This rough assumption at least anticipates subsequent capital expenditures. </w:t>
      </w:r>
    </w:p>
    <w:p w14:paraId="5532DFC9" w14:textId="77777777" w:rsidR="00E55196" w:rsidRDefault="00E55196" w:rsidP="001C02FB">
      <w:r>
        <w:t xml:space="preserve">In </w:t>
      </w:r>
      <w:r w:rsidR="00BD190A">
        <w:t>the case at hand the NPV of the 20-year project is $100 million. T</w:t>
      </w:r>
      <w:r>
        <w:t xml:space="preserve">he 20-year equivalent annuity amount for this is </w:t>
      </w:r>
      <w:proofErr w:type="gramStart"/>
      <w:r>
        <w:t>PMT(</w:t>
      </w:r>
      <w:proofErr w:type="gramEnd"/>
      <w:r>
        <w:t>.1,</w:t>
      </w:r>
      <w:proofErr w:type="gramStart"/>
      <w:r>
        <w:t>20,-</w:t>
      </w:r>
      <w:proofErr w:type="gramEnd"/>
      <w:r>
        <w:t xml:space="preserve">100) = $11.746 per year. Paying this much each year for </w:t>
      </w:r>
      <w:proofErr w:type="gramStart"/>
      <w:r>
        <w:t>20-years</w:t>
      </w:r>
      <w:proofErr w:type="gramEnd"/>
      <w:r>
        <w:t xml:space="preserve"> is just </w:t>
      </w:r>
      <w:proofErr w:type="gramStart"/>
      <w:r>
        <w:t>a costly</w:t>
      </w:r>
      <w:proofErr w:type="gramEnd"/>
      <w:r>
        <w:t xml:space="preserve"> as doing the project. If we were to then do the project again, </w:t>
      </w:r>
      <w:proofErr w:type="gramStart"/>
      <w:r>
        <w:t>over and over again</w:t>
      </w:r>
      <w:proofErr w:type="gramEnd"/>
      <w:r>
        <w:t xml:space="preserve"> every 20 years, it would be equivalent to paying $11.746 per year forever. We could use that figure to compare it to a project of a different life and cost. </w:t>
      </w:r>
      <w:proofErr w:type="gramStart"/>
      <w:r>
        <w:t>Or,</w:t>
      </w:r>
      <w:proofErr w:type="gramEnd"/>
      <w:r>
        <w:t xml:space="preserve"> we can convert it into a “terminal cost”—the present value of paying $11.746 million each year forever is 11.746/.1 = $117.46 million.</w:t>
      </w:r>
    </w:p>
    <w:p w14:paraId="1BC00AFF" w14:textId="77777777" w:rsidR="001C02FB" w:rsidRDefault="00A508F8" w:rsidP="001C02FB">
      <w:pPr>
        <w:pStyle w:val="Heading3"/>
      </w:pPr>
      <w:r>
        <w:t>Taxes</w:t>
      </w:r>
      <w:r w:rsidR="00422FED">
        <w:t>, No-Profit Leases</w:t>
      </w:r>
      <w:r w:rsidR="007C4B99">
        <w:t>, and Depreciation</w:t>
      </w:r>
    </w:p>
    <w:p w14:paraId="31729E79" w14:textId="77777777" w:rsidR="001C02FB" w:rsidRDefault="001C02FB" w:rsidP="001C02FB">
      <w:r>
        <w:t xml:space="preserve">The average U.S. </w:t>
      </w:r>
      <w:r w:rsidR="00F63774">
        <w:t>business</w:t>
      </w:r>
      <w:r>
        <w:t xml:space="preserve"> pays federal and state income taxes at about a </w:t>
      </w:r>
      <w:r w:rsidR="00A508F8">
        <w:t>38</w:t>
      </w:r>
      <w:r>
        <w:t>% marginal rate.</w:t>
      </w:r>
      <w:r>
        <w:rPr>
          <w:rStyle w:val="FootnoteReference"/>
        </w:rPr>
        <w:footnoteReference w:id="1"/>
      </w:r>
      <w:r>
        <w:t xml:space="preserve">  Make sure you understand this simple equation (</w:t>
      </w:r>
      <w:r>
        <w:rPr>
          <w:i/>
          <w:iCs/>
        </w:rPr>
        <w:t>T</w:t>
      </w:r>
      <w:r>
        <w:t xml:space="preserve"> is the tax rate):</w:t>
      </w:r>
    </w:p>
    <w:p w14:paraId="15364686" w14:textId="77777777" w:rsidR="001C02FB" w:rsidRDefault="001C02FB" w:rsidP="001C02FB">
      <w:r>
        <w:t>{</w:t>
      </w:r>
      <w:r w:rsidR="00422FED">
        <w:t xml:space="preserve">After-Tax Cash Flow </w:t>
      </w:r>
      <w:proofErr w:type="gramStart"/>
      <w:r w:rsidR="00422FED">
        <w:t>Impact</w:t>
      </w:r>
      <w:r>
        <w:t>}  =</w:t>
      </w:r>
      <w:proofErr w:type="gramEnd"/>
      <w:r>
        <w:t xml:space="preserve"> (1 – </w:t>
      </w:r>
      <w:r w:rsidRPr="00422FED">
        <w:rPr>
          <w:i/>
        </w:rPr>
        <w:t>T</w:t>
      </w:r>
      <w:r>
        <w:t>) {Pre-Tax Income</w:t>
      </w:r>
      <w:r w:rsidR="00422FED">
        <w:t xml:space="preserve"> or Expense</w:t>
      </w:r>
      <w:r>
        <w:t>}.</w:t>
      </w:r>
    </w:p>
    <w:p w14:paraId="5E3C4FDB" w14:textId="77777777" w:rsidR="00422FED" w:rsidRDefault="00422FED" w:rsidP="001C02FB">
      <w:pPr>
        <w:pStyle w:val="nodent"/>
      </w:pPr>
      <w:r>
        <w:t xml:space="preserve">This seems so </w:t>
      </w:r>
      <w:proofErr w:type="gramStart"/>
      <w:r>
        <w:t>simple</w:t>
      </w:r>
      <w:proofErr w:type="gramEnd"/>
      <w:r>
        <w:t xml:space="preserve"> it hardly merits attention. But the converse relationship is also true and can lead easily to </w:t>
      </w:r>
      <w:r w:rsidR="00F63774">
        <w:t>confusion</w:t>
      </w:r>
      <w:r>
        <w:t>:</w:t>
      </w:r>
    </w:p>
    <w:p w14:paraId="4AD061D8" w14:textId="77777777" w:rsidR="00422FED" w:rsidRDefault="00422FED" w:rsidP="00422FED">
      <w:pPr>
        <w:pStyle w:val="MTDisplayEquation"/>
      </w:pPr>
      <w:r>
        <w:lastRenderedPageBreak/>
        <w:tab/>
      </w:r>
      <w:r w:rsidRPr="00422FED">
        <w:rPr>
          <w:position w:val="-24"/>
        </w:rPr>
        <w:object w:dxaOrig="6100" w:dyaOrig="620" w14:anchorId="5314DF8B">
          <v:shape id="_x0000_i1029" type="#_x0000_t75" style="width:305.25pt;height:30.75pt" o:ole="">
            <v:imagedata r:id="rId15" o:title=""/>
          </v:shape>
          <o:OLEObject Type="Embed" ProgID="Equation.DSMT4" ShapeID="_x0000_i1029" DrawAspect="Content" ObjectID="_1837604427" r:id="rId16"/>
        </w:object>
      </w:r>
      <w:r>
        <w:tab/>
      </w:r>
      <w:r w:rsidR="006F1FA3">
        <w:fldChar w:fldCharType="begin"/>
      </w:r>
      <w:r>
        <w:instrText xml:space="preserve"> MACROBUTTON MTPlaceRef \* MERGEFORMAT </w:instrText>
      </w:r>
      <w:r w:rsidR="006F1FA3">
        <w:fldChar w:fldCharType="begin"/>
      </w:r>
      <w:r>
        <w:instrText xml:space="preserve"> SEQ MTEqn \h \* MERGEFORMAT </w:instrText>
      </w:r>
      <w:r w:rsidR="006F1FA3">
        <w:fldChar w:fldCharType="end"/>
      </w:r>
      <w:r>
        <w:instrText>(</w:instrText>
      </w:r>
      <w:fldSimple w:instr=" SEQ MTEqn \c \* Arabic \* MERGEFORMAT ">
        <w:r w:rsidR="00BD190A">
          <w:rPr>
            <w:noProof/>
          </w:rPr>
          <w:instrText>2</w:instrText>
        </w:r>
      </w:fldSimple>
      <w:r>
        <w:instrText>)</w:instrText>
      </w:r>
      <w:r w:rsidR="006F1FA3">
        <w:fldChar w:fldCharType="end"/>
      </w:r>
    </w:p>
    <w:p w14:paraId="37467AC7" w14:textId="77777777" w:rsidR="00724296" w:rsidRDefault="00422FED" w:rsidP="001C02FB">
      <w:pPr>
        <w:pStyle w:val="nodent"/>
      </w:pPr>
      <w:r>
        <w:t xml:space="preserve">Suppose, for instance, that the analyst </w:t>
      </w:r>
      <w:r w:rsidR="00724296">
        <w:t xml:space="preserve">wants to compare leasing a facility for $18 million per year versus building it for $100 million (for the moment, assume that $100 million is the NPV of capital </w:t>
      </w:r>
      <w:proofErr w:type="gramStart"/>
      <w:r w:rsidR="00724296">
        <w:t>expenditures</w:t>
      </w:r>
      <w:proofErr w:type="gramEnd"/>
      <w:r w:rsidR="00724296">
        <w:t xml:space="preserve"> and that there are no expenses involved.) The facility will last about 20 years.  As we computed in the example in the previous section, the 20-year finite annuity equivalent to </w:t>
      </w:r>
      <w:proofErr w:type="gramStart"/>
      <w:r w:rsidR="00724296">
        <w:t>the $</w:t>
      </w:r>
      <w:proofErr w:type="gramEnd"/>
      <w:r w:rsidR="00724296">
        <w:t xml:space="preserve">100 million is $11.746 million per year. But it is not valid to compare the $18 million lease price to this $11.746 annuity. </w:t>
      </w:r>
      <w:r w:rsidR="00033B57">
        <w:t xml:space="preserve">Rental and lease expenses are </w:t>
      </w:r>
      <w:r w:rsidR="00724296">
        <w:t xml:space="preserve">tax deductable and capital expenditures are not. Thus, </w:t>
      </w:r>
      <w:r w:rsidR="00F63774">
        <w:t xml:space="preserve">the analyst </w:t>
      </w:r>
      <w:r w:rsidR="00724296">
        <w:t xml:space="preserve">should either compare </w:t>
      </w:r>
      <w:r w:rsidR="00033B57">
        <w:t xml:space="preserve">the after-tax cash flows of </w:t>
      </w:r>
      <w:r w:rsidR="00724296">
        <w:t>(1-</w:t>
      </w:r>
      <w:proofErr w:type="gramStart"/>
      <w:r w:rsidR="00724296">
        <w:t>T)(</w:t>
      </w:r>
      <w:proofErr w:type="gramEnd"/>
      <w:r w:rsidR="00724296">
        <w:t xml:space="preserve">18) to 11.746 or </w:t>
      </w:r>
      <w:r w:rsidR="00033B57">
        <w:t xml:space="preserve">the pre-tax income/expense numbers of </w:t>
      </w:r>
      <w:r w:rsidR="00724296">
        <w:t xml:space="preserve">18 </w:t>
      </w:r>
      <w:r w:rsidR="00033B57">
        <w:t>and</w:t>
      </w:r>
      <w:r w:rsidR="00724296">
        <w:t xml:space="preserve"> 11.746/(1-T). </w:t>
      </w:r>
      <w:r w:rsidR="00033B57">
        <w:t xml:space="preserve">Both </w:t>
      </w:r>
      <w:proofErr w:type="gramStart"/>
      <w:r w:rsidR="00033B57">
        <w:t>comparison</w:t>
      </w:r>
      <w:proofErr w:type="gramEnd"/>
      <w:r w:rsidR="00033B57">
        <w:t xml:space="preserve"> are valid, they only differ by a scale factor. I</w:t>
      </w:r>
      <w:r w:rsidR="00724296">
        <w:t xml:space="preserve">n both cases, the lease is cheaper. </w:t>
      </w:r>
      <w:proofErr w:type="gramStart"/>
      <w:r w:rsidR="00724296">
        <w:t>But,</w:t>
      </w:r>
      <w:proofErr w:type="gramEnd"/>
      <w:r w:rsidR="00724296">
        <w:t xml:space="preserve"> the </w:t>
      </w:r>
      <w:r w:rsidR="00033B57">
        <w:t xml:space="preserve">pre-tax approach is </w:t>
      </w:r>
      <w:r w:rsidR="00724296">
        <w:t>the better way to do it.</w:t>
      </w:r>
    </w:p>
    <w:p w14:paraId="25E0FFEF" w14:textId="77777777" w:rsidR="00C25C64" w:rsidRDefault="00033B57" w:rsidP="001C02FB">
      <w:pPr>
        <w:pStyle w:val="nodent"/>
      </w:pPr>
      <w:r>
        <w:t xml:space="preserve">In computing </w:t>
      </w:r>
      <w:proofErr w:type="gramStart"/>
      <w:r>
        <w:t>values</w:t>
      </w:r>
      <w:proofErr w:type="gramEnd"/>
      <w:r>
        <w:t xml:space="preserve"> we tend to use post-tax cash flows. But, in presenting expenses and income figures to managers, </w:t>
      </w:r>
      <w:r w:rsidR="00724296">
        <w:t xml:space="preserve">the </w:t>
      </w:r>
      <w:r w:rsidR="00C25C64">
        <w:t xml:space="preserve">analyst should seek to use numbers that are familiar ratios or prices. </w:t>
      </w:r>
      <w:proofErr w:type="gramStart"/>
      <w:r w:rsidR="00C25C64">
        <w:t>And,</w:t>
      </w:r>
      <w:proofErr w:type="gramEnd"/>
      <w:r w:rsidR="00C25C64">
        <w:t xml:space="preserve"> </w:t>
      </w:r>
      <w:r w:rsidR="00C25C64" w:rsidRPr="00C25C64">
        <w:rPr>
          <w:i/>
        </w:rPr>
        <w:t>prices are pre-tax numbers</w:t>
      </w:r>
      <w:r w:rsidR="00C25C64">
        <w:t xml:space="preserve">. If you tell someone that an employee costs $18/hour </w:t>
      </w:r>
      <w:r w:rsidR="00F63774">
        <w:t xml:space="preserve">in </w:t>
      </w:r>
      <w:r w:rsidR="00C25C64">
        <w:t>post-tax</w:t>
      </w:r>
      <w:r w:rsidR="00F63774">
        <w:t xml:space="preserve"> cash-flow terms</w:t>
      </w:r>
      <w:r w:rsidR="00C25C64">
        <w:t xml:space="preserve">, the hearer </w:t>
      </w:r>
      <w:proofErr w:type="gramStart"/>
      <w:r w:rsidR="00C25C64">
        <w:t>has to</w:t>
      </w:r>
      <w:proofErr w:type="gramEnd"/>
      <w:r w:rsidR="00C25C64">
        <w:t xml:space="preserve"> mentally gross that </w:t>
      </w:r>
      <w:proofErr w:type="gramStart"/>
      <w:r w:rsidR="00C25C64">
        <w:t>number up</w:t>
      </w:r>
      <w:proofErr w:type="gramEnd"/>
      <w:r w:rsidR="00C25C64">
        <w:t xml:space="preserve"> to make sense of it. Or, if someone computes the present cost of an employee who is expected to stay for 6 more years, the number makes sense to no one. Convert it to a </w:t>
      </w:r>
      <w:proofErr w:type="gramStart"/>
      <w:r w:rsidR="00C25C64">
        <w:t>level</w:t>
      </w:r>
      <w:proofErr w:type="gramEnd"/>
      <w:r w:rsidR="00C25C64">
        <w:t xml:space="preserve"> hourly wage and it does. </w:t>
      </w:r>
      <w:r w:rsidR="00015D83">
        <w:t>My simple rule of thumb is this: when presenting one-time lumps of value and cost, use true cash flow (after any taxes). When presenting annual or monthly flows of income, expense, or cost, use pre-tax equivalents.</w:t>
      </w:r>
    </w:p>
    <w:p w14:paraId="43C72CEB" w14:textId="77777777" w:rsidR="00015D83" w:rsidRDefault="00015D83" w:rsidP="001C02FB">
      <w:pPr>
        <w:pStyle w:val="nodent"/>
      </w:pPr>
      <w:r>
        <w:t xml:space="preserve">In the </w:t>
      </w:r>
      <w:r w:rsidR="00C25C64">
        <w:t>building versus lease problem,</w:t>
      </w:r>
      <w:r>
        <w:t xml:space="preserve"> one could, therefore, compare the $100 million cost of the building to the present value of the after-tax lease cost over </w:t>
      </w:r>
      <w:proofErr w:type="gramStart"/>
      <w:r>
        <w:t>20-years</w:t>
      </w:r>
      <w:proofErr w:type="gramEnd"/>
      <w:r>
        <w:t xml:space="preserve">. It is $95 million. That is a comparison that some managers will immediately comprehend. </w:t>
      </w:r>
    </w:p>
    <w:p w14:paraId="4B131CF2" w14:textId="77777777" w:rsidR="00C25C64" w:rsidRDefault="00015D83" w:rsidP="00015D83">
      <w:pPr>
        <w:pStyle w:val="nodent"/>
      </w:pPr>
      <w:r>
        <w:t xml:space="preserve">On the other hand, some managers will be much more comfortable thinking about space </w:t>
      </w:r>
      <w:proofErr w:type="gramStart"/>
      <w:r>
        <w:t>charges</w:t>
      </w:r>
      <w:proofErr w:type="gramEnd"/>
      <w:r>
        <w:t xml:space="preserve"> as annual, or even monthly, prices. So, it could also make sense to anchor on the pre-tax lease charge, perhaps converting both </w:t>
      </w:r>
      <w:r w:rsidR="00C25C64">
        <w:t xml:space="preserve">to </w:t>
      </w:r>
      <w:r>
        <w:t>monthly charges per square-foot.</w:t>
      </w:r>
    </w:p>
    <w:p w14:paraId="374A4722" w14:textId="77777777" w:rsidR="00C25C64" w:rsidRDefault="00C25C64" w:rsidP="001C02FB">
      <w:pPr>
        <w:pStyle w:val="nodent"/>
      </w:pPr>
      <w:r>
        <w:t xml:space="preserve">I call converting a pattern of capital and expense flows into a pre-tax equivalent annuity </w:t>
      </w:r>
      <w:r w:rsidRPr="00C25C64">
        <w:rPr>
          <w:i/>
        </w:rPr>
        <w:t>creating a no-profit lease</w:t>
      </w:r>
      <w:r>
        <w:t xml:space="preserve">. There are </w:t>
      </w:r>
      <w:r w:rsidR="00D616F2">
        <w:t>th</w:t>
      </w:r>
      <w:r w:rsidR="007C4B99">
        <w:t>r</w:t>
      </w:r>
      <w:r w:rsidR="00D616F2">
        <w:t>ee</w:t>
      </w:r>
      <w:r>
        <w:t xml:space="preserve"> steps:</w:t>
      </w:r>
    </w:p>
    <w:p w14:paraId="3797A750" w14:textId="77777777" w:rsidR="00C25C64" w:rsidRDefault="00D616F2" w:rsidP="00F63774">
      <w:pPr>
        <w:pStyle w:val="nodent"/>
        <w:numPr>
          <w:ilvl w:val="0"/>
          <w:numId w:val="8"/>
        </w:numPr>
      </w:pPr>
      <w:r>
        <w:t xml:space="preserve">Compute the </w:t>
      </w:r>
      <w:proofErr w:type="gramStart"/>
      <w:r>
        <w:t>present-value</w:t>
      </w:r>
      <w:proofErr w:type="gramEnd"/>
      <w:r>
        <w:t xml:space="preserve"> of normal expenses and any income associated with the project. Call it PVExp.  </w:t>
      </w:r>
    </w:p>
    <w:p w14:paraId="4FFA783C" w14:textId="77777777" w:rsidR="00D616F2" w:rsidRDefault="00D616F2" w:rsidP="00F63774">
      <w:pPr>
        <w:pStyle w:val="nodent"/>
        <w:numPr>
          <w:ilvl w:val="0"/>
          <w:numId w:val="8"/>
        </w:numPr>
      </w:pPr>
      <w:r>
        <w:t xml:space="preserve">Compute the </w:t>
      </w:r>
      <w:proofErr w:type="gramStart"/>
      <w:r>
        <w:t>present-value</w:t>
      </w:r>
      <w:proofErr w:type="gramEnd"/>
      <w:r>
        <w:t xml:space="preserve"> of the after-tax cash flows associated with capital </w:t>
      </w:r>
      <w:proofErr w:type="gramStart"/>
      <w:r>
        <w:t>expenditures</w:t>
      </w:r>
      <w:proofErr w:type="gramEnd"/>
      <w:r>
        <w:t xml:space="preserve"> and the sale of capital assets over the life of the project. Capital flows are naturally after-tax so the complexity here is handling their tax impacts. Call it PVCap.</w:t>
      </w:r>
    </w:p>
    <w:p w14:paraId="56E37D46" w14:textId="77777777" w:rsidR="00D616F2" w:rsidRDefault="00D616F2" w:rsidP="00F63774">
      <w:pPr>
        <w:pStyle w:val="nodent"/>
        <w:numPr>
          <w:ilvl w:val="0"/>
          <w:numId w:val="8"/>
        </w:numPr>
      </w:pPr>
      <w:r>
        <w:t>Combine them into a pre-tax level annuity over a period equal to the life of the project. Call it NPL (for no-profit lease) and compute it as</w:t>
      </w:r>
    </w:p>
    <w:p w14:paraId="7049BA59" w14:textId="77777777" w:rsidR="00D616F2" w:rsidRDefault="00565D2B" w:rsidP="00D616F2">
      <w:pPr>
        <w:pStyle w:val="nodent"/>
        <w:ind w:firstLine="720"/>
      </w:pPr>
      <w:r>
        <w:tab/>
      </w:r>
      <w:r w:rsidR="00D616F2">
        <w:t xml:space="preserve">NPL = </w:t>
      </w:r>
      <w:proofErr w:type="gramStart"/>
      <w:r w:rsidR="00D616F2">
        <w:t>PMT(</w:t>
      </w:r>
      <w:proofErr w:type="gramEnd"/>
      <w:r w:rsidR="00D616F2" w:rsidRPr="007C4B99">
        <w:rPr>
          <w:b/>
        </w:rPr>
        <w:t>k</w:t>
      </w:r>
      <w:r w:rsidR="00D616F2">
        <w:t xml:space="preserve">, Life, </w:t>
      </w:r>
      <w:r w:rsidR="007C4B99">
        <w:t>(1-</w:t>
      </w:r>
      <w:proofErr w:type="gramStart"/>
      <w:r w:rsidR="007C4B99">
        <w:t>T)</w:t>
      </w:r>
      <w:r w:rsidR="00D616F2">
        <w:t>PVCExp</w:t>
      </w:r>
      <w:proofErr w:type="gramEnd"/>
      <w:r w:rsidR="00D616F2">
        <w:t xml:space="preserve"> + PVCap</w:t>
      </w:r>
      <w:r w:rsidR="007C4B99">
        <w:t xml:space="preserve">) </w:t>
      </w:r>
      <w:r w:rsidR="007C4B99" w:rsidRPr="007C4B99">
        <w:rPr>
          <w:b/>
        </w:rPr>
        <w:t>/</w:t>
      </w:r>
      <w:r w:rsidR="007C4B99">
        <w:t xml:space="preserve"> </w:t>
      </w:r>
      <w:r w:rsidR="00D616F2">
        <w:t>(1-T).</w:t>
      </w:r>
    </w:p>
    <w:p w14:paraId="577ED2F4" w14:textId="77777777" w:rsidR="00C25C64" w:rsidRDefault="007C4B99" w:rsidP="001C02FB">
      <w:pPr>
        <w:pStyle w:val="nodent"/>
      </w:pPr>
      <w:r>
        <w:t xml:space="preserve">This number is the lease “price” we would have to charge someone else to </w:t>
      </w:r>
      <w:proofErr w:type="gramStart"/>
      <w:r>
        <w:t>break-even</w:t>
      </w:r>
      <w:proofErr w:type="gramEnd"/>
      <w:r>
        <w:t xml:space="preserve"> on making this investment, paying these expenses, and receiving back NPL each year from the lessee. By break-even, I mean that the rate of return on the deal is exactly </w:t>
      </w:r>
      <w:r w:rsidRPr="007C4B99">
        <w:rPr>
          <w:i/>
        </w:rPr>
        <w:t>k</w:t>
      </w:r>
      <w:r>
        <w:t xml:space="preserve">.  To get this price, we </w:t>
      </w:r>
      <w:proofErr w:type="gramStart"/>
      <w:r>
        <w:t>have to</w:t>
      </w:r>
      <w:proofErr w:type="gramEnd"/>
      <w:r>
        <w:t xml:space="preserve"> gross-up the annual payment to a pre-tax number because we </w:t>
      </w:r>
      <w:r w:rsidR="00F63774">
        <w:t>would</w:t>
      </w:r>
      <w:r>
        <w:t xml:space="preserve"> pay taxes on NPL</w:t>
      </w:r>
      <w:r w:rsidR="00F63774">
        <w:t>—it is income</w:t>
      </w:r>
      <w:r>
        <w:t>. Equivalently, it may be more intuitive to write:</w:t>
      </w:r>
    </w:p>
    <w:p w14:paraId="376FC6C3" w14:textId="77777777" w:rsidR="007C4B99" w:rsidRDefault="00565D2B" w:rsidP="007C4B99">
      <w:pPr>
        <w:pStyle w:val="nodent"/>
        <w:ind w:firstLine="720"/>
      </w:pPr>
      <w:r>
        <w:lastRenderedPageBreak/>
        <w:tab/>
      </w:r>
      <w:r w:rsidR="007C4B99">
        <w:t>(1-</w:t>
      </w:r>
      <w:proofErr w:type="gramStart"/>
      <w:r w:rsidR="007C4B99">
        <w:t>T)NPL</w:t>
      </w:r>
      <w:proofErr w:type="gramEnd"/>
      <w:r w:rsidR="007C4B99">
        <w:t xml:space="preserve"> = </w:t>
      </w:r>
      <w:proofErr w:type="gramStart"/>
      <w:r w:rsidR="007C4B99">
        <w:t>PMT(</w:t>
      </w:r>
      <w:proofErr w:type="gramEnd"/>
      <w:r w:rsidR="007C4B99" w:rsidRPr="007C4B99">
        <w:rPr>
          <w:b/>
        </w:rPr>
        <w:t>k</w:t>
      </w:r>
      <w:r w:rsidR="007C4B99">
        <w:t>, Life, (1-</w:t>
      </w:r>
      <w:proofErr w:type="gramStart"/>
      <w:r w:rsidR="007C4B99">
        <w:t>T)PVCExp</w:t>
      </w:r>
      <w:proofErr w:type="gramEnd"/>
      <w:r w:rsidR="007C4B99">
        <w:t xml:space="preserve"> + PVCap).</w:t>
      </w:r>
    </w:p>
    <w:p w14:paraId="562904CD" w14:textId="77777777" w:rsidR="007C4B99" w:rsidRDefault="007C4B99" w:rsidP="001C02FB">
      <w:pPr>
        <w:pStyle w:val="nodent"/>
      </w:pPr>
      <w:r>
        <w:t xml:space="preserve">so that each </w:t>
      </w:r>
      <w:proofErr w:type="gramStart"/>
      <w:r>
        <w:t>term</w:t>
      </w:r>
      <w:proofErr w:type="gramEnd"/>
      <w:r>
        <w:t xml:space="preserve"> is an after-tax cash flow impact. </w:t>
      </w:r>
    </w:p>
    <w:p w14:paraId="7EA9FDC4" w14:textId="77777777" w:rsidR="00F63774" w:rsidRDefault="00F63774" w:rsidP="001C02FB">
      <w:pPr>
        <w:pStyle w:val="nodent"/>
      </w:pPr>
      <w:r>
        <w:t xml:space="preserve">The no-profit lease number, NPL, is an annual “expense” that can be directly compared with other annual (pre-tax) </w:t>
      </w:r>
      <w:r w:rsidR="00FA5DB5">
        <w:t xml:space="preserve">prices, </w:t>
      </w:r>
      <w:r>
        <w:t xml:space="preserve">incomes and expenses. </w:t>
      </w:r>
    </w:p>
    <w:p w14:paraId="5A794B7A" w14:textId="77777777" w:rsidR="007C4B99" w:rsidRDefault="006C16A8" w:rsidP="00015D83">
      <w:pPr>
        <w:pStyle w:val="Heading4"/>
      </w:pPr>
      <w:r w:rsidRPr="006C16A8">
        <w:t>Depreciation</w:t>
      </w:r>
    </w:p>
    <w:p w14:paraId="7A516A26" w14:textId="77777777" w:rsidR="00015D83" w:rsidRDefault="00015D83" w:rsidP="00015D83">
      <w:r>
        <w:t xml:space="preserve">Depreciation is a fictitious non-cash charge that is placed upon a company's books. The intent, many long years ago, was </w:t>
      </w:r>
      <w:proofErr w:type="gramStart"/>
      <w:r>
        <w:t>prevent</w:t>
      </w:r>
      <w:proofErr w:type="gramEnd"/>
      <w:r>
        <w:t xml:space="preserve"> firms from declaring dividends </w:t>
      </w:r>
      <w:proofErr w:type="gramStart"/>
      <w:r>
        <w:t>in excess of</w:t>
      </w:r>
      <w:proofErr w:type="gramEnd"/>
      <w:r>
        <w:t xml:space="preserve"> their need to replace capital. Today, that reason is obsolete as firms regularly pay out large amounts </w:t>
      </w:r>
      <w:proofErr w:type="gramStart"/>
      <w:r>
        <w:t>in excess of</w:t>
      </w:r>
      <w:proofErr w:type="gramEnd"/>
      <w:r>
        <w:t xml:space="preserve"> earnings by doing stock repurchases.</w:t>
      </w:r>
    </w:p>
    <w:p w14:paraId="2062240D" w14:textId="77777777" w:rsidR="00015D83" w:rsidRDefault="00015D83" w:rsidP="00015D83">
      <w:r>
        <w:t>Depreciation's impact on cash is through the reduction</w:t>
      </w:r>
      <w:r w:rsidR="00565D2B">
        <w:t xml:space="preserve"> in tax payments</w:t>
      </w:r>
      <w:r>
        <w:t>, or "</w:t>
      </w:r>
      <w:r w:rsidR="00565D2B">
        <w:t xml:space="preserve">tax </w:t>
      </w:r>
      <w:r>
        <w:t xml:space="preserve">shield," it provides. </w:t>
      </w:r>
      <w:r w:rsidR="003B09E9">
        <w:t xml:space="preserve">If you have $100 in depreciation, the fictitious expense reduces your taxes by </w:t>
      </w:r>
      <w:r w:rsidR="00FA5DB5">
        <w:t>100</w:t>
      </w:r>
      <w:r w:rsidR="00FA5DB5" w:rsidRPr="00FA5DB5">
        <w:rPr>
          <w:i/>
        </w:rPr>
        <w:t>T</w:t>
      </w:r>
      <w:r w:rsidR="003B09E9">
        <w:t xml:space="preserve">, or about $38 for most U.S. corporations. The complexity with depreciation is two-fold: it comes in "book" form and tax </w:t>
      </w:r>
      <w:proofErr w:type="gramStart"/>
      <w:r w:rsidR="003B09E9">
        <w:t>form</w:t>
      </w:r>
      <w:proofErr w:type="gramEnd"/>
      <w:r w:rsidR="003B09E9">
        <w:t xml:space="preserve"> and it is spread over time. Note that if depreciation were instant, capital </w:t>
      </w:r>
      <w:proofErr w:type="gramStart"/>
      <w:r w:rsidR="003B09E9">
        <w:t>expenditures</w:t>
      </w:r>
      <w:proofErr w:type="gramEnd"/>
      <w:r w:rsidR="003B09E9">
        <w:t xml:space="preserve"> would, essentially, be expenses. Buying a $100 million warehouse and depreciating it all in one year would have the same cash flow impact as $100 million in raw material or labor expense. Because depreciation is spread over time, its value is reduced and capital expenditures are "more expensive" than expenses </w:t>
      </w:r>
      <w:r w:rsidR="00565D2B">
        <w:t>of</w:t>
      </w:r>
      <w:r w:rsidR="003B09E9">
        <w:t xml:space="preserve"> the same </w:t>
      </w:r>
      <w:r w:rsidR="00565D2B">
        <w:t xml:space="preserve">nominal </w:t>
      </w:r>
      <w:r w:rsidR="003B09E9">
        <w:t>amount.</w:t>
      </w:r>
    </w:p>
    <w:p w14:paraId="700DBE18" w14:textId="77777777" w:rsidR="00082C64" w:rsidRDefault="00000000" w:rsidP="00082C64">
      <w:r>
        <w:rPr>
          <w:noProof/>
          <w:lang w:eastAsia="zh-TW"/>
        </w:rPr>
        <w:pict w14:anchorId="62D0AE56">
          <v:shape id="_x0000_s2104" type="#_x0000_t202" style="position:absolute;left:0;text-align:left;margin-left:10.45pt;margin-top:140.05pt;width:411.15pt;height:210pt;z-index:6;mso-wrap-distance-top:7.2pt;mso-wrap-distance-bottom:7.2pt;mso-width-relative:margin;mso-height-relative:margin" o:allowoverlap="f" stroked="f">
            <v:textbox>
              <w:txbxContent>
                <w:p w14:paraId="4EFB72E8" w14:textId="77777777" w:rsidR="005F1709" w:rsidRPr="00C009DE" w:rsidRDefault="005F1709" w:rsidP="00C009DE">
                  <w:pPr>
                    <w:pStyle w:val="Caption"/>
                  </w:pPr>
                  <w:bookmarkStart w:id="2" w:name="_Ref258069666"/>
                  <w:r>
                    <w:t xml:space="preserve">Exhibit </w:t>
                  </w:r>
                  <w:fldSimple w:instr=" SEQ Exhibit \* ARABIC ">
                    <w:r>
                      <w:rPr>
                        <w:noProof/>
                      </w:rPr>
                      <w:t>3</w:t>
                    </w:r>
                  </w:fldSimple>
                  <w:bookmarkEnd w:id="2"/>
                  <w:r>
                    <w:t>—Percentage of Capital Amount Depreciated Each Year (</w:t>
                  </w:r>
                  <w:proofErr w:type="gramStart"/>
                  <w:r>
                    <w:t>5 year</w:t>
                  </w:r>
                  <w:proofErr w:type="gramEnd"/>
                  <w:r>
                    <w:t xml:space="preserve"> life)</w:t>
                  </w:r>
                </w:p>
                <w:tbl>
                  <w:tblPr>
                    <w:tblW w:w="0" w:type="auto"/>
                    <w:tblInd w:w="93" w:type="dxa"/>
                    <w:tblLook w:val="04A0" w:firstRow="1" w:lastRow="0" w:firstColumn="1" w:lastColumn="0" w:noHBand="0" w:noVBand="1"/>
                  </w:tblPr>
                  <w:tblGrid>
                    <w:gridCol w:w="1273"/>
                    <w:gridCol w:w="1049"/>
                    <w:gridCol w:w="1059"/>
                    <w:gridCol w:w="1320"/>
                    <w:gridCol w:w="1170"/>
                    <w:gridCol w:w="1080"/>
                    <w:gridCol w:w="1122"/>
                  </w:tblGrid>
                  <w:tr w:rsidR="005F1709" w:rsidRPr="00C009DE" w14:paraId="0F3DD9EE" w14:textId="77777777" w:rsidTr="00AA409A">
                    <w:trPr>
                      <w:trHeight w:val="1500"/>
                    </w:trPr>
                    <w:tc>
                      <w:tcPr>
                        <w:tcW w:w="0" w:type="auto"/>
                        <w:tcBorders>
                          <w:top w:val="nil"/>
                          <w:left w:val="nil"/>
                          <w:bottom w:val="single" w:sz="4" w:space="0" w:color="auto"/>
                          <w:right w:val="nil"/>
                        </w:tcBorders>
                        <w:vAlign w:val="center"/>
                        <w:hideMark/>
                      </w:tcPr>
                      <w:p w14:paraId="1F741682"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Year</w:t>
                        </w:r>
                      </w:p>
                    </w:tc>
                    <w:tc>
                      <w:tcPr>
                        <w:tcW w:w="0" w:type="auto"/>
                        <w:tcBorders>
                          <w:top w:val="nil"/>
                          <w:left w:val="nil"/>
                          <w:bottom w:val="single" w:sz="4" w:space="0" w:color="auto"/>
                          <w:right w:val="nil"/>
                        </w:tcBorders>
                        <w:vAlign w:val="center"/>
                        <w:hideMark/>
                      </w:tcPr>
                      <w:p w14:paraId="4390461A"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Pure straight line</w:t>
                        </w:r>
                      </w:p>
                    </w:tc>
                    <w:tc>
                      <w:tcPr>
                        <w:tcW w:w="0" w:type="auto"/>
                        <w:tcBorders>
                          <w:top w:val="nil"/>
                          <w:left w:val="nil"/>
                          <w:bottom w:val="single" w:sz="4" w:space="0" w:color="auto"/>
                          <w:right w:val="nil"/>
                        </w:tcBorders>
                        <w:vAlign w:val="center"/>
                        <w:hideMark/>
                      </w:tcPr>
                      <w:p w14:paraId="10DE3B39"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Pure double decline</w:t>
                        </w:r>
                      </w:p>
                    </w:tc>
                    <w:tc>
                      <w:tcPr>
                        <w:tcW w:w="1320" w:type="dxa"/>
                        <w:tcBorders>
                          <w:top w:val="nil"/>
                          <w:left w:val="nil"/>
                          <w:bottom w:val="single" w:sz="4" w:space="0" w:color="auto"/>
                          <w:right w:val="nil"/>
                        </w:tcBorders>
                        <w:vAlign w:val="center"/>
                        <w:hideMark/>
                      </w:tcPr>
                      <w:p w14:paraId="3892C323"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MACRS straight line half-year conv.</w:t>
                        </w:r>
                      </w:p>
                    </w:tc>
                    <w:tc>
                      <w:tcPr>
                        <w:tcW w:w="1170" w:type="dxa"/>
                        <w:tcBorders>
                          <w:top w:val="nil"/>
                          <w:left w:val="nil"/>
                          <w:bottom w:val="single" w:sz="4" w:space="0" w:color="auto"/>
                          <w:right w:val="nil"/>
                        </w:tcBorders>
                        <w:vAlign w:val="center"/>
                        <w:hideMark/>
                      </w:tcPr>
                      <w:p w14:paraId="7154EFDA"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MACRS accel. half-year conv.</w:t>
                        </w:r>
                      </w:p>
                    </w:tc>
                    <w:tc>
                      <w:tcPr>
                        <w:tcW w:w="1080" w:type="dxa"/>
                        <w:tcBorders>
                          <w:top w:val="nil"/>
                          <w:left w:val="nil"/>
                          <w:bottom w:val="single" w:sz="4" w:space="0" w:color="auto"/>
                          <w:right w:val="nil"/>
                        </w:tcBorders>
                        <w:vAlign w:val="center"/>
                        <w:hideMark/>
                      </w:tcPr>
                      <w:p w14:paraId="62826BBD"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MACRS accel. start in Q1</w:t>
                        </w:r>
                      </w:p>
                    </w:tc>
                    <w:tc>
                      <w:tcPr>
                        <w:tcW w:w="1122" w:type="dxa"/>
                        <w:tcBorders>
                          <w:top w:val="nil"/>
                          <w:left w:val="nil"/>
                          <w:bottom w:val="single" w:sz="4" w:space="0" w:color="auto"/>
                          <w:right w:val="nil"/>
                        </w:tcBorders>
                        <w:vAlign w:val="center"/>
                        <w:hideMark/>
                      </w:tcPr>
                      <w:p w14:paraId="406C2114"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MACRS accel. start in Q4</w:t>
                        </w:r>
                      </w:p>
                    </w:tc>
                  </w:tr>
                  <w:tr w:rsidR="005F1709" w:rsidRPr="00C009DE" w14:paraId="3F79FB18" w14:textId="77777777" w:rsidTr="00AA409A">
                    <w:trPr>
                      <w:trHeight w:val="300"/>
                    </w:trPr>
                    <w:tc>
                      <w:tcPr>
                        <w:tcW w:w="0" w:type="auto"/>
                        <w:tcBorders>
                          <w:top w:val="single" w:sz="4" w:space="0" w:color="auto"/>
                          <w:left w:val="nil"/>
                          <w:bottom w:val="nil"/>
                          <w:right w:val="nil"/>
                        </w:tcBorders>
                        <w:noWrap/>
                        <w:vAlign w:val="center"/>
                        <w:hideMark/>
                      </w:tcPr>
                      <w:p w14:paraId="52DE34E2"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w:t>
                        </w:r>
                      </w:p>
                    </w:tc>
                    <w:tc>
                      <w:tcPr>
                        <w:tcW w:w="0" w:type="auto"/>
                        <w:tcBorders>
                          <w:top w:val="single" w:sz="4" w:space="0" w:color="auto"/>
                          <w:left w:val="nil"/>
                          <w:bottom w:val="nil"/>
                          <w:right w:val="nil"/>
                        </w:tcBorders>
                        <w:noWrap/>
                        <w:vAlign w:val="center"/>
                        <w:hideMark/>
                      </w:tcPr>
                      <w:p w14:paraId="319FAF80"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20.0</w:t>
                        </w:r>
                      </w:p>
                    </w:tc>
                    <w:tc>
                      <w:tcPr>
                        <w:tcW w:w="0" w:type="auto"/>
                        <w:tcBorders>
                          <w:top w:val="single" w:sz="4" w:space="0" w:color="auto"/>
                          <w:left w:val="nil"/>
                          <w:bottom w:val="nil"/>
                          <w:right w:val="nil"/>
                        </w:tcBorders>
                        <w:noWrap/>
                        <w:vAlign w:val="center"/>
                        <w:hideMark/>
                      </w:tcPr>
                      <w:p w14:paraId="561C7C78"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40.0</w:t>
                        </w:r>
                      </w:p>
                    </w:tc>
                    <w:tc>
                      <w:tcPr>
                        <w:tcW w:w="1320" w:type="dxa"/>
                        <w:tcBorders>
                          <w:top w:val="single" w:sz="4" w:space="0" w:color="auto"/>
                          <w:left w:val="nil"/>
                          <w:bottom w:val="nil"/>
                          <w:right w:val="nil"/>
                        </w:tcBorders>
                        <w:noWrap/>
                        <w:vAlign w:val="center"/>
                        <w:hideMark/>
                      </w:tcPr>
                      <w:p w14:paraId="1DDFDF90"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10.0</w:t>
                        </w:r>
                      </w:p>
                    </w:tc>
                    <w:tc>
                      <w:tcPr>
                        <w:tcW w:w="1170" w:type="dxa"/>
                        <w:tcBorders>
                          <w:top w:val="single" w:sz="4" w:space="0" w:color="auto"/>
                          <w:left w:val="nil"/>
                          <w:bottom w:val="nil"/>
                          <w:right w:val="nil"/>
                        </w:tcBorders>
                        <w:noWrap/>
                        <w:vAlign w:val="center"/>
                        <w:hideMark/>
                      </w:tcPr>
                      <w:p w14:paraId="3090543B"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20.0</w:t>
                        </w:r>
                      </w:p>
                    </w:tc>
                    <w:tc>
                      <w:tcPr>
                        <w:tcW w:w="1080" w:type="dxa"/>
                        <w:tcBorders>
                          <w:top w:val="single" w:sz="4" w:space="0" w:color="auto"/>
                          <w:left w:val="nil"/>
                          <w:bottom w:val="nil"/>
                          <w:right w:val="nil"/>
                        </w:tcBorders>
                        <w:noWrap/>
                        <w:vAlign w:val="center"/>
                        <w:hideMark/>
                      </w:tcPr>
                      <w:p w14:paraId="2BFC28C3"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35.0</w:t>
                        </w:r>
                      </w:p>
                    </w:tc>
                    <w:tc>
                      <w:tcPr>
                        <w:tcW w:w="1122" w:type="dxa"/>
                        <w:tcBorders>
                          <w:top w:val="single" w:sz="4" w:space="0" w:color="auto"/>
                          <w:left w:val="nil"/>
                          <w:bottom w:val="nil"/>
                          <w:right w:val="nil"/>
                        </w:tcBorders>
                        <w:noWrap/>
                        <w:vAlign w:val="center"/>
                        <w:hideMark/>
                      </w:tcPr>
                      <w:p w14:paraId="03B485B4"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5.0</w:t>
                        </w:r>
                      </w:p>
                    </w:tc>
                  </w:tr>
                  <w:tr w:rsidR="005F1709" w:rsidRPr="00C009DE" w14:paraId="66B78698" w14:textId="77777777" w:rsidTr="00AA409A">
                    <w:trPr>
                      <w:trHeight w:val="300"/>
                    </w:trPr>
                    <w:tc>
                      <w:tcPr>
                        <w:tcW w:w="0" w:type="auto"/>
                        <w:tcBorders>
                          <w:top w:val="nil"/>
                          <w:left w:val="nil"/>
                          <w:bottom w:val="nil"/>
                          <w:right w:val="nil"/>
                        </w:tcBorders>
                        <w:noWrap/>
                        <w:vAlign w:val="center"/>
                        <w:hideMark/>
                      </w:tcPr>
                      <w:p w14:paraId="45A2A41B"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w:t>
                        </w:r>
                      </w:p>
                    </w:tc>
                    <w:tc>
                      <w:tcPr>
                        <w:tcW w:w="0" w:type="auto"/>
                        <w:tcBorders>
                          <w:top w:val="nil"/>
                          <w:left w:val="nil"/>
                          <w:bottom w:val="nil"/>
                          <w:right w:val="nil"/>
                        </w:tcBorders>
                        <w:noWrap/>
                        <w:vAlign w:val="center"/>
                        <w:hideMark/>
                      </w:tcPr>
                      <w:p w14:paraId="0B7E783A"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20.0</w:t>
                        </w:r>
                      </w:p>
                    </w:tc>
                    <w:tc>
                      <w:tcPr>
                        <w:tcW w:w="0" w:type="auto"/>
                        <w:tcBorders>
                          <w:top w:val="nil"/>
                          <w:left w:val="nil"/>
                          <w:bottom w:val="nil"/>
                          <w:right w:val="nil"/>
                        </w:tcBorders>
                        <w:noWrap/>
                        <w:vAlign w:val="center"/>
                        <w:hideMark/>
                      </w:tcPr>
                      <w:p w14:paraId="0DD70970"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24.0</w:t>
                        </w:r>
                      </w:p>
                    </w:tc>
                    <w:tc>
                      <w:tcPr>
                        <w:tcW w:w="1320" w:type="dxa"/>
                        <w:tcBorders>
                          <w:top w:val="nil"/>
                          <w:left w:val="nil"/>
                          <w:bottom w:val="nil"/>
                          <w:right w:val="nil"/>
                        </w:tcBorders>
                        <w:noWrap/>
                        <w:vAlign w:val="center"/>
                        <w:hideMark/>
                      </w:tcPr>
                      <w:p w14:paraId="0D91C24A"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20.0</w:t>
                        </w:r>
                      </w:p>
                    </w:tc>
                    <w:tc>
                      <w:tcPr>
                        <w:tcW w:w="1170" w:type="dxa"/>
                        <w:tcBorders>
                          <w:top w:val="nil"/>
                          <w:left w:val="nil"/>
                          <w:bottom w:val="nil"/>
                          <w:right w:val="nil"/>
                        </w:tcBorders>
                        <w:noWrap/>
                        <w:vAlign w:val="center"/>
                        <w:hideMark/>
                      </w:tcPr>
                      <w:p w14:paraId="2BD757FE"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32.0</w:t>
                        </w:r>
                      </w:p>
                    </w:tc>
                    <w:tc>
                      <w:tcPr>
                        <w:tcW w:w="1080" w:type="dxa"/>
                        <w:tcBorders>
                          <w:top w:val="nil"/>
                          <w:left w:val="nil"/>
                          <w:bottom w:val="nil"/>
                          <w:right w:val="nil"/>
                        </w:tcBorders>
                        <w:noWrap/>
                        <w:vAlign w:val="center"/>
                        <w:hideMark/>
                      </w:tcPr>
                      <w:p w14:paraId="7F576D35"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26.0</w:t>
                        </w:r>
                      </w:p>
                    </w:tc>
                    <w:tc>
                      <w:tcPr>
                        <w:tcW w:w="1122" w:type="dxa"/>
                        <w:tcBorders>
                          <w:top w:val="nil"/>
                          <w:left w:val="nil"/>
                          <w:bottom w:val="nil"/>
                          <w:right w:val="nil"/>
                        </w:tcBorders>
                        <w:noWrap/>
                        <w:vAlign w:val="center"/>
                        <w:hideMark/>
                      </w:tcPr>
                      <w:p w14:paraId="58058476"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38.0</w:t>
                        </w:r>
                      </w:p>
                    </w:tc>
                  </w:tr>
                  <w:tr w:rsidR="005F1709" w:rsidRPr="00C009DE" w14:paraId="2E7C6792" w14:textId="77777777" w:rsidTr="00AA409A">
                    <w:trPr>
                      <w:trHeight w:val="300"/>
                    </w:trPr>
                    <w:tc>
                      <w:tcPr>
                        <w:tcW w:w="0" w:type="auto"/>
                        <w:tcBorders>
                          <w:top w:val="nil"/>
                          <w:left w:val="nil"/>
                          <w:bottom w:val="nil"/>
                          <w:right w:val="nil"/>
                        </w:tcBorders>
                        <w:noWrap/>
                        <w:vAlign w:val="center"/>
                        <w:hideMark/>
                      </w:tcPr>
                      <w:p w14:paraId="29B36C5B"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3</w:t>
                        </w:r>
                      </w:p>
                    </w:tc>
                    <w:tc>
                      <w:tcPr>
                        <w:tcW w:w="0" w:type="auto"/>
                        <w:tcBorders>
                          <w:top w:val="nil"/>
                          <w:left w:val="nil"/>
                          <w:bottom w:val="nil"/>
                          <w:right w:val="nil"/>
                        </w:tcBorders>
                        <w:noWrap/>
                        <w:vAlign w:val="center"/>
                        <w:hideMark/>
                      </w:tcPr>
                      <w:p w14:paraId="6350B18E"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20.0</w:t>
                        </w:r>
                      </w:p>
                    </w:tc>
                    <w:tc>
                      <w:tcPr>
                        <w:tcW w:w="0" w:type="auto"/>
                        <w:tcBorders>
                          <w:top w:val="nil"/>
                          <w:left w:val="nil"/>
                          <w:bottom w:val="nil"/>
                          <w:right w:val="nil"/>
                        </w:tcBorders>
                        <w:noWrap/>
                        <w:vAlign w:val="center"/>
                        <w:hideMark/>
                      </w:tcPr>
                      <w:p w14:paraId="29B86DE7"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14.4</w:t>
                        </w:r>
                      </w:p>
                    </w:tc>
                    <w:tc>
                      <w:tcPr>
                        <w:tcW w:w="1320" w:type="dxa"/>
                        <w:tcBorders>
                          <w:top w:val="nil"/>
                          <w:left w:val="nil"/>
                          <w:bottom w:val="nil"/>
                          <w:right w:val="nil"/>
                        </w:tcBorders>
                        <w:noWrap/>
                        <w:vAlign w:val="center"/>
                        <w:hideMark/>
                      </w:tcPr>
                      <w:p w14:paraId="235CFE2D"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20.0</w:t>
                        </w:r>
                      </w:p>
                    </w:tc>
                    <w:tc>
                      <w:tcPr>
                        <w:tcW w:w="1170" w:type="dxa"/>
                        <w:tcBorders>
                          <w:top w:val="nil"/>
                          <w:left w:val="nil"/>
                          <w:bottom w:val="nil"/>
                          <w:right w:val="nil"/>
                        </w:tcBorders>
                        <w:noWrap/>
                        <w:vAlign w:val="center"/>
                        <w:hideMark/>
                      </w:tcPr>
                      <w:p w14:paraId="418FD439"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19.2</w:t>
                        </w:r>
                      </w:p>
                    </w:tc>
                    <w:tc>
                      <w:tcPr>
                        <w:tcW w:w="1080" w:type="dxa"/>
                        <w:tcBorders>
                          <w:top w:val="nil"/>
                          <w:left w:val="nil"/>
                          <w:bottom w:val="nil"/>
                          <w:right w:val="nil"/>
                        </w:tcBorders>
                        <w:noWrap/>
                        <w:vAlign w:val="center"/>
                        <w:hideMark/>
                      </w:tcPr>
                      <w:p w14:paraId="45CD5A4F"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15.6</w:t>
                        </w:r>
                      </w:p>
                    </w:tc>
                    <w:tc>
                      <w:tcPr>
                        <w:tcW w:w="1122" w:type="dxa"/>
                        <w:tcBorders>
                          <w:top w:val="nil"/>
                          <w:left w:val="nil"/>
                          <w:bottom w:val="nil"/>
                          <w:right w:val="nil"/>
                        </w:tcBorders>
                        <w:noWrap/>
                        <w:vAlign w:val="center"/>
                        <w:hideMark/>
                      </w:tcPr>
                      <w:p w14:paraId="720E6D1A"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22.8</w:t>
                        </w:r>
                      </w:p>
                    </w:tc>
                  </w:tr>
                  <w:tr w:rsidR="005F1709" w:rsidRPr="00C009DE" w14:paraId="51469DB8" w14:textId="77777777" w:rsidTr="00AA409A">
                    <w:trPr>
                      <w:trHeight w:val="300"/>
                    </w:trPr>
                    <w:tc>
                      <w:tcPr>
                        <w:tcW w:w="0" w:type="auto"/>
                        <w:tcBorders>
                          <w:top w:val="nil"/>
                          <w:left w:val="nil"/>
                          <w:bottom w:val="nil"/>
                          <w:right w:val="nil"/>
                        </w:tcBorders>
                        <w:noWrap/>
                        <w:vAlign w:val="center"/>
                        <w:hideMark/>
                      </w:tcPr>
                      <w:p w14:paraId="759E1FE2"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4</w:t>
                        </w:r>
                      </w:p>
                    </w:tc>
                    <w:tc>
                      <w:tcPr>
                        <w:tcW w:w="0" w:type="auto"/>
                        <w:tcBorders>
                          <w:top w:val="nil"/>
                          <w:left w:val="nil"/>
                          <w:bottom w:val="nil"/>
                          <w:right w:val="nil"/>
                        </w:tcBorders>
                        <w:noWrap/>
                        <w:vAlign w:val="center"/>
                        <w:hideMark/>
                      </w:tcPr>
                      <w:p w14:paraId="4E3A04C1"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20.0</w:t>
                        </w:r>
                      </w:p>
                    </w:tc>
                    <w:tc>
                      <w:tcPr>
                        <w:tcW w:w="0" w:type="auto"/>
                        <w:tcBorders>
                          <w:top w:val="nil"/>
                          <w:left w:val="nil"/>
                          <w:bottom w:val="nil"/>
                          <w:right w:val="nil"/>
                        </w:tcBorders>
                        <w:noWrap/>
                        <w:vAlign w:val="center"/>
                        <w:hideMark/>
                      </w:tcPr>
                      <w:p w14:paraId="22D5506F"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10.8</w:t>
                        </w:r>
                      </w:p>
                    </w:tc>
                    <w:tc>
                      <w:tcPr>
                        <w:tcW w:w="1320" w:type="dxa"/>
                        <w:tcBorders>
                          <w:top w:val="nil"/>
                          <w:left w:val="nil"/>
                          <w:bottom w:val="nil"/>
                          <w:right w:val="nil"/>
                        </w:tcBorders>
                        <w:noWrap/>
                        <w:vAlign w:val="center"/>
                        <w:hideMark/>
                      </w:tcPr>
                      <w:p w14:paraId="6C7B7083"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20.0</w:t>
                        </w:r>
                      </w:p>
                    </w:tc>
                    <w:tc>
                      <w:tcPr>
                        <w:tcW w:w="1170" w:type="dxa"/>
                        <w:tcBorders>
                          <w:top w:val="nil"/>
                          <w:left w:val="nil"/>
                          <w:bottom w:val="nil"/>
                          <w:right w:val="nil"/>
                        </w:tcBorders>
                        <w:noWrap/>
                        <w:vAlign w:val="center"/>
                        <w:hideMark/>
                      </w:tcPr>
                      <w:p w14:paraId="569848A6"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11.5</w:t>
                        </w:r>
                      </w:p>
                    </w:tc>
                    <w:tc>
                      <w:tcPr>
                        <w:tcW w:w="1080" w:type="dxa"/>
                        <w:tcBorders>
                          <w:top w:val="nil"/>
                          <w:left w:val="nil"/>
                          <w:bottom w:val="nil"/>
                          <w:right w:val="nil"/>
                        </w:tcBorders>
                        <w:noWrap/>
                        <w:vAlign w:val="center"/>
                        <w:hideMark/>
                      </w:tcPr>
                      <w:p w14:paraId="2B27FA46"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11.0</w:t>
                        </w:r>
                      </w:p>
                    </w:tc>
                    <w:tc>
                      <w:tcPr>
                        <w:tcW w:w="1122" w:type="dxa"/>
                        <w:tcBorders>
                          <w:top w:val="nil"/>
                          <w:left w:val="nil"/>
                          <w:bottom w:val="nil"/>
                          <w:right w:val="nil"/>
                        </w:tcBorders>
                        <w:noWrap/>
                        <w:vAlign w:val="center"/>
                        <w:hideMark/>
                      </w:tcPr>
                      <w:p w14:paraId="37B90D79"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13.7</w:t>
                        </w:r>
                      </w:p>
                    </w:tc>
                  </w:tr>
                  <w:tr w:rsidR="005F1709" w:rsidRPr="00C009DE" w14:paraId="73361EFD" w14:textId="77777777" w:rsidTr="00AA409A">
                    <w:trPr>
                      <w:trHeight w:val="300"/>
                    </w:trPr>
                    <w:tc>
                      <w:tcPr>
                        <w:tcW w:w="0" w:type="auto"/>
                        <w:tcBorders>
                          <w:top w:val="nil"/>
                          <w:left w:val="nil"/>
                          <w:bottom w:val="nil"/>
                          <w:right w:val="nil"/>
                        </w:tcBorders>
                        <w:noWrap/>
                        <w:vAlign w:val="center"/>
                        <w:hideMark/>
                      </w:tcPr>
                      <w:p w14:paraId="1D1D6F9E"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5</w:t>
                        </w:r>
                      </w:p>
                    </w:tc>
                    <w:tc>
                      <w:tcPr>
                        <w:tcW w:w="0" w:type="auto"/>
                        <w:tcBorders>
                          <w:top w:val="nil"/>
                          <w:left w:val="nil"/>
                          <w:bottom w:val="nil"/>
                          <w:right w:val="nil"/>
                        </w:tcBorders>
                        <w:noWrap/>
                        <w:vAlign w:val="center"/>
                        <w:hideMark/>
                      </w:tcPr>
                      <w:p w14:paraId="0D4FB6BA"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20.0</w:t>
                        </w:r>
                      </w:p>
                    </w:tc>
                    <w:tc>
                      <w:tcPr>
                        <w:tcW w:w="0" w:type="auto"/>
                        <w:tcBorders>
                          <w:top w:val="nil"/>
                          <w:left w:val="nil"/>
                          <w:bottom w:val="nil"/>
                          <w:right w:val="nil"/>
                        </w:tcBorders>
                        <w:noWrap/>
                        <w:vAlign w:val="center"/>
                        <w:hideMark/>
                      </w:tcPr>
                      <w:p w14:paraId="4621A522"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10.8</w:t>
                        </w:r>
                      </w:p>
                    </w:tc>
                    <w:tc>
                      <w:tcPr>
                        <w:tcW w:w="1320" w:type="dxa"/>
                        <w:tcBorders>
                          <w:top w:val="nil"/>
                          <w:left w:val="nil"/>
                          <w:bottom w:val="nil"/>
                          <w:right w:val="nil"/>
                        </w:tcBorders>
                        <w:noWrap/>
                        <w:vAlign w:val="center"/>
                        <w:hideMark/>
                      </w:tcPr>
                      <w:p w14:paraId="13C8DF99"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20.0</w:t>
                        </w:r>
                      </w:p>
                    </w:tc>
                    <w:tc>
                      <w:tcPr>
                        <w:tcW w:w="1170" w:type="dxa"/>
                        <w:tcBorders>
                          <w:top w:val="nil"/>
                          <w:left w:val="nil"/>
                          <w:bottom w:val="nil"/>
                          <w:right w:val="nil"/>
                        </w:tcBorders>
                        <w:noWrap/>
                        <w:vAlign w:val="center"/>
                        <w:hideMark/>
                      </w:tcPr>
                      <w:p w14:paraId="1C36A6AF"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11.5</w:t>
                        </w:r>
                      </w:p>
                    </w:tc>
                    <w:tc>
                      <w:tcPr>
                        <w:tcW w:w="1080" w:type="dxa"/>
                        <w:tcBorders>
                          <w:top w:val="nil"/>
                          <w:left w:val="nil"/>
                          <w:bottom w:val="nil"/>
                          <w:right w:val="nil"/>
                        </w:tcBorders>
                        <w:noWrap/>
                        <w:vAlign w:val="center"/>
                        <w:hideMark/>
                      </w:tcPr>
                      <w:p w14:paraId="77A54097"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11.0</w:t>
                        </w:r>
                      </w:p>
                    </w:tc>
                    <w:tc>
                      <w:tcPr>
                        <w:tcW w:w="1122" w:type="dxa"/>
                        <w:tcBorders>
                          <w:top w:val="nil"/>
                          <w:left w:val="nil"/>
                          <w:bottom w:val="nil"/>
                          <w:right w:val="nil"/>
                        </w:tcBorders>
                        <w:noWrap/>
                        <w:vAlign w:val="center"/>
                        <w:hideMark/>
                      </w:tcPr>
                      <w:p w14:paraId="19ABE9D4"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10.9</w:t>
                        </w:r>
                      </w:p>
                    </w:tc>
                  </w:tr>
                  <w:tr w:rsidR="005F1709" w:rsidRPr="00C009DE" w14:paraId="349557D7" w14:textId="77777777" w:rsidTr="00AA409A">
                    <w:trPr>
                      <w:trHeight w:val="300"/>
                    </w:trPr>
                    <w:tc>
                      <w:tcPr>
                        <w:tcW w:w="0" w:type="auto"/>
                        <w:tcBorders>
                          <w:top w:val="nil"/>
                          <w:left w:val="nil"/>
                          <w:bottom w:val="nil"/>
                          <w:right w:val="nil"/>
                        </w:tcBorders>
                        <w:noWrap/>
                        <w:vAlign w:val="center"/>
                        <w:hideMark/>
                      </w:tcPr>
                      <w:p w14:paraId="7E4FB9DB"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6</w:t>
                        </w:r>
                      </w:p>
                    </w:tc>
                    <w:tc>
                      <w:tcPr>
                        <w:tcW w:w="0" w:type="auto"/>
                        <w:tcBorders>
                          <w:top w:val="nil"/>
                          <w:left w:val="nil"/>
                          <w:bottom w:val="nil"/>
                          <w:right w:val="nil"/>
                        </w:tcBorders>
                        <w:noWrap/>
                        <w:vAlign w:val="center"/>
                        <w:hideMark/>
                      </w:tcPr>
                      <w:p w14:paraId="539A00C4"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w:t>
                        </w:r>
                      </w:p>
                    </w:tc>
                    <w:tc>
                      <w:tcPr>
                        <w:tcW w:w="0" w:type="auto"/>
                        <w:tcBorders>
                          <w:top w:val="nil"/>
                          <w:left w:val="nil"/>
                          <w:bottom w:val="nil"/>
                          <w:right w:val="nil"/>
                        </w:tcBorders>
                        <w:noWrap/>
                        <w:vAlign w:val="center"/>
                        <w:hideMark/>
                      </w:tcPr>
                      <w:p w14:paraId="561C42EF"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w:t>
                        </w:r>
                      </w:p>
                    </w:tc>
                    <w:tc>
                      <w:tcPr>
                        <w:tcW w:w="1320" w:type="dxa"/>
                        <w:tcBorders>
                          <w:top w:val="nil"/>
                          <w:left w:val="nil"/>
                          <w:bottom w:val="nil"/>
                          <w:right w:val="nil"/>
                        </w:tcBorders>
                        <w:noWrap/>
                        <w:vAlign w:val="center"/>
                        <w:hideMark/>
                      </w:tcPr>
                      <w:p w14:paraId="15409B9A"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10.0</w:t>
                        </w:r>
                      </w:p>
                    </w:tc>
                    <w:tc>
                      <w:tcPr>
                        <w:tcW w:w="1170" w:type="dxa"/>
                        <w:tcBorders>
                          <w:top w:val="nil"/>
                          <w:left w:val="nil"/>
                          <w:bottom w:val="nil"/>
                          <w:right w:val="nil"/>
                        </w:tcBorders>
                        <w:noWrap/>
                        <w:vAlign w:val="center"/>
                        <w:hideMark/>
                      </w:tcPr>
                      <w:p w14:paraId="6A9E0F13"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5.8</w:t>
                        </w:r>
                      </w:p>
                    </w:tc>
                    <w:tc>
                      <w:tcPr>
                        <w:tcW w:w="1080" w:type="dxa"/>
                        <w:tcBorders>
                          <w:top w:val="nil"/>
                          <w:left w:val="nil"/>
                          <w:bottom w:val="nil"/>
                          <w:right w:val="nil"/>
                        </w:tcBorders>
                        <w:noWrap/>
                        <w:vAlign w:val="center"/>
                        <w:hideMark/>
                      </w:tcPr>
                      <w:p w14:paraId="4CB54B94"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1.4</w:t>
                        </w:r>
                      </w:p>
                    </w:tc>
                    <w:tc>
                      <w:tcPr>
                        <w:tcW w:w="1122" w:type="dxa"/>
                        <w:tcBorders>
                          <w:top w:val="nil"/>
                          <w:left w:val="nil"/>
                          <w:bottom w:val="nil"/>
                          <w:right w:val="nil"/>
                        </w:tcBorders>
                        <w:noWrap/>
                        <w:vAlign w:val="center"/>
                        <w:hideMark/>
                      </w:tcPr>
                      <w:p w14:paraId="62215A62" w14:textId="77777777" w:rsidR="005F1709" w:rsidRPr="00C009DE" w:rsidRDefault="005F1709" w:rsidP="00C009DE">
                        <w:pPr>
                          <w:spacing w:before="0" w:line="240" w:lineRule="auto"/>
                          <w:jc w:val="center"/>
                          <w:rPr>
                            <w:rFonts w:ascii="Calibri" w:hAnsi="Calibri" w:cs="Calibri"/>
                            <w:color w:val="000000"/>
                            <w:szCs w:val="22"/>
                          </w:rPr>
                        </w:pPr>
                        <w:r w:rsidRPr="00C009DE">
                          <w:rPr>
                            <w:rFonts w:ascii="Calibri" w:hAnsi="Calibri" w:cs="Calibri"/>
                            <w:color w:val="000000"/>
                            <w:szCs w:val="22"/>
                          </w:rPr>
                          <w:t>9.6</w:t>
                        </w:r>
                      </w:p>
                    </w:tc>
                  </w:tr>
                  <w:tr w:rsidR="005F1709" w:rsidRPr="00C009DE" w14:paraId="54DDB3DE" w14:textId="77777777" w:rsidTr="00AA409A">
                    <w:trPr>
                      <w:trHeight w:val="300"/>
                    </w:trPr>
                    <w:tc>
                      <w:tcPr>
                        <w:tcW w:w="0" w:type="auto"/>
                        <w:tcBorders>
                          <w:top w:val="nil"/>
                          <w:left w:val="nil"/>
                          <w:bottom w:val="nil"/>
                          <w:right w:val="nil"/>
                        </w:tcBorders>
                        <w:noWrap/>
                        <w:vAlign w:val="center"/>
                        <w:hideMark/>
                      </w:tcPr>
                      <w:p w14:paraId="60579EB5" w14:textId="77777777" w:rsidR="005F1709" w:rsidRPr="00C009DE" w:rsidRDefault="005F1709" w:rsidP="00C009DE">
                        <w:pPr>
                          <w:spacing w:before="0" w:line="240" w:lineRule="auto"/>
                          <w:jc w:val="center"/>
                          <w:rPr>
                            <w:rFonts w:ascii="Calibri" w:hAnsi="Calibri" w:cs="Calibri"/>
                            <w:color w:val="000000"/>
                            <w:szCs w:val="22"/>
                          </w:rPr>
                        </w:pPr>
                        <w:r>
                          <w:rPr>
                            <w:rFonts w:ascii="Calibri" w:hAnsi="Calibri" w:cs="Calibri"/>
                            <w:color w:val="000000"/>
                            <w:szCs w:val="22"/>
                          </w:rPr>
                          <w:t>NPV @ 10%</w:t>
                        </w:r>
                      </w:p>
                    </w:tc>
                    <w:tc>
                      <w:tcPr>
                        <w:tcW w:w="0" w:type="auto"/>
                        <w:tcBorders>
                          <w:top w:val="nil"/>
                          <w:left w:val="nil"/>
                          <w:bottom w:val="nil"/>
                          <w:right w:val="nil"/>
                        </w:tcBorders>
                        <w:noWrap/>
                        <w:vAlign w:val="center"/>
                        <w:hideMark/>
                      </w:tcPr>
                      <w:p w14:paraId="1C706A29" w14:textId="77777777" w:rsidR="005F1709" w:rsidRPr="00C009DE" w:rsidRDefault="005F1709" w:rsidP="00C009DE">
                        <w:pPr>
                          <w:spacing w:before="0" w:line="240" w:lineRule="auto"/>
                          <w:jc w:val="center"/>
                          <w:rPr>
                            <w:rFonts w:ascii="Calibri" w:hAnsi="Calibri" w:cs="Calibri"/>
                            <w:color w:val="000000"/>
                            <w:szCs w:val="22"/>
                          </w:rPr>
                        </w:pPr>
                        <w:r>
                          <w:rPr>
                            <w:rFonts w:ascii="Calibri" w:hAnsi="Calibri" w:cs="Calibri"/>
                            <w:color w:val="000000"/>
                            <w:szCs w:val="22"/>
                          </w:rPr>
                          <w:t>75.8</w:t>
                        </w:r>
                      </w:p>
                    </w:tc>
                    <w:tc>
                      <w:tcPr>
                        <w:tcW w:w="0" w:type="auto"/>
                        <w:tcBorders>
                          <w:top w:val="nil"/>
                          <w:left w:val="nil"/>
                          <w:bottom w:val="nil"/>
                          <w:right w:val="nil"/>
                        </w:tcBorders>
                        <w:noWrap/>
                        <w:vAlign w:val="center"/>
                        <w:hideMark/>
                      </w:tcPr>
                      <w:p w14:paraId="1FA569A8" w14:textId="77777777" w:rsidR="005F1709" w:rsidRPr="00C009DE" w:rsidRDefault="005F1709" w:rsidP="00C009DE">
                        <w:pPr>
                          <w:spacing w:before="0" w:line="240" w:lineRule="auto"/>
                          <w:jc w:val="center"/>
                          <w:rPr>
                            <w:rFonts w:ascii="Calibri" w:hAnsi="Calibri" w:cs="Calibri"/>
                            <w:color w:val="000000"/>
                            <w:szCs w:val="22"/>
                          </w:rPr>
                        </w:pPr>
                        <w:r>
                          <w:rPr>
                            <w:rFonts w:ascii="Calibri" w:hAnsi="Calibri" w:cs="Calibri"/>
                            <w:color w:val="000000"/>
                            <w:szCs w:val="22"/>
                          </w:rPr>
                          <w:t>81.1</w:t>
                        </w:r>
                      </w:p>
                    </w:tc>
                    <w:tc>
                      <w:tcPr>
                        <w:tcW w:w="1320" w:type="dxa"/>
                        <w:tcBorders>
                          <w:top w:val="nil"/>
                          <w:left w:val="nil"/>
                          <w:bottom w:val="nil"/>
                          <w:right w:val="nil"/>
                        </w:tcBorders>
                        <w:noWrap/>
                        <w:vAlign w:val="center"/>
                        <w:hideMark/>
                      </w:tcPr>
                      <w:p w14:paraId="27D325CE" w14:textId="77777777" w:rsidR="005F1709" w:rsidRPr="00C009DE" w:rsidRDefault="005F1709" w:rsidP="00C009DE">
                        <w:pPr>
                          <w:spacing w:before="0" w:line="240" w:lineRule="auto"/>
                          <w:jc w:val="center"/>
                          <w:rPr>
                            <w:rFonts w:ascii="Calibri" w:hAnsi="Calibri" w:cs="Calibri"/>
                            <w:color w:val="000000"/>
                            <w:szCs w:val="22"/>
                          </w:rPr>
                        </w:pPr>
                        <w:r>
                          <w:rPr>
                            <w:rFonts w:ascii="Calibri" w:hAnsi="Calibri" w:cs="Calibri"/>
                            <w:color w:val="000000"/>
                            <w:szCs w:val="22"/>
                          </w:rPr>
                          <w:t>72.4</w:t>
                        </w:r>
                      </w:p>
                    </w:tc>
                    <w:tc>
                      <w:tcPr>
                        <w:tcW w:w="1170" w:type="dxa"/>
                        <w:tcBorders>
                          <w:top w:val="nil"/>
                          <w:left w:val="nil"/>
                          <w:bottom w:val="nil"/>
                          <w:right w:val="nil"/>
                        </w:tcBorders>
                        <w:noWrap/>
                        <w:vAlign w:val="center"/>
                        <w:hideMark/>
                      </w:tcPr>
                      <w:p w14:paraId="6A5E0628" w14:textId="77777777" w:rsidR="005F1709" w:rsidRPr="00C009DE" w:rsidRDefault="005F1709" w:rsidP="00C009DE">
                        <w:pPr>
                          <w:spacing w:before="0" w:line="240" w:lineRule="auto"/>
                          <w:jc w:val="center"/>
                          <w:rPr>
                            <w:rFonts w:ascii="Calibri" w:hAnsi="Calibri" w:cs="Calibri"/>
                            <w:color w:val="000000"/>
                            <w:szCs w:val="22"/>
                          </w:rPr>
                        </w:pPr>
                        <w:r>
                          <w:rPr>
                            <w:rFonts w:ascii="Calibri" w:hAnsi="Calibri" w:cs="Calibri"/>
                            <w:color w:val="000000"/>
                            <w:szCs w:val="22"/>
                          </w:rPr>
                          <w:t>77.3</w:t>
                        </w:r>
                      </w:p>
                    </w:tc>
                    <w:tc>
                      <w:tcPr>
                        <w:tcW w:w="1080" w:type="dxa"/>
                        <w:tcBorders>
                          <w:top w:val="nil"/>
                          <w:left w:val="nil"/>
                          <w:bottom w:val="nil"/>
                          <w:right w:val="nil"/>
                        </w:tcBorders>
                        <w:noWrap/>
                        <w:vAlign w:val="center"/>
                        <w:hideMark/>
                      </w:tcPr>
                      <w:p w14:paraId="341F20D2" w14:textId="77777777" w:rsidR="005F1709" w:rsidRPr="00C009DE" w:rsidRDefault="005F1709" w:rsidP="00C009DE">
                        <w:pPr>
                          <w:spacing w:before="0" w:line="240" w:lineRule="auto"/>
                          <w:jc w:val="center"/>
                          <w:rPr>
                            <w:rFonts w:ascii="Calibri" w:hAnsi="Calibri" w:cs="Calibri"/>
                            <w:color w:val="000000"/>
                            <w:szCs w:val="22"/>
                          </w:rPr>
                        </w:pPr>
                        <w:r>
                          <w:rPr>
                            <w:rFonts w:ascii="Calibri" w:hAnsi="Calibri" w:cs="Calibri"/>
                            <w:color w:val="000000"/>
                            <w:szCs w:val="22"/>
                          </w:rPr>
                          <w:t>80.2</w:t>
                        </w:r>
                      </w:p>
                    </w:tc>
                    <w:tc>
                      <w:tcPr>
                        <w:tcW w:w="1122" w:type="dxa"/>
                        <w:tcBorders>
                          <w:top w:val="nil"/>
                          <w:left w:val="nil"/>
                          <w:bottom w:val="nil"/>
                          <w:right w:val="nil"/>
                        </w:tcBorders>
                        <w:noWrap/>
                        <w:vAlign w:val="center"/>
                        <w:hideMark/>
                      </w:tcPr>
                      <w:p w14:paraId="293AEE89" w14:textId="77777777" w:rsidR="005F1709" w:rsidRPr="00C009DE" w:rsidRDefault="005F1709" w:rsidP="00C009DE">
                        <w:pPr>
                          <w:spacing w:before="0" w:line="240" w:lineRule="auto"/>
                          <w:jc w:val="center"/>
                          <w:rPr>
                            <w:rFonts w:ascii="Calibri" w:hAnsi="Calibri" w:cs="Calibri"/>
                            <w:color w:val="000000"/>
                            <w:szCs w:val="22"/>
                          </w:rPr>
                        </w:pPr>
                        <w:r>
                          <w:rPr>
                            <w:rFonts w:ascii="Calibri" w:hAnsi="Calibri" w:cs="Calibri"/>
                            <w:color w:val="000000"/>
                            <w:szCs w:val="22"/>
                          </w:rPr>
                          <w:t>74.6</w:t>
                        </w:r>
                      </w:p>
                    </w:tc>
                  </w:tr>
                </w:tbl>
                <w:p w14:paraId="584A2B08" w14:textId="77777777" w:rsidR="005F1709" w:rsidRDefault="005F1709"/>
              </w:txbxContent>
            </v:textbox>
            <w10:wrap type="topAndBottom"/>
          </v:shape>
        </w:pict>
      </w:r>
      <w:r w:rsidR="00082C64">
        <w:t>The IRS lets companies depreciate property using the straight-line method or accelerated methods. Under the straight-line method</w:t>
      </w:r>
      <w:r w:rsidR="00565D2B">
        <w:t>, t</w:t>
      </w:r>
      <w:r w:rsidR="00082C64">
        <w:t xml:space="preserve">he asset is assigned a useful life and only the difference between cost and expected salvage value is depreciated. That is, annual depreciation is computed as </w:t>
      </w:r>
      <w:r w:rsidR="006434F6" w:rsidRPr="00CA4694">
        <w:rPr>
          <w:position w:val="-10"/>
        </w:rPr>
        <w:object w:dxaOrig="3700" w:dyaOrig="320" w14:anchorId="7ABD0715">
          <v:shape id="_x0000_i1030" type="#_x0000_t75" style="width:185.25pt;height:15.75pt" o:ole="">
            <v:imagedata r:id="rId17" o:title=""/>
          </v:shape>
          <o:OLEObject Type="Embed" ProgID="Equation.DSMT4" ShapeID="_x0000_i1030" DrawAspect="Content" ObjectID="_1837604428" r:id="rId18"/>
        </w:object>
      </w:r>
      <w:r w:rsidR="00082C64">
        <w:t xml:space="preserve">. By contrast, accelerated depreciation is taken on the entire cost of the asset, ignoring any salvage value. Furthermore, accelerated depreciation charges are front-loaded, being larger in early periods. Since depreciation is a fictitious expense that acts to reduce tax payments, accelerated methods are generally preferred—the absolute amount of depreciation is </w:t>
      </w:r>
      <w:proofErr w:type="gramStart"/>
      <w:r w:rsidR="00082C64">
        <w:t>larger</w:t>
      </w:r>
      <w:proofErr w:type="gramEnd"/>
      <w:r w:rsidR="00082C64">
        <w:t xml:space="preserve"> and the </w:t>
      </w:r>
      <w:proofErr w:type="gramStart"/>
      <w:r w:rsidR="00082C64">
        <w:t>present-value</w:t>
      </w:r>
      <w:proofErr w:type="gramEnd"/>
      <w:r w:rsidR="00082C64">
        <w:t xml:space="preserve"> of front-loaded tax savings is greater.</w:t>
      </w:r>
    </w:p>
    <w:p w14:paraId="5A428179" w14:textId="77777777" w:rsidR="00C009DE" w:rsidRDefault="00C009DE" w:rsidP="00082C64"/>
    <w:p w14:paraId="446DE862" w14:textId="77777777" w:rsidR="00C009DE" w:rsidRDefault="00C009DE" w:rsidP="00082C64"/>
    <w:p w14:paraId="4778C0E2" w14:textId="77777777" w:rsidR="00082C64" w:rsidRDefault="00082C64" w:rsidP="008D36FB">
      <w:r>
        <w:t xml:space="preserve">Accelerated depreciation rules and tables are available in IRS Publication 946. The overall idea is </w:t>
      </w:r>
      <w:r w:rsidR="008D36FB">
        <w:t xml:space="preserve">to encourage investment by shifting the tax deductions into earlier years. More detail on this appears in the Appendix to this note. The </w:t>
      </w:r>
      <w:r w:rsidR="00565D2B">
        <w:t>Appendix</w:t>
      </w:r>
      <w:r w:rsidR="008D36FB">
        <w:t xml:space="preserve"> also describes the Excel user-function</w:t>
      </w:r>
      <w:r w:rsidR="00565D2B">
        <w:t>s</w:t>
      </w:r>
      <w:r w:rsidR="008D36FB">
        <w:t xml:space="preserve"> MACRS and MACRS_PV which are available in the ASA add-in. </w:t>
      </w:r>
    </w:p>
    <w:p w14:paraId="7E8C6A4D" w14:textId="77777777" w:rsidR="00C009DE" w:rsidRDefault="00000000" w:rsidP="00082C64">
      <w:r>
        <w:rPr>
          <w:noProof/>
          <w:lang w:eastAsia="zh-TW"/>
        </w:rPr>
        <w:pict w14:anchorId="40C5BBC5">
          <v:shape id="_x0000_s2086" type="#_x0000_t202" style="position:absolute;left:0;text-align:left;margin-left:55.85pt;margin-top:300.1pt;width:298.15pt;height:261.15pt;z-index:3;mso-wrap-distance-top:7.2pt;mso-wrap-distance-bottom:7.2pt;mso-width-relative:margin;mso-height-relative:margin" o:allowoverlap="f" stroked="f">
            <v:textbox style="mso-next-textbox:#_x0000_s2086">
              <w:txbxContent>
                <w:p w14:paraId="2F56E0EE" w14:textId="77777777" w:rsidR="005F1709" w:rsidRDefault="005F1709" w:rsidP="00CF3A5E">
                  <w:pPr>
                    <w:pStyle w:val="Caption"/>
                  </w:pPr>
                  <w:bookmarkStart w:id="3" w:name="_Ref257982950"/>
                  <w:r>
                    <w:t xml:space="preserve">Exhibit </w:t>
                  </w:r>
                  <w:fldSimple w:instr=" SEQ Exhibit \* ARABIC ">
                    <w:r>
                      <w:rPr>
                        <w:noProof/>
                      </w:rPr>
                      <w:t>4</w:t>
                    </w:r>
                  </w:fldSimple>
                  <w:bookmarkEnd w:id="3"/>
                  <w:r>
                    <w:t>—Client Analysis</w:t>
                  </w:r>
                </w:p>
                <w:p w14:paraId="32FFCE0C" w14:textId="77777777" w:rsidR="005F1709" w:rsidRPr="00A806A4" w:rsidRDefault="00000000" w:rsidP="00A806A4">
                  <w:pPr>
                    <w:jc w:val="center"/>
                  </w:pPr>
                  <w:r>
                    <w:pict w14:anchorId="64366CD5">
                      <v:shape id="_x0000_i1032" type="#_x0000_t75" style="width:283.5pt;height:231pt" o:ole="">
                        <v:imagedata r:id="rId19" o:title=""/>
                      </v:shape>
                    </w:pict>
                  </w:r>
                </w:p>
              </w:txbxContent>
            </v:textbox>
            <w10:wrap type="topAndBottom"/>
          </v:shape>
        </w:pict>
      </w:r>
      <w:r w:rsidR="006F1FA3">
        <w:fldChar w:fldCharType="begin"/>
      </w:r>
      <w:r w:rsidR="00C009DE">
        <w:instrText xml:space="preserve"> REF _Ref258069666 \h </w:instrText>
      </w:r>
      <w:r w:rsidR="006F1FA3">
        <w:fldChar w:fldCharType="separate"/>
      </w:r>
      <w:r w:rsidR="00C009DE">
        <w:t xml:space="preserve">Exhibit </w:t>
      </w:r>
      <w:r w:rsidR="00C009DE">
        <w:rPr>
          <w:noProof/>
        </w:rPr>
        <w:t>3</w:t>
      </w:r>
      <w:r w:rsidR="006F1FA3">
        <w:fldChar w:fldCharType="end"/>
      </w:r>
      <w:r w:rsidR="00C009DE">
        <w:t xml:space="preserve"> shows the percentage of the original capital amount invested that is depreciated in each year </w:t>
      </w:r>
      <w:proofErr w:type="gramStart"/>
      <w:r w:rsidR="00C009DE">
        <w:t>following under</w:t>
      </w:r>
      <w:proofErr w:type="gramEnd"/>
      <w:r w:rsidR="00C009DE">
        <w:t xml:space="preserve"> different rules. The pure straight-line and pure double-declining balance are only theoretical approximations. Real depreciation is constrained to begin in the middle of the year or quarter in which the investment was made. Thus, MACRS straight line depreciation of a 5-year property is one-half that of theoretical straight-line in the first year. </w:t>
      </w:r>
      <w:proofErr w:type="gramStart"/>
      <w:r w:rsidR="00C009DE">
        <w:t>And,</w:t>
      </w:r>
      <w:proofErr w:type="gramEnd"/>
      <w:r w:rsidR="00C009DE">
        <w:t xml:space="preserve"> it extends into the sixth year. </w:t>
      </w:r>
      <w:r w:rsidR="00AA409A">
        <w:t>In accelerated MACRS, look at the difference between starting in the middle of the first and last quarters.</w:t>
      </w:r>
    </w:p>
    <w:p w14:paraId="6BD701C2" w14:textId="77777777" w:rsidR="00AA409A" w:rsidRDefault="00AA409A" w:rsidP="00082C64">
      <w:r>
        <w:t xml:space="preserve">The last line of the table shows the present values of each stream. As you can see, the differences are not round-off </w:t>
      </w:r>
      <w:proofErr w:type="gramStart"/>
      <w:r>
        <w:t>error</w:t>
      </w:r>
      <w:proofErr w:type="gramEnd"/>
      <w:r>
        <w:t xml:space="preserve">. </w:t>
      </w:r>
    </w:p>
    <w:p w14:paraId="326B5DFF" w14:textId="77777777" w:rsidR="00082C64" w:rsidRDefault="00565D2B" w:rsidP="00082C64">
      <w:r>
        <w:t xml:space="preserve">Getting depreciation and capital costs right matters. </w:t>
      </w:r>
      <w:r w:rsidR="006F1FA3">
        <w:fldChar w:fldCharType="begin"/>
      </w:r>
      <w:r w:rsidR="00BC68CD">
        <w:instrText xml:space="preserve"> REF _Ref257982950 \h </w:instrText>
      </w:r>
      <w:r w:rsidR="006F1FA3">
        <w:fldChar w:fldCharType="separate"/>
      </w:r>
      <w:r w:rsidR="00BD190A">
        <w:t xml:space="preserve">Exhibit </w:t>
      </w:r>
      <w:r w:rsidR="00BD190A">
        <w:rPr>
          <w:noProof/>
        </w:rPr>
        <w:t>3</w:t>
      </w:r>
      <w:r w:rsidR="006F1FA3">
        <w:fldChar w:fldCharType="end"/>
      </w:r>
      <w:r w:rsidR="00BC68CD">
        <w:t xml:space="preserve"> shows an </w:t>
      </w:r>
      <w:r w:rsidR="00082C64">
        <w:t xml:space="preserve">analysis done by a client. In this case, the comparison being attempted </w:t>
      </w:r>
      <w:r>
        <w:t>wa</w:t>
      </w:r>
      <w:r w:rsidR="00082C64">
        <w:t>s between</w:t>
      </w:r>
      <w:r w:rsidR="00CF3A5E">
        <w:t xml:space="preserve"> buying an</w:t>
      </w:r>
      <w:r w:rsidR="00A806A4">
        <w:t>d</w:t>
      </w:r>
      <w:r w:rsidR="00CF3A5E">
        <w:t xml:space="preserve"> operating a materials-processing machine versus paying a supplier for similar processing. The </w:t>
      </w:r>
      <w:r w:rsidR="002A6D31">
        <w:t xml:space="preserve">client's financial office </w:t>
      </w:r>
      <w:r w:rsidR="00CF3A5E">
        <w:t>estimated a unit cost of $</w:t>
      </w:r>
      <w:r w:rsidR="00A806A4">
        <w:t>5.24</w:t>
      </w:r>
      <w:r>
        <w:t xml:space="preserve"> per lb. </w:t>
      </w:r>
      <w:r w:rsidR="00CF3A5E">
        <w:t>This cost ha</w:t>
      </w:r>
      <w:r>
        <w:t>d</w:t>
      </w:r>
      <w:r w:rsidR="00CF3A5E">
        <w:t xml:space="preserve"> </w:t>
      </w:r>
      <w:r w:rsidR="00A806A4">
        <w:t>four</w:t>
      </w:r>
      <w:r w:rsidR="00CF3A5E">
        <w:t xml:space="preserve"> components: maintenance expense, labor expense, </w:t>
      </w:r>
      <w:r w:rsidR="00A806A4">
        <w:t xml:space="preserve">interest expense </w:t>
      </w:r>
      <w:r w:rsidR="00CF3A5E">
        <w:t xml:space="preserve">and depreciation expense, with the latter computed on a straight-line basis over a 10-year usable life. </w:t>
      </w:r>
    </w:p>
    <w:p w14:paraId="5C01D67A" w14:textId="77777777" w:rsidR="002A6D31" w:rsidRDefault="00783F27" w:rsidP="00082C64">
      <w:r>
        <w:t xml:space="preserve">This sort of simple analysis, done thousands of </w:t>
      </w:r>
      <w:proofErr w:type="gramStart"/>
      <w:r>
        <w:t>time</w:t>
      </w:r>
      <w:proofErr w:type="gramEnd"/>
      <w:r>
        <w:t xml:space="preserve"> each day, is wrong. By neglecting the time value of money, the annual depreciation charge understates the "cost" of the machine. </w:t>
      </w:r>
      <w:r w:rsidR="00A806A4">
        <w:t xml:space="preserve">The machine must be paid for </w:t>
      </w:r>
      <w:r w:rsidR="00A806A4" w:rsidRPr="00783F27">
        <w:rPr>
          <w:i/>
        </w:rPr>
        <w:t>now</w:t>
      </w:r>
      <w:r w:rsidR="00A806A4">
        <w:t xml:space="preserve">, not </w:t>
      </w:r>
      <w:proofErr w:type="gramStart"/>
      <w:r w:rsidR="00A806A4">
        <w:t>over time</w:t>
      </w:r>
      <w:proofErr w:type="gramEnd"/>
      <w:r w:rsidR="00A806A4">
        <w:t xml:space="preserve">. </w:t>
      </w:r>
      <w:proofErr w:type="gramStart"/>
      <w:r w:rsidR="00A806A4">
        <w:t>And,</w:t>
      </w:r>
      <w:proofErr w:type="gramEnd"/>
      <w:r w:rsidR="00A806A4">
        <w:t xml:space="preserve"> the interest expense understates the true cost of capital.</w:t>
      </w:r>
    </w:p>
    <w:p w14:paraId="4D8DF42A" w14:textId="77777777" w:rsidR="00A806A4" w:rsidRDefault="00A806A4" w:rsidP="00082C64">
      <w:r>
        <w:lastRenderedPageBreak/>
        <w:t xml:space="preserve">Here is how to fix the analysis. First, take out the interest expense. Yes, it is real cash, but we push the expense of both debt and equity into the cost of capital figure. Putting it here will </w:t>
      </w:r>
      <w:proofErr w:type="gramStart"/>
      <w:r>
        <w:t>double count</w:t>
      </w:r>
      <w:proofErr w:type="gramEnd"/>
      <w:r>
        <w:t xml:space="preserve"> the cost of debt.</w:t>
      </w:r>
    </w:p>
    <w:p w14:paraId="59DCD409" w14:textId="77777777" w:rsidR="002A6D31" w:rsidRDefault="007C719B" w:rsidP="00082C64">
      <w:r>
        <w:t>Working in thousands, t</w:t>
      </w:r>
      <w:r w:rsidR="002A6D31">
        <w:t>he company's capital expenditure of $825</w:t>
      </w:r>
      <w:r>
        <w:t xml:space="preserve"> </w:t>
      </w:r>
      <w:r w:rsidR="002A6D31">
        <w:t>is not a tax-deductable expense, but the fictitious depreciation charges are. Staying with the pure straight-line assumption, each $82</w:t>
      </w:r>
      <w:r>
        <w:t>.5</w:t>
      </w:r>
      <w:r w:rsidR="002A6D31">
        <w:t xml:space="preserve"> annual charge cuts the company's tax payment (</w:t>
      </w:r>
      <w:proofErr w:type="gramStart"/>
      <w:r w:rsidR="002A6D31">
        <w:t>0.38)(</w:t>
      </w:r>
      <w:proofErr w:type="gramEnd"/>
      <w:r w:rsidR="002A6D31">
        <w:t>82.5) = $</w:t>
      </w:r>
      <w:r>
        <w:t xml:space="preserve">31.35. The company used a cost of capital of 10%, so the present value of those annual tax savings—the tax shield—is </w:t>
      </w:r>
      <w:proofErr w:type="gramStart"/>
      <w:r>
        <w:t>PV(</w:t>
      </w:r>
      <w:proofErr w:type="gramEnd"/>
      <w:r>
        <w:t xml:space="preserve">0.1, 10, -31.35) = $192.6. </w:t>
      </w:r>
      <w:proofErr w:type="gramStart"/>
      <w:r>
        <w:t>This</w:t>
      </w:r>
      <w:proofErr w:type="gramEnd"/>
      <w:r>
        <w:t xml:space="preserve"> savings can be deducted from the original price of the machine to arrive at a net capital cost of $825 - 192.6 = $632.4. </w:t>
      </w:r>
    </w:p>
    <w:p w14:paraId="07BF42E0" w14:textId="77777777" w:rsidR="007C719B" w:rsidRDefault="007C719B" w:rsidP="00082C64">
      <w:r>
        <w:t xml:space="preserve">At this point some analysts would take the present value of the expenses and the present value of paying the supplier instead and compare these present values. This will produce a </w:t>
      </w:r>
      <w:proofErr w:type="gramStart"/>
      <w:r>
        <w:t>correct numbers</w:t>
      </w:r>
      <w:proofErr w:type="gramEnd"/>
      <w:r>
        <w:t xml:space="preserve">, and order the alternatives correctly, but it is not very helpful to management. The work already done suggests they are comfortable with annual figures and especially with cost per lb. </w:t>
      </w:r>
    </w:p>
    <w:p w14:paraId="4F754A8A" w14:textId="77777777" w:rsidR="007C719B" w:rsidRDefault="007C719B" w:rsidP="00082C64">
      <w:r>
        <w:t>Take the $632.4 net capital cost and convert it into a no-profit lease. That will be</w:t>
      </w:r>
    </w:p>
    <w:p w14:paraId="61B96EB1" w14:textId="77777777" w:rsidR="007C719B" w:rsidRDefault="007C719B" w:rsidP="00082C64">
      <w:r>
        <w:tab/>
        <w:t xml:space="preserve">NPL = </w:t>
      </w:r>
      <w:proofErr w:type="gramStart"/>
      <w:r>
        <w:t>PMT( 0.1</w:t>
      </w:r>
      <w:proofErr w:type="gramEnd"/>
      <w:r>
        <w:t xml:space="preserve">, 10, -632.4)/(1-tax) = $166. </w:t>
      </w:r>
    </w:p>
    <w:p w14:paraId="21D85EFC" w14:textId="77777777" w:rsidR="00EC6E63" w:rsidRDefault="00000000" w:rsidP="00082C64">
      <w:r>
        <w:rPr>
          <w:noProof/>
          <w:lang w:eastAsia="zh-TW"/>
        </w:rPr>
        <w:pict w14:anchorId="7CC15A3E">
          <v:shape id="_x0000_s2087" type="#_x0000_t202" style="position:absolute;left:0;text-align:left;margin-left:2.25pt;margin-top:53.3pt;width:434.65pt;height:189.75pt;z-index:-2;mso-wrap-distance-left:9.35pt;mso-wrap-distance-top:7.2pt;mso-wrap-distance-right:9.35pt;mso-wrap-distance-bottom:7.2pt;mso-width-relative:margin;mso-height-relative:margin" wrapcoords="-67 0 -67 21543 21600 21543 21600 0 -67 0" o:allowoverlap="f" stroked="f">
            <v:textbox style="mso-next-textbox:#_x0000_s2087">
              <w:txbxContent>
                <w:p w14:paraId="330DCCCE" w14:textId="77777777" w:rsidR="005F1709" w:rsidRDefault="005F1709" w:rsidP="00EC6E63">
                  <w:pPr>
                    <w:pStyle w:val="Caption"/>
                  </w:pPr>
                  <w:bookmarkStart w:id="4" w:name="_Ref257981427"/>
                  <w:r>
                    <w:t xml:space="preserve">Exhibit </w:t>
                  </w:r>
                  <w:fldSimple w:instr=" SEQ Exhibit \* ARABIC ">
                    <w:r>
                      <w:rPr>
                        <w:noProof/>
                      </w:rPr>
                      <w:t>5</w:t>
                    </w:r>
                  </w:fldSimple>
                  <w:bookmarkEnd w:id="4"/>
                  <w:r>
                    <w:t>—Revisions to Client's Calculations</w:t>
                  </w:r>
                </w:p>
                <w:tbl>
                  <w:tblPr>
                    <w:tblW w:w="0" w:type="auto"/>
                    <w:tblLook w:val="04A0" w:firstRow="1" w:lastRow="0" w:firstColumn="1" w:lastColumn="0" w:noHBand="0" w:noVBand="1"/>
                  </w:tblPr>
                  <w:tblGrid>
                    <w:gridCol w:w="222"/>
                    <w:gridCol w:w="2883"/>
                    <w:gridCol w:w="1233"/>
                    <w:gridCol w:w="2858"/>
                    <w:gridCol w:w="1440"/>
                  </w:tblGrid>
                  <w:tr w:rsidR="00224FB9" w:rsidRPr="00EC6E63" w14:paraId="66B4EC6E" w14:textId="77777777" w:rsidTr="00670742">
                    <w:trPr>
                      <w:trHeight w:val="300"/>
                    </w:trPr>
                    <w:tc>
                      <w:tcPr>
                        <w:tcW w:w="3105" w:type="dxa"/>
                        <w:gridSpan w:val="2"/>
                        <w:tcBorders>
                          <w:top w:val="nil"/>
                          <w:left w:val="nil"/>
                          <w:bottom w:val="single" w:sz="4" w:space="0" w:color="000000"/>
                          <w:right w:val="nil"/>
                        </w:tcBorders>
                        <w:noWrap/>
                        <w:vAlign w:val="center"/>
                        <w:hideMark/>
                      </w:tcPr>
                      <w:p w14:paraId="3376CCE2" w14:textId="77777777" w:rsidR="00224FB9" w:rsidRPr="00670742" w:rsidRDefault="00670742" w:rsidP="00670742">
                        <w:pPr>
                          <w:spacing w:before="0"/>
                          <w:jc w:val="left"/>
                          <w:rPr>
                            <w:rFonts w:ascii="Calibri" w:hAnsi="Calibri" w:cs="Calibri"/>
                            <w:b/>
                            <w:color w:val="000000"/>
                            <w:sz w:val="18"/>
                            <w:szCs w:val="18"/>
                          </w:rPr>
                        </w:pPr>
                        <w:r w:rsidRPr="00670742">
                          <w:rPr>
                            <w:rFonts w:ascii="Calibri" w:hAnsi="Calibri" w:cs="Calibri"/>
                            <w:b/>
                            <w:color w:val="000000"/>
                            <w:sz w:val="18"/>
                            <w:szCs w:val="18"/>
                          </w:rPr>
                          <w:t>Item</w:t>
                        </w:r>
                      </w:p>
                    </w:tc>
                    <w:tc>
                      <w:tcPr>
                        <w:tcW w:w="1233" w:type="dxa"/>
                        <w:tcBorders>
                          <w:top w:val="nil"/>
                          <w:left w:val="nil"/>
                          <w:bottom w:val="single" w:sz="4" w:space="0" w:color="000000"/>
                          <w:right w:val="nil"/>
                        </w:tcBorders>
                        <w:vAlign w:val="center"/>
                      </w:tcPr>
                      <w:p w14:paraId="6F9ECFF8" w14:textId="77777777" w:rsidR="00224FB9" w:rsidRPr="00670742" w:rsidRDefault="00224FB9" w:rsidP="00670742">
                        <w:pPr>
                          <w:spacing w:before="0"/>
                          <w:jc w:val="left"/>
                          <w:rPr>
                            <w:rFonts w:ascii="Calibri" w:hAnsi="Calibri" w:cs="Calibri"/>
                            <w:b/>
                            <w:color w:val="000000"/>
                            <w:sz w:val="18"/>
                            <w:szCs w:val="18"/>
                          </w:rPr>
                        </w:pPr>
                        <w:r w:rsidRPr="00670742">
                          <w:rPr>
                            <w:rFonts w:ascii="Calibri" w:hAnsi="Calibri" w:cs="Calibri"/>
                            <w:b/>
                            <w:color w:val="000000"/>
                            <w:sz w:val="18"/>
                            <w:szCs w:val="18"/>
                          </w:rPr>
                          <w:t>Row Label</w:t>
                        </w:r>
                      </w:p>
                    </w:tc>
                    <w:tc>
                      <w:tcPr>
                        <w:tcW w:w="2858" w:type="dxa"/>
                        <w:tcBorders>
                          <w:top w:val="nil"/>
                          <w:left w:val="nil"/>
                          <w:bottom w:val="single" w:sz="4" w:space="0" w:color="000000"/>
                          <w:right w:val="nil"/>
                        </w:tcBorders>
                        <w:vAlign w:val="center"/>
                      </w:tcPr>
                      <w:p w14:paraId="3A9D3D14" w14:textId="77777777" w:rsidR="00224FB9" w:rsidRPr="00670742" w:rsidRDefault="00224FB9" w:rsidP="00670742">
                        <w:pPr>
                          <w:spacing w:before="0"/>
                          <w:jc w:val="left"/>
                          <w:rPr>
                            <w:rFonts w:ascii="Calibri" w:hAnsi="Calibri" w:cs="Calibri"/>
                            <w:b/>
                            <w:color w:val="000000"/>
                            <w:sz w:val="18"/>
                            <w:szCs w:val="18"/>
                          </w:rPr>
                        </w:pPr>
                        <w:r w:rsidRPr="00670742">
                          <w:rPr>
                            <w:rFonts w:ascii="Calibri" w:hAnsi="Calibri" w:cs="Calibri"/>
                            <w:b/>
                            <w:color w:val="000000"/>
                            <w:sz w:val="18"/>
                            <w:szCs w:val="18"/>
                          </w:rPr>
                          <w:t>Excel Formula</w:t>
                        </w:r>
                      </w:p>
                    </w:tc>
                    <w:tc>
                      <w:tcPr>
                        <w:tcW w:w="1440" w:type="dxa"/>
                        <w:tcBorders>
                          <w:top w:val="nil"/>
                          <w:left w:val="nil"/>
                          <w:bottom w:val="single" w:sz="4" w:space="0" w:color="000000"/>
                          <w:right w:val="nil"/>
                        </w:tcBorders>
                        <w:noWrap/>
                        <w:vAlign w:val="center"/>
                        <w:hideMark/>
                      </w:tcPr>
                      <w:p w14:paraId="3D3CF5F7" w14:textId="77777777" w:rsidR="00224FB9" w:rsidRPr="00670742" w:rsidRDefault="00670742" w:rsidP="00670742">
                        <w:pPr>
                          <w:spacing w:before="0"/>
                          <w:jc w:val="left"/>
                          <w:rPr>
                            <w:rFonts w:ascii="Calibri" w:hAnsi="Calibri" w:cs="Calibri"/>
                            <w:b/>
                            <w:color w:val="000000"/>
                            <w:sz w:val="18"/>
                            <w:szCs w:val="18"/>
                          </w:rPr>
                        </w:pPr>
                        <w:r w:rsidRPr="00670742">
                          <w:rPr>
                            <w:rFonts w:ascii="Calibri" w:hAnsi="Calibri" w:cs="Calibri"/>
                            <w:b/>
                            <w:color w:val="000000"/>
                            <w:sz w:val="18"/>
                            <w:szCs w:val="18"/>
                          </w:rPr>
                          <w:t>Amount</w:t>
                        </w:r>
                      </w:p>
                    </w:tc>
                  </w:tr>
                  <w:tr w:rsidR="00224FB9" w:rsidRPr="00EC6E63" w14:paraId="716393DC" w14:textId="77777777" w:rsidTr="00670742">
                    <w:trPr>
                      <w:trHeight w:val="300"/>
                    </w:trPr>
                    <w:tc>
                      <w:tcPr>
                        <w:tcW w:w="3105" w:type="dxa"/>
                        <w:gridSpan w:val="2"/>
                        <w:tcBorders>
                          <w:top w:val="single" w:sz="4" w:space="0" w:color="000000"/>
                          <w:left w:val="nil"/>
                          <w:bottom w:val="nil"/>
                          <w:right w:val="nil"/>
                        </w:tcBorders>
                        <w:noWrap/>
                        <w:vAlign w:val="bottom"/>
                        <w:hideMark/>
                      </w:tcPr>
                      <w:p w14:paraId="45DF20C9"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Machine Purchase</w:t>
                        </w:r>
                      </w:p>
                    </w:tc>
                    <w:tc>
                      <w:tcPr>
                        <w:tcW w:w="1233" w:type="dxa"/>
                        <w:tcBorders>
                          <w:top w:val="single" w:sz="4" w:space="0" w:color="000000"/>
                          <w:left w:val="nil"/>
                          <w:bottom w:val="nil"/>
                          <w:right w:val="nil"/>
                        </w:tcBorders>
                      </w:tcPr>
                      <w:p w14:paraId="1BF99D48" w14:textId="77777777" w:rsidR="00224FB9" w:rsidRPr="00EC6E63" w:rsidRDefault="00670742" w:rsidP="00224FB9">
                        <w:pPr>
                          <w:spacing w:before="0"/>
                          <w:jc w:val="left"/>
                          <w:rPr>
                            <w:rFonts w:ascii="Calibri" w:hAnsi="Calibri" w:cs="Calibri"/>
                            <w:color w:val="000000"/>
                            <w:sz w:val="18"/>
                            <w:szCs w:val="18"/>
                          </w:rPr>
                        </w:pPr>
                        <w:r>
                          <w:rPr>
                            <w:rFonts w:ascii="Calibri" w:hAnsi="Calibri" w:cs="Calibri"/>
                            <w:color w:val="000000"/>
                            <w:sz w:val="18"/>
                            <w:szCs w:val="18"/>
                          </w:rPr>
                          <w:t>price</w:t>
                        </w:r>
                      </w:p>
                    </w:tc>
                    <w:tc>
                      <w:tcPr>
                        <w:tcW w:w="2858" w:type="dxa"/>
                        <w:tcBorders>
                          <w:top w:val="single" w:sz="4" w:space="0" w:color="000000"/>
                          <w:left w:val="nil"/>
                          <w:bottom w:val="nil"/>
                          <w:right w:val="nil"/>
                        </w:tcBorders>
                      </w:tcPr>
                      <w:p w14:paraId="521399F6" w14:textId="77777777" w:rsidR="00224FB9" w:rsidRPr="00EC6E63" w:rsidRDefault="00224FB9" w:rsidP="00224FB9">
                        <w:pPr>
                          <w:spacing w:before="0"/>
                          <w:jc w:val="left"/>
                          <w:rPr>
                            <w:rFonts w:ascii="Calibri" w:hAnsi="Calibri" w:cs="Calibri"/>
                            <w:color w:val="000000"/>
                            <w:sz w:val="18"/>
                            <w:szCs w:val="18"/>
                          </w:rPr>
                        </w:pPr>
                      </w:p>
                    </w:tc>
                    <w:tc>
                      <w:tcPr>
                        <w:tcW w:w="1440" w:type="dxa"/>
                        <w:tcBorders>
                          <w:top w:val="single" w:sz="4" w:space="0" w:color="000000"/>
                          <w:left w:val="nil"/>
                          <w:bottom w:val="nil"/>
                          <w:right w:val="nil"/>
                        </w:tcBorders>
                        <w:noWrap/>
                        <w:vAlign w:val="bottom"/>
                        <w:hideMark/>
                      </w:tcPr>
                      <w:p w14:paraId="55066528"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 xml:space="preserve">825,000 </w:t>
                        </w:r>
                      </w:p>
                    </w:tc>
                  </w:tr>
                  <w:tr w:rsidR="00224FB9" w:rsidRPr="00EC6E63" w14:paraId="0ED6332D" w14:textId="77777777" w:rsidTr="00670742">
                    <w:trPr>
                      <w:trHeight w:val="300"/>
                    </w:trPr>
                    <w:tc>
                      <w:tcPr>
                        <w:tcW w:w="222" w:type="dxa"/>
                        <w:tcBorders>
                          <w:top w:val="nil"/>
                          <w:left w:val="nil"/>
                          <w:bottom w:val="nil"/>
                          <w:right w:val="nil"/>
                        </w:tcBorders>
                        <w:noWrap/>
                        <w:vAlign w:val="bottom"/>
                        <w:hideMark/>
                      </w:tcPr>
                      <w:p w14:paraId="142C4115" w14:textId="77777777" w:rsidR="00224FB9" w:rsidRPr="00EC6E63" w:rsidRDefault="00224FB9" w:rsidP="00EC6E63">
                        <w:pPr>
                          <w:spacing w:before="0"/>
                          <w:jc w:val="left"/>
                          <w:rPr>
                            <w:rFonts w:ascii="Calibri" w:hAnsi="Calibri" w:cs="Calibri"/>
                            <w:color w:val="000000"/>
                            <w:sz w:val="18"/>
                            <w:szCs w:val="18"/>
                          </w:rPr>
                        </w:pPr>
                      </w:p>
                    </w:tc>
                    <w:tc>
                      <w:tcPr>
                        <w:tcW w:w="2883" w:type="dxa"/>
                        <w:tcBorders>
                          <w:top w:val="nil"/>
                          <w:left w:val="nil"/>
                          <w:bottom w:val="nil"/>
                          <w:right w:val="nil"/>
                        </w:tcBorders>
                        <w:noWrap/>
                        <w:vAlign w:val="bottom"/>
                        <w:hideMark/>
                      </w:tcPr>
                      <w:p w14:paraId="00C97450"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 xml:space="preserve">PV of pure STL depreciation </w:t>
                        </w:r>
                      </w:p>
                    </w:tc>
                    <w:tc>
                      <w:tcPr>
                        <w:tcW w:w="1233" w:type="dxa"/>
                        <w:tcBorders>
                          <w:top w:val="nil"/>
                          <w:left w:val="nil"/>
                          <w:bottom w:val="nil"/>
                          <w:right w:val="nil"/>
                        </w:tcBorders>
                      </w:tcPr>
                      <w:p w14:paraId="4B7FBE95" w14:textId="77777777" w:rsidR="00224FB9" w:rsidRDefault="00224FB9" w:rsidP="00EC6E63">
                        <w:pPr>
                          <w:spacing w:before="0"/>
                          <w:jc w:val="left"/>
                          <w:rPr>
                            <w:rFonts w:ascii="Calibri" w:hAnsi="Calibri" w:cs="Calibri"/>
                            <w:color w:val="000000"/>
                            <w:sz w:val="18"/>
                            <w:szCs w:val="18"/>
                          </w:rPr>
                        </w:pPr>
                        <w:r>
                          <w:rPr>
                            <w:rFonts w:ascii="Calibri" w:hAnsi="Calibri" w:cs="Calibri"/>
                            <w:color w:val="000000"/>
                            <w:sz w:val="18"/>
                            <w:szCs w:val="18"/>
                          </w:rPr>
                          <w:t>Pvdep</w:t>
                        </w:r>
                      </w:p>
                    </w:tc>
                    <w:tc>
                      <w:tcPr>
                        <w:tcW w:w="2858" w:type="dxa"/>
                        <w:tcBorders>
                          <w:top w:val="nil"/>
                          <w:left w:val="nil"/>
                          <w:bottom w:val="nil"/>
                          <w:right w:val="nil"/>
                        </w:tcBorders>
                      </w:tcPr>
                      <w:p w14:paraId="7EBF49B2" w14:textId="77777777" w:rsidR="00224FB9" w:rsidRPr="00EC6E63" w:rsidRDefault="00224FB9" w:rsidP="00EC6E63">
                        <w:pPr>
                          <w:spacing w:before="0"/>
                          <w:jc w:val="left"/>
                          <w:rPr>
                            <w:rFonts w:ascii="Calibri" w:hAnsi="Calibri" w:cs="Calibri"/>
                            <w:color w:val="000000"/>
                            <w:sz w:val="18"/>
                            <w:szCs w:val="18"/>
                          </w:rPr>
                        </w:pPr>
                        <w:r>
                          <w:rPr>
                            <w:rFonts w:ascii="Calibri" w:hAnsi="Calibri" w:cs="Calibri"/>
                            <w:color w:val="000000"/>
                            <w:sz w:val="18"/>
                            <w:szCs w:val="18"/>
                          </w:rPr>
                          <w:t>= -</w:t>
                        </w:r>
                        <w:proofErr w:type="gramStart"/>
                        <w:r>
                          <w:rPr>
                            <w:rFonts w:ascii="Calibri" w:hAnsi="Calibri" w:cs="Calibri"/>
                            <w:color w:val="000000"/>
                            <w:sz w:val="18"/>
                            <w:szCs w:val="18"/>
                          </w:rPr>
                          <w:t>PV(kk,</w:t>
                        </w:r>
                        <w:r w:rsidRPr="00224FB9">
                          <w:rPr>
                            <w:rFonts w:ascii="Calibri" w:hAnsi="Calibri" w:cs="Calibri"/>
                            <w:color w:val="000000"/>
                            <w:sz w:val="18"/>
                            <w:szCs w:val="18"/>
                          </w:rPr>
                          <w:t>life</w:t>
                        </w:r>
                        <w:proofErr w:type="gramEnd"/>
                        <w:r w:rsidRPr="00224FB9">
                          <w:rPr>
                            <w:rFonts w:ascii="Calibri" w:hAnsi="Calibri" w:cs="Calibri"/>
                            <w:color w:val="000000"/>
                            <w:sz w:val="18"/>
                            <w:szCs w:val="18"/>
                          </w:rPr>
                          <w:t>,</w:t>
                        </w:r>
                        <w:r>
                          <w:rPr>
                            <w:rFonts w:ascii="Calibri" w:hAnsi="Calibri" w:cs="Calibri"/>
                            <w:color w:val="000000"/>
                            <w:sz w:val="18"/>
                            <w:szCs w:val="18"/>
                          </w:rPr>
                          <w:t>price/</w:t>
                        </w:r>
                        <w:r w:rsidRPr="00224FB9">
                          <w:rPr>
                            <w:rFonts w:ascii="Calibri" w:hAnsi="Calibri" w:cs="Calibri"/>
                            <w:color w:val="000000"/>
                            <w:sz w:val="18"/>
                            <w:szCs w:val="18"/>
                          </w:rPr>
                          <w:t>life)</w:t>
                        </w:r>
                      </w:p>
                    </w:tc>
                    <w:tc>
                      <w:tcPr>
                        <w:tcW w:w="1440" w:type="dxa"/>
                        <w:tcBorders>
                          <w:top w:val="nil"/>
                          <w:left w:val="nil"/>
                          <w:bottom w:val="nil"/>
                          <w:right w:val="nil"/>
                        </w:tcBorders>
                        <w:noWrap/>
                        <w:vAlign w:val="bottom"/>
                        <w:hideMark/>
                      </w:tcPr>
                      <w:p w14:paraId="0B7B28BB"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 xml:space="preserve">506,927 </w:t>
                        </w:r>
                      </w:p>
                    </w:tc>
                  </w:tr>
                  <w:tr w:rsidR="00224FB9" w:rsidRPr="00EC6E63" w14:paraId="020B1E28" w14:textId="77777777" w:rsidTr="00670742">
                    <w:trPr>
                      <w:trHeight w:val="300"/>
                    </w:trPr>
                    <w:tc>
                      <w:tcPr>
                        <w:tcW w:w="222" w:type="dxa"/>
                        <w:tcBorders>
                          <w:top w:val="nil"/>
                          <w:left w:val="nil"/>
                          <w:bottom w:val="nil"/>
                          <w:right w:val="nil"/>
                        </w:tcBorders>
                        <w:noWrap/>
                        <w:vAlign w:val="bottom"/>
                        <w:hideMark/>
                      </w:tcPr>
                      <w:p w14:paraId="4A760363" w14:textId="77777777" w:rsidR="00224FB9" w:rsidRPr="00EC6E63" w:rsidRDefault="00224FB9" w:rsidP="00EC6E63">
                        <w:pPr>
                          <w:spacing w:before="0"/>
                          <w:jc w:val="left"/>
                          <w:rPr>
                            <w:rFonts w:ascii="Calibri" w:hAnsi="Calibri" w:cs="Calibri"/>
                            <w:color w:val="000000"/>
                            <w:sz w:val="18"/>
                            <w:szCs w:val="18"/>
                          </w:rPr>
                        </w:pPr>
                      </w:p>
                    </w:tc>
                    <w:tc>
                      <w:tcPr>
                        <w:tcW w:w="2883" w:type="dxa"/>
                        <w:tcBorders>
                          <w:top w:val="nil"/>
                          <w:left w:val="nil"/>
                          <w:bottom w:val="nil"/>
                          <w:right w:val="nil"/>
                        </w:tcBorders>
                        <w:noWrap/>
                        <w:vAlign w:val="bottom"/>
                        <w:hideMark/>
                      </w:tcPr>
                      <w:p w14:paraId="2C6CD617"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PV of tax shield at 38%</w:t>
                        </w:r>
                      </w:p>
                    </w:tc>
                    <w:tc>
                      <w:tcPr>
                        <w:tcW w:w="1233" w:type="dxa"/>
                        <w:tcBorders>
                          <w:top w:val="nil"/>
                          <w:left w:val="nil"/>
                          <w:bottom w:val="nil"/>
                          <w:right w:val="nil"/>
                        </w:tcBorders>
                      </w:tcPr>
                      <w:p w14:paraId="665E0420" w14:textId="77777777" w:rsidR="00224FB9" w:rsidRDefault="00224FB9" w:rsidP="00EC6E63">
                        <w:pPr>
                          <w:spacing w:before="0"/>
                          <w:jc w:val="left"/>
                          <w:rPr>
                            <w:rFonts w:ascii="Calibri" w:hAnsi="Calibri" w:cs="Calibri"/>
                            <w:color w:val="000000"/>
                            <w:sz w:val="18"/>
                            <w:szCs w:val="18"/>
                          </w:rPr>
                        </w:pPr>
                        <w:r>
                          <w:rPr>
                            <w:rFonts w:ascii="Calibri" w:hAnsi="Calibri" w:cs="Calibri"/>
                            <w:color w:val="000000"/>
                            <w:sz w:val="18"/>
                            <w:szCs w:val="18"/>
                          </w:rPr>
                          <w:t>Pvdepts</w:t>
                        </w:r>
                      </w:p>
                    </w:tc>
                    <w:tc>
                      <w:tcPr>
                        <w:tcW w:w="2858" w:type="dxa"/>
                        <w:tcBorders>
                          <w:top w:val="nil"/>
                          <w:left w:val="nil"/>
                          <w:bottom w:val="nil"/>
                          <w:right w:val="nil"/>
                        </w:tcBorders>
                      </w:tcPr>
                      <w:p w14:paraId="3FD11C50" w14:textId="77777777" w:rsidR="00224FB9" w:rsidRPr="00EC6E63" w:rsidRDefault="00224FB9" w:rsidP="00670742">
                        <w:pPr>
                          <w:spacing w:before="0"/>
                          <w:jc w:val="left"/>
                          <w:rPr>
                            <w:rFonts w:ascii="Calibri" w:hAnsi="Calibri" w:cs="Calibri"/>
                            <w:color w:val="000000"/>
                            <w:sz w:val="18"/>
                            <w:szCs w:val="18"/>
                          </w:rPr>
                        </w:pPr>
                        <w:r>
                          <w:rPr>
                            <w:rFonts w:ascii="Calibri" w:hAnsi="Calibri" w:cs="Calibri"/>
                            <w:color w:val="000000"/>
                            <w:sz w:val="18"/>
                            <w:szCs w:val="18"/>
                          </w:rPr>
                          <w:t xml:space="preserve">= </w:t>
                        </w:r>
                        <w:r w:rsidR="00670742">
                          <w:rPr>
                            <w:rFonts w:ascii="Calibri" w:hAnsi="Calibri" w:cs="Calibri"/>
                            <w:color w:val="000000"/>
                            <w:sz w:val="18"/>
                            <w:szCs w:val="18"/>
                          </w:rPr>
                          <w:t>pvdep</w:t>
                        </w:r>
                        <w:r>
                          <w:rPr>
                            <w:rFonts w:ascii="Calibri" w:hAnsi="Calibri" w:cs="Calibri"/>
                            <w:color w:val="000000"/>
                            <w:sz w:val="18"/>
                            <w:szCs w:val="18"/>
                          </w:rPr>
                          <w:t>*tax</w:t>
                        </w:r>
                      </w:p>
                    </w:tc>
                    <w:tc>
                      <w:tcPr>
                        <w:tcW w:w="1440" w:type="dxa"/>
                        <w:tcBorders>
                          <w:top w:val="nil"/>
                          <w:left w:val="nil"/>
                          <w:bottom w:val="nil"/>
                          <w:right w:val="nil"/>
                        </w:tcBorders>
                        <w:noWrap/>
                        <w:vAlign w:val="bottom"/>
                        <w:hideMark/>
                      </w:tcPr>
                      <w:p w14:paraId="5437F6FD"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 xml:space="preserve">192,632 </w:t>
                        </w:r>
                      </w:p>
                    </w:tc>
                  </w:tr>
                  <w:tr w:rsidR="00224FB9" w:rsidRPr="00EC6E63" w14:paraId="53B57AD4" w14:textId="77777777" w:rsidTr="00670742">
                    <w:trPr>
                      <w:trHeight w:val="300"/>
                    </w:trPr>
                    <w:tc>
                      <w:tcPr>
                        <w:tcW w:w="222" w:type="dxa"/>
                        <w:tcBorders>
                          <w:top w:val="nil"/>
                          <w:left w:val="nil"/>
                          <w:bottom w:val="nil"/>
                          <w:right w:val="nil"/>
                        </w:tcBorders>
                        <w:noWrap/>
                        <w:vAlign w:val="bottom"/>
                        <w:hideMark/>
                      </w:tcPr>
                      <w:p w14:paraId="7F909AA0" w14:textId="77777777" w:rsidR="00224FB9" w:rsidRPr="00EC6E63" w:rsidRDefault="00224FB9" w:rsidP="00EC6E63">
                        <w:pPr>
                          <w:spacing w:before="0"/>
                          <w:jc w:val="left"/>
                          <w:rPr>
                            <w:rFonts w:ascii="Calibri" w:hAnsi="Calibri" w:cs="Calibri"/>
                            <w:color w:val="000000"/>
                            <w:sz w:val="18"/>
                            <w:szCs w:val="18"/>
                          </w:rPr>
                        </w:pPr>
                      </w:p>
                    </w:tc>
                    <w:tc>
                      <w:tcPr>
                        <w:tcW w:w="2883" w:type="dxa"/>
                        <w:tcBorders>
                          <w:top w:val="nil"/>
                          <w:left w:val="nil"/>
                          <w:bottom w:val="nil"/>
                          <w:right w:val="nil"/>
                        </w:tcBorders>
                        <w:noWrap/>
                        <w:vAlign w:val="bottom"/>
                        <w:hideMark/>
                      </w:tcPr>
                      <w:p w14:paraId="6988F1DF"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Total PV of capital cost (price-shield)</w:t>
                        </w:r>
                      </w:p>
                    </w:tc>
                    <w:tc>
                      <w:tcPr>
                        <w:tcW w:w="1233" w:type="dxa"/>
                        <w:tcBorders>
                          <w:top w:val="nil"/>
                          <w:left w:val="nil"/>
                          <w:bottom w:val="nil"/>
                          <w:right w:val="nil"/>
                        </w:tcBorders>
                      </w:tcPr>
                      <w:p w14:paraId="45B3F19F" w14:textId="77777777" w:rsidR="00224FB9" w:rsidRDefault="00670742" w:rsidP="00EC6E63">
                        <w:pPr>
                          <w:spacing w:before="0"/>
                          <w:jc w:val="left"/>
                          <w:rPr>
                            <w:rFonts w:ascii="Calibri" w:hAnsi="Calibri" w:cs="Calibri"/>
                            <w:color w:val="000000"/>
                            <w:sz w:val="18"/>
                            <w:szCs w:val="18"/>
                          </w:rPr>
                        </w:pPr>
                        <w:r>
                          <w:rPr>
                            <w:rFonts w:ascii="Calibri" w:hAnsi="Calibri" w:cs="Calibri"/>
                            <w:color w:val="000000"/>
                            <w:sz w:val="18"/>
                            <w:szCs w:val="18"/>
                          </w:rPr>
                          <w:t>Pvcapcost</w:t>
                        </w:r>
                      </w:p>
                    </w:tc>
                    <w:tc>
                      <w:tcPr>
                        <w:tcW w:w="2858" w:type="dxa"/>
                        <w:tcBorders>
                          <w:top w:val="nil"/>
                          <w:left w:val="nil"/>
                          <w:bottom w:val="nil"/>
                          <w:right w:val="nil"/>
                        </w:tcBorders>
                      </w:tcPr>
                      <w:p w14:paraId="23493309" w14:textId="77777777" w:rsidR="00224FB9" w:rsidRPr="00EC6E63" w:rsidRDefault="00224FB9" w:rsidP="00670742">
                        <w:pPr>
                          <w:spacing w:before="0"/>
                          <w:jc w:val="left"/>
                          <w:rPr>
                            <w:rFonts w:ascii="Calibri" w:hAnsi="Calibri" w:cs="Calibri"/>
                            <w:color w:val="000000"/>
                            <w:sz w:val="18"/>
                            <w:szCs w:val="18"/>
                          </w:rPr>
                        </w:pPr>
                        <w:r>
                          <w:rPr>
                            <w:rFonts w:ascii="Calibri" w:hAnsi="Calibri" w:cs="Calibri"/>
                            <w:color w:val="000000"/>
                            <w:sz w:val="18"/>
                            <w:szCs w:val="18"/>
                          </w:rPr>
                          <w:t xml:space="preserve">=price - </w:t>
                        </w:r>
                        <w:r w:rsidR="00670742">
                          <w:rPr>
                            <w:rFonts w:ascii="Calibri" w:hAnsi="Calibri" w:cs="Calibri"/>
                            <w:color w:val="000000"/>
                            <w:sz w:val="18"/>
                            <w:szCs w:val="18"/>
                          </w:rPr>
                          <w:t>pvdepts</w:t>
                        </w:r>
                      </w:p>
                    </w:tc>
                    <w:tc>
                      <w:tcPr>
                        <w:tcW w:w="1440" w:type="dxa"/>
                        <w:tcBorders>
                          <w:top w:val="nil"/>
                          <w:left w:val="nil"/>
                          <w:bottom w:val="nil"/>
                          <w:right w:val="nil"/>
                        </w:tcBorders>
                        <w:noWrap/>
                        <w:vAlign w:val="bottom"/>
                        <w:hideMark/>
                      </w:tcPr>
                      <w:p w14:paraId="4A37A4AE"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 xml:space="preserve">632,368 </w:t>
                        </w:r>
                      </w:p>
                    </w:tc>
                  </w:tr>
                  <w:tr w:rsidR="00224FB9" w:rsidRPr="00EC6E63" w14:paraId="0E651C97" w14:textId="77777777" w:rsidTr="00670742">
                    <w:trPr>
                      <w:trHeight w:val="300"/>
                    </w:trPr>
                    <w:tc>
                      <w:tcPr>
                        <w:tcW w:w="3105" w:type="dxa"/>
                        <w:gridSpan w:val="2"/>
                        <w:tcBorders>
                          <w:top w:val="nil"/>
                          <w:left w:val="nil"/>
                          <w:bottom w:val="nil"/>
                          <w:right w:val="nil"/>
                        </w:tcBorders>
                        <w:noWrap/>
                        <w:vAlign w:val="bottom"/>
                        <w:hideMark/>
                      </w:tcPr>
                      <w:p w14:paraId="74360C20"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Equivalent NPL</w:t>
                        </w:r>
                      </w:p>
                    </w:tc>
                    <w:tc>
                      <w:tcPr>
                        <w:tcW w:w="1233" w:type="dxa"/>
                        <w:tcBorders>
                          <w:top w:val="nil"/>
                          <w:left w:val="nil"/>
                          <w:bottom w:val="nil"/>
                          <w:right w:val="nil"/>
                        </w:tcBorders>
                      </w:tcPr>
                      <w:p w14:paraId="587C2428" w14:textId="77777777" w:rsidR="00224FB9" w:rsidRPr="00EC6E63" w:rsidRDefault="00670742" w:rsidP="00EC6E63">
                        <w:pPr>
                          <w:spacing w:before="0"/>
                          <w:jc w:val="left"/>
                          <w:rPr>
                            <w:rFonts w:ascii="Calibri" w:hAnsi="Calibri" w:cs="Calibri"/>
                            <w:color w:val="000000"/>
                            <w:sz w:val="18"/>
                            <w:szCs w:val="18"/>
                          </w:rPr>
                        </w:pPr>
                        <w:r>
                          <w:rPr>
                            <w:rFonts w:ascii="Calibri" w:hAnsi="Calibri" w:cs="Calibri"/>
                            <w:color w:val="000000"/>
                            <w:sz w:val="18"/>
                            <w:szCs w:val="18"/>
                          </w:rPr>
                          <w:t>Npl</w:t>
                        </w:r>
                      </w:p>
                    </w:tc>
                    <w:tc>
                      <w:tcPr>
                        <w:tcW w:w="2858" w:type="dxa"/>
                        <w:tcBorders>
                          <w:top w:val="nil"/>
                          <w:left w:val="nil"/>
                          <w:bottom w:val="nil"/>
                          <w:right w:val="nil"/>
                        </w:tcBorders>
                      </w:tcPr>
                      <w:p w14:paraId="2D83E82D" w14:textId="77777777" w:rsidR="00224FB9" w:rsidRPr="00EC6E63" w:rsidRDefault="00670742" w:rsidP="00EC6E63">
                        <w:pPr>
                          <w:spacing w:before="0"/>
                          <w:jc w:val="left"/>
                          <w:rPr>
                            <w:rFonts w:ascii="Calibri" w:hAnsi="Calibri" w:cs="Calibri"/>
                            <w:color w:val="000000"/>
                            <w:sz w:val="18"/>
                            <w:szCs w:val="18"/>
                          </w:rPr>
                        </w:pPr>
                        <w:r>
                          <w:rPr>
                            <w:rFonts w:ascii="Calibri" w:hAnsi="Calibri" w:cs="Calibri"/>
                            <w:color w:val="000000"/>
                            <w:sz w:val="18"/>
                            <w:szCs w:val="18"/>
                          </w:rPr>
                          <w:t>=</w:t>
                        </w:r>
                        <w:proofErr w:type="gramStart"/>
                        <w:r>
                          <w:rPr>
                            <w:rFonts w:ascii="Calibri" w:hAnsi="Calibri" w:cs="Calibri"/>
                            <w:color w:val="000000"/>
                            <w:sz w:val="18"/>
                            <w:szCs w:val="18"/>
                          </w:rPr>
                          <w:t>pmt(</w:t>
                        </w:r>
                        <w:proofErr w:type="gramEnd"/>
                        <w:r>
                          <w:rPr>
                            <w:rFonts w:ascii="Calibri" w:hAnsi="Calibri" w:cs="Calibri"/>
                            <w:color w:val="000000"/>
                            <w:sz w:val="18"/>
                            <w:szCs w:val="18"/>
                          </w:rPr>
                          <w:t>kk, life, -pvcapcost)/(1-tax)</w:t>
                        </w:r>
                      </w:p>
                    </w:tc>
                    <w:tc>
                      <w:tcPr>
                        <w:tcW w:w="1440" w:type="dxa"/>
                        <w:tcBorders>
                          <w:top w:val="nil"/>
                          <w:left w:val="nil"/>
                          <w:bottom w:val="nil"/>
                          <w:right w:val="nil"/>
                        </w:tcBorders>
                        <w:noWrap/>
                        <w:vAlign w:val="bottom"/>
                        <w:hideMark/>
                      </w:tcPr>
                      <w:p w14:paraId="386ED16D"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 xml:space="preserve">165,992 </w:t>
                        </w:r>
                      </w:p>
                    </w:tc>
                  </w:tr>
                  <w:tr w:rsidR="00224FB9" w:rsidRPr="00EC6E63" w14:paraId="37274F7E" w14:textId="77777777" w:rsidTr="00670742">
                    <w:trPr>
                      <w:trHeight w:val="300"/>
                    </w:trPr>
                    <w:tc>
                      <w:tcPr>
                        <w:tcW w:w="222" w:type="dxa"/>
                        <w:tcBorders>
                          <w:top w:val="nil"/>
                          <w:left w:val="nil"/>
                          <w:bottom w:val="nil"/>
                          <w:right w:val="nil"/>
                        </w:tcBorders>
                        <w:noWrap/>
                        <w:vAlign w:val="bottom"/>
                        <w:hideMark/>
                      </w:tcPr>
                      <w:p w14:paraId="58068619" w14:textId="77777777" w:rsidR="00224FB9" w:rsidRPr="00EC6E63" w:rsidRDefault="00224FB9" w:rsidP="00EC6E63">
                        <w:pPr>
                          <w:spacing w:before="0"/>
                          <w:jc w:val="left"/>
                          <w:rPr>
                            <w:rFonts w:ascii="Calibri" w:hAnsi="Calibri" w:cs="Calibri"/>
                            <w:color w:val="000000"/>
                            <w:sz w:val="18"/>
                            <w:szCs w:val="18"/>
                          </w:rPr>
                        </w:pPr>
                      </w:p>
                    </w:tc>
                    <w:tc>
                      <w:tcPr>
                        <w:tcW w:w="2883" w:type="dxa"/>
                        <w:tcBorders>
                          <w:top w:val="nil"/>
                          <w:left w:val="nil"/>
                          <w:bottom w:val="nil"/>
                          <w:right w:val="nil"/>
                        </w:tcBorders>
                        <w:noWrap/>
                        <w:vAlign w:val="bottom"/>
                        <w:hideMark/>
                      </w:tcPr>
                      <w:p w14:paraId="0D536499"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Maintenance</w:t>
                        </w:r>
                      </w:p>
                    </w:tc>
                    <w:tc>
                      <w:tcPr>
                        <w:tcW w:w="1233" w:type="dxa"/>
                        <w:tcBorders>
                          <w:top w:val="nil"/>
                          <w:left w:val="nil"/>
                          <w:bottom w:val="nil"/>
                          <w:right w:val="nil"/>
                        </w:tcBorders>
                      </w:tcPr>
                      <w:p w14:paraId="5346EA31" w14:textId="77777777" w:rsidR="00224FB9" w:rsidRPr="00EC6E63" w:rsidRDefault="00670742" w:rsidP="00EC6E63">
                        <w:pPr>
                          <w:spacing w:before="0"/>
                          <w:jc w:val="left"/>
                          <w:rPr>
                            <w:rFonts w:ascii="Calibri" w:hAnsi="Calibri" w:cs="Calibri"/>
                            <w:color w:val="000000"/>
                            <w:sz w:val="18"/>
                            <w:szCs w:val="18"/>
                          </w:rPr>
                        </w:pPr>
                        <w:r>
                          <w:rPr>
                            <w:rFonts w:ascii="Calibri" w:hAnsi="Calibri" w:cs="Calibri"/>
                            <w:color w:val="000000"/>
                            <w:sz w:val="18"/>
                            <w:szCs w:val="18"/>
                          </w:rPr>
                          <w:t>Maint</w:t>
                        </w:r>
                      </w:p>
                    </w:tc>
                    <w:tc>
                      <w:tcPr>
                        <w:tcW w:w="2858" w:type="dxa"/>
                        <w:tcBorders>
                          <w:top w:val="nil"/>
                          <w:left w:val="nil"/>
                          <w:bottom w:val="nil"/>
                          <w:right w:val="nil"/>
                        </w:tcBorders>
                      </w:tcPr>
                      <w:p w14:paraId="629344DF" w14:textId="77777777" w:rsidR="00224FB9" w:rsidRPr="00EC6E63" w:rsidRDefault="00224FB9" w:rsidP="00EC6E63">
                        <w:pPr>
                          <w:spacing w:before="0"/>
                          <w:jc w:val="left"/>
                          <w:rPr>
                            <w:rFonts w:ascii="Calibri" w:hAnsi="Calibri" w:cs="Calibri"/>
                            <w:color w:val="000000"/>
                            <w:sz w:val="18"/>
                            <w:szCs w:val="18"/>
                          </w:rPr>
                        </w:pPr>
                      </w:p>
                    </w:tc>
                    <w:tc>
                      <w:tcPr>
                        <w:tcW w:w="1440" w:type="dxa"/>
                        <w:tcBorders>
                          <w:top w:val="nil"/>
                          <w:left w:val="nil"/>
                          <w:bottom w:val="nil"/>
                          <w:right w:val="nil"/>
                        </w:tcBorders>
                        <w:noWrap/>
                        <w:vAlign w:val="bottom"/>
                        <w:hideMark/>
                      </w:tcPr>
                      <w:p w14:paraId="46C60E81"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 xml:space="preserve">190,355 </w:t>
                        </w:r>
                      </w:p>
                    </w:tc>
                  </w:tr>
                  <w:tr w:rsidR="00224FB9" w:rsidRPr="00EC6E63" w14:paraId="453DE53D" w14:textId="77777777" w:rsidTr="00670742">
                    <w:trPr>
                      <w:trHeight w:val="300"/>
                    </w:trPr>
                    <w:tc>
                      <w:tcPr>
                        <w:tcW w:w="222" w:type="dxa"/>
                        <w:tcBorders>
                          <w:top w:val="nil"/>
                          <w:left w:val="nil"/>
                          <w:bottom w:val="nil"/>
                          <w:right w:val="nil"/>
                        </w:tcBorders>
                        <w:noWrap/>
                        <w:vAlign w:val="bottom"/>
                        <w:hideMark/>
                      </w:tcPr>
                      <w:p w14:paraId="7A216C70" w14:textId="77777777" w:rsidR="00224FB9" w:rsidRPr="00EC6E63" w:rsidRDefault="00224FB9" w:rsidP="00EC6E63">
                        <w:pPr>
                          <w:spacing w:before="0"/>
                          <w:jc w:val="left"/>
                          <w:rPr>
                            <w:rFonts w:ascii="Calibri" w:hAnsi="Calibri" w:cs="Calibri"/>
                            <w:color w:val="000000"/>
                            <w:sz w:val="18"/>
                            <w:szCs w:val="18"/>
                          </w:rPr>
                        </w:pPr>
                      </w:p>
                    </w:tc>
                    <w:tc>
                      <w:tcPr>
                        <w:tcW w:w="2883" w:type="dxa"/>
                        <w:tcBorders>
                          <w:top w:val="nil"/>
                          <w:left w:val="nil"/>
                          <w:bottom w:val="nil"/>
                          <w:right w:val="nil"/>
                        </w:tcBorders>
                        <w:noWrap/>
                        <w:vAlign w:val="bottom"/>
                        <w:hideMark/>
                      </w:tcPr>
                      <w:p w14:paraId="6F49F274"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Labor</w:t>
                        </w:r>
                      </w:p>
                    </w:tc>
                    <w:tc>
                      <w:tcPr>
                        <w:tcW w:w="1233" w:type="dxa"/>
                        <w:tcBorders>
                          <w:top w:val="nil"/>
                          <w:left w:val="nil"/>
                          <w:bottom w:val="nil"/>
                          <w:right w:val="nil"/>
                        </w:tcBorders>
                      </w:tcPr>
                      <w:p w14:paraId="02E75065" w14:textId="77777777" w:rsidR="00224FB9" w:rsidRPr="00EC6E63" w:rsidRDefault="00670742" w:rsidP="00EC6E63">
                        <w:pPr>
                          <w:spacing w:before="0"/>
                          <w:jc w:val="left"/>
                          <w:rPr>
                            <w:rFonts w:ascii="Calibri" w:hAnsi="Calibri" w:cs="Calibri"/>
                            <w:color w:val="000000"/>
                            <w:sz w:val="18"/>
                            <w:szCs w:val="18"/>
                          </w:rPr>
                        </w:pPr>
                        <w:r>
                          <w:rPr>
                            <w:rFonts w:ascii="Calibri" w:hAnsi="Calibri" w:cs="Calibri"/>
                            <w:color w:val="000000"/>
                            <w:sz w:val="18"/>
                            <w:szCs w:val="18"/>
                          </w:rPr>
                          <w:t>Labor</w:t>
                        </w:r>
                      </w:p>
                    </w:tc>
                    <w:tc>
                      <w:tcPr>
                        <w:tcW w:w="2858" w:type="dxa"/>
                        <w:tcBorders>
                          <w:top w:val="nil"/>
                          <w:left w:val="nil"/>
                          <w:bottom w:val="nil"/>
                          <w:right w:val="nil"/>
                        </w:tcBorders>
                      </w:tcPr>
                      <w:p w14:paraId="7F03D6BA" w14:textId="77777777" w:rsidR="00224FB9" w:rsidRPr="00EC6E63" w:rsidRDefault="00224FB9" w:rsidP="00EC6E63">
                        <w:pPr>
                          <w:spacing w:before="0"/>
                          <w:jc w:val="left"/>
                          <w:rPr>
                            <w:rFonts w:ascii="Calibri" w:hAnsi="Calibri" w:cs="Calibri"/>
                            <w:color w:val="000000"/>
                            <w:sz w:val="18"/>
                            <w:szCs w:val="18"/>
                          </w:rPr>
                        </w:pPr>
                      </w:p>
                    </w:tc>
                    <w:tc>
                      <w:tcPr>
                        <w:tcW w:w="1440" w:type="dxa"/>
                        <w:tcBorders>
                          <w:top w:val="nil"/>
                          <w:left w:val="nil"/>
                          <w:bottom w:val="nil"/>
                          <w:right w:val="nil"/>
                        </w:tcBorders>
                        <w:noWrap/>
                        <w:vAlign w:val="bottom"/>
                        <w:hideMark/>
                      </w:tcPr>
                      <w:p w14:paraId="5151ABF0"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 xml:space="preserve">128,480 </w:t>
                        </w:r>
                      </w:p>
                    </w:tc>
                  </w:tr>
                  <w:tr w:rsidR="00224FB9" w:rsidRPr="00EC6E63" w14:paraId="147B16DA" w14:textId="77777777" w:rsidTr="00670742">
                    <w:trPr>
                      <w:trHeight w:val="300"/>
                    </w:trPr>
                    <w:tc>
                      <w:tcPr>
                        <w:tcW w:w="3105" w:type="dxa"/>
                        <w:gridSpan w:val="2"/>
                        <w:tcBorders>
                          <w:top w:val="nil"/>
                          <w:left w:val="nil"/>
                          <w:bottom w:val="nil"/>
                          <w:right w:val="nil"/>
                        </w:tcBorders>
                        <w:noWrap/>
                        <w:vAlign w:val="bottom"/>
                        <w:hideMark/>
                      </w:tcPr>
                      <w:p w14:paraId="729020D6"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Total annual expense</w:t>
                        </w:r>
                      </w:p>
                    </w:tc>
                    <w:tc>
                      <w:tcPr>
                        <w:tcW w:w="1233" w:type="dxa"/>
                        <w:tcBorders>
                          <w:top w:val="nil"/>
                          <w:left w:val="nil"/>
                          <w:bottom w:val="nil"/>
                          <w:right w:val="nil"/>
                        </w:tcBorders>
                      </w:tcPr>
                      <w:p w14:paraId="1E489D1E" w14:textId="77777777" w:rsidR="00224FB9" w:rsidRPr="00EC6E63" w:rsidRDefault="00670742" w:rsidP="00EC6E63">
                        <w:pPr>
                          <w:spacing w:before="0"/>
                          <w:jc w:val="left"/>
                          <w:rPr>
                            <w:rFonts w:ascii="Calibri" w:hAnsi="Calibri" w:cs="Calibri"/>
                            <w:color w:val="000000"/>
                            <w:sz w:val="18"/>
                            <w:szCs w:val="18"/>
                          </w:rPr>
                        </w:pPr>
                        <w:r>
                          <w:rPr>
                            <w:rFonts w:ascii="Calibri" w:hAnsi="Calibri" w:cs="Calibri"/>
                            <w:color w:val="000000"/>
                            <w:sz w:val="18"/>
                            <w:szCs w:val="18"/>
                          </w:rPr>
                          <w:t>Totannexp</w:t>
                        </w:r>
                      </w:p>
                    </w:tc>
                    <w:tc>
                      <w:tcPr>
                        <w:tcW w:w="2858" w:type="dxa"/>
                        <w:tcBorders>
                          <w:top w:val="nil"/>
                          <w:left w:val="nil"/>
                          <w:bottom w:val="nil"/>
                          <w:right w:val="nil"/>
                        </w:tcBorders>
                      </w:tcPr>
                      <w:p w14:paraId="62C0469D" w14:textId="77777777" w:rsidR="00224FB9" w:rsidRPr="00EC6E63" w:rsidRDefault="00670742" w:rsidP="00EC6E63">
                        <w:pPr>
                          <w:spacing w:before="0"/>
                          <w:jc w:val="left"/>
                          <w:rPr>
                            <w:rFonts w:ascii="Calibri" w:hAnsi="Calibri" w:cs="Calibri"/>
                            <w:color w:val="000000"/>
                            <w:sz w:val="18"/>
                            <w:szCs w:val="18"/>
                          </w:rPr>
                        </w:pPr>
                        <w:r>
                          <w:rPr>
                            <w:rFonts w:ascii="Calibri" w:hAnsi="Calibri" w:cs="Calibri"/>
                            <w:color w:val="000000"/>
                            <w:sz w:val="18"/>
                            <w:szCs w:val="18"/>
                          </w:rPr>
                          <w:t>=npl + maint + labor</w:t>
                        </w:r>
                      </w:p>
                    </w:tc>
                    <w:tc>
                      <w:tcPr>
                        <w:tcW w:w="1440" w:type="dxa"/>
                        <w:tcBorders>
                          <w:top w:val="nil"/>
                          <w:left w:val="nil"/>
                          <w:bottom w:val="nil"/>
                          <w:right w:val="nil"/>
                        </w:tcBorders>
                        <w:noWrap/>
                        <w:vAlign w:val="bottom"/>
                        <w:hideMark/>
                      </w:tcPr>
                      <w:p w14:paraId="0561D027"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 xml:space="preserve">484,827 </w:t>
                        </w:r>
                      </w:p>
                    </w:tc>
                  </w:tr>
                  <w:tr w:rsidR="00224FB9" w:rsidRPr="00EC6E63" w14:paraId="5136FEBF" w14:textId="77777777" w:rsidTr="00670742">
                    <w:trPr>
                      <w:trHeight w:val="300"/>
                    </w:trPr>
                    <w:tc>
                      <w:tcPr>
                        <w:tcW w:w="3105" w:type="dxa"/>
                        <w:gridSpan w:val="2"/>
                        <w:tcBorders>
                          <w:top w:val="nil"/>
                          <w:left w:val="nil"/>
                          <w:bottom w:val="nil"/>
                          <w:right w:val="nil"/>
                        </w:tcBorders>
                        <w:noWrap/>
                        <w:vAlign w:val="bottom"/>
                        <w:hideMark/>
                      </w:tcPr>
                      <w:p w14:paraId="512862E4"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Cost per lb.</w:t>
                        </w:r>
                      </w:p>
                    </w:tc>
                    <w:tc>
                      <w:tcPr>
                        <w:tcW w:w="1233" w:type="dxa"/>
                        <w:tcBorders>
                          <w:top w:val="nil"/>
                          <w:left w:val="nil"/>
                          <w:bottom w:val="nil"/>
                          <w:right w:val="nil"/>
                        </w:tcBorders>
                      </w:tcPr>
                      <w:p w14:paraId="1566996D" w14:textId="77777777" w:rsidR="00224FB9" w:rsidRPr="00EC6E63" w:rsidRDefault="00224FB9" w:rsidP="00EC6E63">
                        <w:pPr>
                          <w:spacing w:before="0"/>
                          <w:jc w:val="left"/>
                          <w:rPr>
                            <w:rFonts w:ascii="Calibri" w:hAnsi="Calibri" w:cs="Calibri"/>
                            <w:color w:val="000000"/>
                            <w:sz w:val="18"/>
                            <w:szCs w:val="18"/>
                          </w:rPr>
                        </w:pPr>
                      </w:p>
                    </w:tc>
                    <w:tc>
                      <w:tcPr>
                        <w:tcW w:w="2858" w:type="dxa"/>
                        <w:tcBorders>
                          <w:top w:val="nil"/>
                          <w:left w:val="nil"/>
                          <w:bottom w:val="nil"/>
                          <w:right w:val="nil"/>
                        </w:tcBorders>
                      </w:tcPr>
                      <w:p w14:paraId="1C18A0D9" w14:textId="77777777" w:rsidR="00224FB9" w:rsidRPr="00EC6E63" w:rsidRDefault="00670742" w:rsidP="00EC6E63">
                        <w:pPr>
                          <w:spacing w:before="0"/>
                          <w:jc w:val="left"/>
                          <w:rPr>
                            <w:rFonts w:ascii="Calibri" w:hAnsi="Calibri" w:cs="Calibri"/>
                            <w:color w:val="000000"/>
                            <w:sz w:val="18"/>
                            <w:szCs w:val="18"/>
                          </w:rPr>
                        </w:pPr>
                        <w:r>
                          <w:rPr>
                            <w:rFonts w:ascii="Calibri" w:hAnsi="Calibri" w:cs="Calibri"/>
                            <w:color w:val="000000"/>
                            <w:sz w:val="18"/>
                            <w:szCs w:val="18"/>
                          </w:rPr>
                          <w:t>=totannexp/56000</w:t>
                        </w:r>
                      </w:p>
                    </w:tc>
                    <w:tc>
                      <w:tcPr>
                        <w:tcW w:w="1440" w:type="dxa"/>
                        <w:tcBorders>
                          <w:top w:val="nil"/>
                          <w:left w:val="nil"/>
                          <w:bottom w:val="nil"/>
                          <w:right w:val="nil"/>
                        </w:tcBorders>
                        <w:noWrap/>
                        <w:vAlign w:val="bottom"/>
                        <w:hideMark/>
                      </w:tcPr>
                      <w:p w14:paraId="77DF6BC9" w14:textId="77777777" w:rsidR="00224FB9" w:rsidRPr="00EC6E63" w:rsidRDefault="00224FB9" w:rsidP="00EC6E63">
                        <w:pPr>
                          <w:spacing w:before="0"/>
                          <w:jc w:val="left"/>
                          <w:rPr>
                            <w:rFonts w:ascii="Calibri" w:hAnsi="Calibri" w:cs="Calibri"/>
                            <w:color w:val="000000"/>
                            <w:sz w:val="18"/>
                            <w:szCs w:val="18"/>
                          </w:rPr>
                        </w:pPr>
                        <w:r w:rsidRPr="00EC6E63">
                          <w:rPr>
                            <w:rFonts w:ascii="Calibri" w:hAnsi="Calibri" w:cs="Calibri"/>
                            <w:color w:val="000000"/>
                            <w:sz w:val="18"/>
                            <w:szCs w:val="18"/>
                          </w:rPr>
                          <w:t xml:space="preserve">8.66 </w:t>
                        </w:r>
                      </w:p>
                    </w:tc>
                  </w:tr>
                </w:tbl>
                <w:p w14:paraId="45D7C1A0" w14:textId="77777777" w:rsidR="005F1709" w:rsidRDefault="005F1709"/>
              </w:txbxContent>
            </v:textbox>
            <w10:wrap type="tight" side="left"/>
          </v:shape>
        </w:pict>
      </w:r>
      <w:r w:rsidR="007C719B">
        <w:t xml:space="preserve">This is how much the company would have to </w:t>
      </w:r>
      <w:proofErr w:type="gramStart"/>
      <w:r w:rsidR="007C719B">
        <w:t>charge another</w:t>
      </w:r>
      <w:proofErr w:type="gramEnd"/>
      <w:r w:rsidR="007C719B">
        <w:t xml:space="preserve"> for the machine to just break even on their cost of capital. It is almost twice a</w:t>
      </w:r>
      <w:r w:rsidR="00A31E98">
        <w:t>s</w:t>
      </w:r>
      <w:r w:rsidR="007C719B">
        <w:t xml:space="preserve"> large as the depreciation </w:t>
      </w:r>
      <w:proofErr w:type="gramStart"/>
      <w:r w:rsidR="007C719B">
        <w:t>charge</w:t>
      </w:r>
      <w:proofErr w:type="gramEnd"/>
      <w:r w:rsidR="007C719B">
        <w:t xml:space="preserve"> they had been using. It is the annual "cost" of the machine.</w:t>
      </w:r>
      <w:r w:rsidR="00A31E98">
        <w:t xml:space="preserve"> </w:t>
      </w:r>
    </w:p>
    <w:p w14:paraId="04C0A57E" w14:textId="77777777" w:rsidR="00EC6E63" w:rsidRDefault="00224FB9" w:rsidP="00EC6E63">
      <w:r>
        <w:t>T</w:t>
      </w:r>
      <w:r w:rsidR="00EC6E63">
        <w:t xml:space="preserve">hese calculations are shown in </w:t>
      </w:r>
      <w:r w:rsidR="006F1FA3">
        <w:fldChar w:fldCharType="begin"/>
      </w:r>
      <w:r w:rsidR="00EC6E63">
        <w:instrText xml:space="preserve"> REF _Ref257981427 \h </w:instrText>
      </w:r>
      <w:r w:rsidR="006F1FA3">
        <w:fldChar w:fldCharType="separate"/>
      </w:r>
      <w:r w:rsidR="00A31E98">
        <w:t xml:space="preserve">Exhibit </w:t>
      </w:r>
      <w:r w:rsidR="00A31E98">
        <w:rPr>
          <w:noProof/>
        </w:rPr>
        <w:t>5</w:t>
      </w:r>
      <w:r w:rsidR="006F1FA3">
        <w:fldChar w:fldCharType="end"/>
      </w:r>
      <w:r w:rsidR="00EC6E63">
        <w:t xml:space="preserve">. As you can see, </w:t>
      </w:r>
      <w:r w:rsidR="000D3025">
        <w:t>t</w:t>
      </w:r>
      <w:r w:rsidR="00EC6E63">
        <w:t>he proper comparison is between $8.60 per lb. for the machine versus $6.25 for t</w:t>
      </w:r>
      <w:r w:rsidR="00864C8D">
        <w:t>he supplier to do the same job.</w:t>
      </w:r>
      <w:r w:rsidR="00BC68CD">
        <w:t xml:space="preserve"> The company's analysis point</w:t>
      </w:r>
      <w:r w:rsidR="000138FE">
        <w:t>ed</w:t>
      </w:r>
      <w:r w:rsidR="00BC68CD">
        <w:t xml:space="preserve"> to the wrong choice.</w:t>
      </w:r>
      <w:r w:rsidR="00670742">
        <w:t xml:space="preserve"> </w:t>
      </w:r>
    </w:p>
    <w:p w14:paraId="6D99923C" w14:textId="77777777" w:rsidR="00670742" w:rsidRDefault="00670742" w:rsidP="00EC6E63">
      <w:r>
        <w:t xml:space="preserve">Further adjustments can be made to this analysis. The depreciation can be calculated on a real-world MACRS basis. A gain or sale, or salvage value, at the end of the machine's life can be introduced. These changes will not much alter the </w:t>
      </w:r>
      <w:proofErr w:type="gramStart"/>
      <w:r>
        <w:t>outcome—</w:t>
      </w:r>
      <w:proofErr w:type="gramEnd"/>
      <w:r>
        <w:t xml:space="preserve">the big deal is the time value of money. </w:t>
      </w:r>
    </w:p>
    <w:p w14:paraId="378C023B" w14:textId="77777777" w:rsidR="00864C8D" w:rsidRDefault="00864C8D" w:rsidP="00EC6E63">
      <w:r>
        <w:lastRenderedPageBreak/>
        <w:t>The error in using simple depreciation charges to as a "cost" of capital increase</w:t>
      </w:r>
      <w:r w:rsidR="00670742">
        <w:t>s</w:t>
      </w:r>
      <w:r>
        <w:t xml:space="preserve"> with the life of the capital because the impact of discounting also increases. </w:t>
      </w:r>
      <w:r w:rsidR="006F1FA3">
        <w:fldChar w:fldCharType="begin"/>
      </w:r>
      <w:r>
        <w:instrText xml:space="preserve"> REF _Ref257982167 \h </w:instrText>
      </w:r>
      <w:r w:rsidR="006F1FA3">
        <w:fldChar w:fldCharType="separate"/>
      </w:r>
      <w:r w:rsidR="00BD190A">
        <w:t xml:space="preserve">Exhibit </w:t>
      </w:r>
      <w:r w:rsidR="00BD190A">
        <w:rPr>
          <w:noProof/>
        </w:rPr>
        <w:t>5</w:t>
      </w:r>
      <w:r w:rsidR="006F1FA3">
        <w:fldChar w:fldCharType="end"/>
      </w:r>
      <w:r>
        <w:t xml:space="preserve"> displays a graph showing this effect.</w:t>
      </w:r>
    </w:p>
    <w:p w14:paraId="113E63C8" w14:textId="77777777" w:rsidR="00F31498" w:rsidRDefault="00000000" w:rsidP="00EC6E63">
      <w:r>
        <w:rPr>
          <w:noProof/>
          <w:lang w:eastAsia="zh-TW"/>
        </w:rPr>
        <w:pict w14:anchorId="20AFE906">
          <v:shape id="_x0000_s2088" type="#_x0000_t202" style="position:absolute;left:0;text-align:left;margin-left:15.55pt;margin-top:36.5pt;width:425.25pt;height:249.8pt;z-index:4;mso-wrap-distance-bottom:7.2pt;mso-width-relative:margin;mso-height-relative:margin" o:allowincell="f" o:allowoverlap="f" stroked="f">
            <v:textbox style="mso-next-textbox:#_x0000_s2088">
              <w:txbxContent>
                <w:p w14:paraId="0B7ABFEB" w14:textId="77777777" w:rsidR="005F1709" w:rsidRDefault="005F1709" w:rsidP="00670742">
                  <w:pPr>
                    <w:pStyle w:val="Caption"/>
                    <w:jc w:val="center"/>
                  </w:pPr>
                  <w:bookmarkStart w:id="5" w:name="_Ref257982167"/>
                  <w:r>
                    <w:t xml:space="preserve">Exhibit </w:t>
                  </w:r>
                  <w:fldSimple w:instr=" SEQ Exhibit \* ARABIC ">
                    <w:r>
                      <w:rPr>
                        <w:noProof/>
                      </w:rPr>
                      <w:t>6</w:t>
                    </w:r>
                  </w:fldSimple>
                  <w:bookmarkEnd w:id="5"/>
                  <w:r>
                    <w:t>—Ratio of NPL lease equivalent of capital investment to naive annual depreciation charge for various capital durations (k = 10 %, T = 38%)</w:t>
                  </w:r>
                </w:p>
                <w:p w14:paraId="7F214E38" w14:textId="77777777" w:rsidR="005F1709" w:rsidRDefault="00000000" w:rsidP="00670742">
                  <w:pPr>
                    <w:jc w:val="center"/>
                  </w:pPr>
                  <w:r>
                    <w:rPr>
                      <w:noProof/>
                    </w:rPr>
                    <w:pict w14:anchorId="16FA184C">
                      <v:shape id="Chart 1" o:spid="_x0000_i1034" type="#_x0000_t75" style="width:352.5pt;height:212.25pt;visibility:visible" o:ole="" o:gfxdata="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">
                        <v:imagedata r:id="rId20" o:title="" croptop="-1998f" cropbottom="-3857f" cropleft="-1826f" cropright="-1808f"/>
                        <o:lock v:ext="edit" aspectratio="f"/>
                      </v:shape>
                    </w:pict>
                  </w:r>
                </w:p>
              </w:txbxContent>
            </v:textbox>
            <w10:wrap type="topAndBottom"/>
          </v:shape>
        </w:pict>
      </w:r>
    </w:p>
    <w:p w14:paraId="2186BB09" w14:textId="77777777" w:rsidR="00670742" w:rsidRDefault="00670742" w:rsidP="00EC6E63"/>
    <w:p w14:paraId="48C217C5" w14:textId="77777777" w:rsidR="00670742" w:rsidRDefault="00670742" w:rsidP="00EC6E63"/>
    <w:p w14:paraId="5916AFB1" w14:textId="77777777" w:rsidR="00670742" w:rsidRDefault="00670742" w:rsidP="00EC6E63"/>
    <w:p w14:paraId="565EEBF2" w14:textId="77777777" w:rsidR="00670742" w:rsidRDefault="00670742" w:rsidP="00EC6E63"/>
    <w:p w14:paraId="128E8A2B" w14:textId="77777777" w:rsidR="00670742" w:rsidRDefault="00670742" w:rsidP="00EC6E63"/>
    <w:p w14:paraId="015752A4" w14:textId="77777777" w:rsidR="00670742" w:rsidRDefault="00670742" w:rsidP="00EC6E63"/>
    <w:p w14:paraId="0E0A07D7" w14:textId="77777777" w:rsidR="00670742" w:rsidRDefault="00670742" w:rsidP="00EC6E63"/>
    <w:p w14:paraId="31DB87AB" w14:textId="77777777" w:rsidR="00670742" w:rsidRDefault="00670742" w:rsidP="00EC6E63"/>
    <w:p w14:paraId="4DF071D1" w14:textId="77777777" w:rsidR="00A31E98" w:rsidRDefault="00A31E98" w:rsidP="00F31498">
      <w:pPr>
        <w:pStyle w:val="Heading2"/>
      </w:pPr>
    </w:p>
    <w:p w14:paraId="1C4B3416" w14:textId="77777777" w:rsidR="00F31498" w:rsidRDefault="00A31E98" w:rsidP="00F31498">
      <w:pPr>
        <w:pStyle w:val="Heading2"/>
      </w:pPr>
      <w:r>
        <w:br w:type="page"/>
      </w:r>
      <w:r w:rsidR="00F31498">
        <w:lastRenderedPageBreak/>
        <w:t>Appendix</w:t>
      </w:r>
    </w:p>
    <w:p w14:paraId="0C19E100" w14:textId="77777777" w:rsidR="00F31498" w:rsidRDefault="00F31498" w:rsidP="00082C64"/>
    <w:p w14:paraId="57D96888" w14:textId="77777777" w:rsidR="008D36FB" w:rsidRDefault="008D36FB" w:rsidP="008D36FB">
      <w:r>
        <w:t>Accelerated depreciation rules and tables are available in IRS Publication 946. The overall idea is that property is placed in a “property class” which determines the depreciation life. The table below provides a quick overview. (The rules for farm equipment, rental property, and Indian property are more complex.) As can be seen, most business equipment falls in the 5-year or 7-year property classes.</w:t>
      </w:r>
    </w:p>
    <w:p w14:paraId="4A8C17B3" w14:textId="77777777" w:rsidR="008D36FB" w:rsidRDefault="008D36FB" w:rsidP="008D36FB"/>
    <w:tbl>
      <w:tblPr>
        <w:tblW w:w="0" w:type="auto"/>
        <w:tblLook w:val="04A0" w:firstRow="1" w:lastRow="0" w:firstColumn="1" w:lastColumn="0" w:noHBand="0" w:noVBand="1"/>
      </w:tblPr>
      <w:tblGrid>
        <w:gridCol w:w="1728"/>
        <w:gridCol w:w="4770"/>
        <w:gridCol w:w="2358"/>
      </w:tblGrid>
      <w:tr w:rsidR="00C845CC" w:rsidRPr="008D36FB" w14:paraId="7C40887D" w14:textId="77777777" w:rsidTr="00C845CC">
        <w:tc>
          <w:tcPr>
            <w:tcW w:w="8856" w:type="dxa"/>
            <w:gridSpan w:val="3"/>
          </w:tcPr>
          <w:p w14:paraId="7B761640" w14:textId="77777777" w:rsidR="00C845CC" w:rsidRPr="00C845CC" w:rsidRDefault="00C845CC" w:rsidP="00C845CC">
            <w:pPr>
              <w:pStyle w:val="Caption"/>
            </w:pPr>
            <w:r>
              <w:t xml:space="preserve">Exhibit </w:t>
            </w:r>
            <w:fldSimple w:instr=" SEQ Exhibit \* ARABIC ">
              <w:r w:rsidR="00C009DE">
                <w:rPr>
                  <w:noProof/>
                </w:rPr>
                <w:t>7</w:t>
              </w:r>
            </w:fldSimple>
            <w:r>
              <w:t>—MACRS Class Lives (summary)</w:t>
            </w:r>
          </w:p>
        </w:tc>
      </w:tr>
      <w:tr w:rsidR="008D36FB" w:rsidRPr="008D36FB" w14:paraId="4FDD7DDC" w14:textId="77777777" w:rsidTr="00C845CC">
        <w:tc>
          <w:tcPr>
            <w:tcW w:w="1728" w:type="dxa"/>
            <w:tcBorders>
              <w:bottom w:val="single" w:sz="4" w:space="0" w:color="auto"/>
            </w:tcBorders>
          </w:tcPr>
          <w:p w14:paraId="52C10B56" w14:textId="77777777" w:rsidR="008D36FB" w:rsidRDefault="008D36FB" w:rsidP="00BD190A">
            <w:pPr>
              <w:rPr>
                <w:rFonts w:ascii="Calibri" w:hAnsi="Calibri" w:cs="Calibri"/>
                <w:b/>
                <w:i/>
                <w:sz w:val="18"/>
                <w:szCs w:val="18"/>
              </w:rPr>
            </w:pPr>
            <w:r>
              <w:rPr>
                <w:rFonts w:ascii="Calibri" w:hAnsi="Calibri" w:cs="Calibri"/>
                <w:b/>
                <w:i/>
                <w:sz w:val="18"/>
                <w:szCs w:val="18"/>
              </w:rPr>
              <w:t>Property Class</w:t>
            </w:r>
          </w:p>
        </w:tc>
        <w:tc>
          <w:tcPr>
            <w:tcW w:w="4770" w:type="dxa"/>
            <w:tcBorders>
              <w:bottom w:val="single" w:sz="4" w:space="0" w:color="auto"/>
            </w:tcBorders>
          </w:tcPr>
          <w:p w14:paraId="52DCB9AF" w14:textId="77777777" w:rsidR="008D36FB" w:rsidRDefault="008D36FB" w:rsidP="00BD190A">
            <w:pPr>
              <w:rPr>
                <w:rFonts w:ascii="Calibri" w:hAnsi="Calibri" w:cs="Calibri"/>
                <w:b/>
                <w:i/>
                <w:sz w:val="18"/>
                <w:szCs w:val="18"/>
              </w:rPr>
            </w:pPr>
            <w:r>
              <w:rPr>
                <w:rFonts w:ascii="Calibri" w:hAnsi="Calibri" w:cs="Calibri"/>
                <w:b/>
                <w:i/>
                <w:sz w:val="18"/>
                <w:szCs w:val="18"/>
              </w:rPr>
              <w:t>Property Examples (non-farm)</w:t>
            </w:r>
          </w:p>
        </w:tc>
        <w:tc>
          <w:tcPr>
            <w:tcW w:w="2358" w:type="dxa"/>
            <w:tcBorders>
              <w:bottom w:val="single" w:sz="4" w:space="0" w:color="auto"/>
            </w:tcBorders>
          </w:tcPr>
          <w:p w14:paraId="78CC4770" w14:textId="77777777" w:rsidR="008D36FB" w:rsidRDefault="008D36FB" w:rsidP="00BD190A">
            <w:pPr>
              <w:jc w:val="center"/>
              <w:rPr>
                <w:rFonts w:ascii="Calibri" w:hAnsi="Calibri" w:cs="Calibri"/>
                <w:b/>
                <w:i/>
                <w:sz w:val="18"/>
                <w:szCs w:val="18"/>
              </w:rPr>
            </w:pPr>
            <w:r>
              <w:rPr>
                <w:rFonts w:ascii="Calibri" w:hAnsi="Calibri" w:cs="Calibri"/>
                <w:b/>
                <w:i/>
                <w:sz w:val="18"/>
                <w:szCs w:val="18"/>
              </w:rPr>
              <w:t>Acceleration Factor</w:t>
            </w:r>
          </w:p>
        </w:tc>
      </w:tr>
      <w:tr w:rsidR="008D36FB" w:rsidRPr="008D36FB" w14:paraId="2FCFC18F" w14:textId="77777777" w:rsidTr="00C845CC">
        <w:tc>
          <w:tcPr>
            <w:tcW w:w="1728" w:type="dxa"/>
            <w:tcBorders>
              <w:top w:val="single" w:sz="4" w:space="0" w:color="auto"/>
            </w:tcBorders>
          </w:tcPr>
          <w:p w14:paraId="7F324998" w14:textId="77777777" w:rsidR="008D36FB" w:rsidRDefault="008D36FB" w:rsidP="00BD190A">
            <w:pPr>
              <w:rPr>
                <w:rFonts w:ascii="Calibri" w:hAnsi="Calibri" w:cs="Calibri"/>
                <w:sz w:val="18"/>
                <w:szCs w:val="18"/>
              </w:rPr>
            </w:pPr>
            <w:r>
              <w:rPr>
                <w:rFonts w:ascii="Calibri" w:hAnsi="Calibri" w:cs="Calibri"/>
                <w:sz w:val="18"/>
                <w:szCs w:val="18"/>
              </w:rPr>
              <w:t>3-Year</w:t>
            </w:r>
          </w:p>
        </w:tc>
        <w:tc>
          <w:tcPr>
            <w:tcW w:w="4770" w:type="dxa"/>
            <w:tcBorders>
              <w:top w:val="single" w:sz="4" w:space="0" w:color="auto"/>
            </w:tcBorders>
          </w:tcPr>
          <w:p w14:paraId="473E42E8" w14:textId="77777777" w:rsidR="008D36FB" w:rsidRDefault="008D36FB" w:rsidP="00BD190A">
            <w:pPr>
              <w:rPr>
                <w:rFonts w:ascii="Calibri" w:hAnsi="Calibri" w:cs="Calibri"/>
                <w:sz w:val="18"/>
                <w:szCs w:val="18"/>
              </w:rPr>
            </w:pPr>
            <w:proofErr w:type="gramStart"/>
            <w:r>
              <w:rPr>
                <w:rFonts w:ascii="Calibri" w:hAnsi="Calibri" w:cs="Calibri"/>
                <w:sz w:val="18"/>
                <w:szCs w:val="18"/>
              </w:rPr>
              <w:t>Race horses</w:t>
            </w:r>
            <w:proofErr w:type="gramEnd"/>
            <w:r>
              <w:rPr>
                <w:rFonts w:ascii="Calibri" w:hAnsi="Calibri" w:cs="Calibri"/>
                <w:sz w:val="18"/>
                <w:szCs w:val="18"/>
              </w:rPr>
              <w:t>, tractors for road use</w:t>
            </w:r>
          </w:p>
        </w:tc>
        <w:tc>
          <w:tcPr>
            <w:tcW w:w="2358" w:type="dxa"/>
            <w:tcBorders>
              <w:top w:val="single" w:sz="4" w:space="0" w:color="auto"/>
            </w:tcBorders>
          </w:tcPr>
          <w:p w14:paraId="3A998D55" w14:textId="77777777" w:rsidR="008D36FB" w:rsidRDefault="008D36FB" w:rsidP="00BD190A">
            <w:pPr>
              <w:jc w:val="center"/>
              <w:rPr>
                <w:rFonts w:ascii="Calibri" w:hAnsi="Calibri" w:cs="Calibri"/>
                <w:sz w:val="18"/>
                <w:szCs w:val="18"/>
              </w:rPr>
            </w:pPr>
            <w:r>
              <w:rPr>
                <w:rFonts w:ascii="Calibri" w:hAnsi="Calibri" w:cs="Calibri"/>
                <w:sz w:val="18"/>
                <w:szCs w:val="18"/>
              </w:rPr>
              <w:t>2</w:t>
            </w:r>
          </w:p>
        </w:tc>
      </w:tr>
      <w:tr w:rsidR="008D36FB" w:rsidRPr="008D36FB" w14:paraId="73D0EB40" w14:textId="77777777" w:rsidTr="00C845CC">
        <w:tc>
          <w:tcPr>
            <w:tcW w:w="1728" w:type="dxa"/>
          </w:tcPr>
          <w:p w14:paraId="50414FF5" w14:textId="77777777" w:rsidR="008D36FB" w:rsidRDefault="008D36FB" w:rsidP="00BD190A">
            <w:pPr>
              <w:rPr>
                <w:rFonts w:ascii="Calibri" w:hAnsi="Calibri" w:cs="Calibri"/>
                <w:sz w:val="18"/>
                <w:szCs w:val="18"/>
              </w:rPr>
            </w:pPr>
            <w:r>
              <w:rPr>
                <w:rFonts w:ascii="Calibri" w:hAnsi="Calibri" w:cs="Calibri"/>
                <w:sz w:val="18"/>
                <w:szCs w:val="18"/>
              </w:rPr>
              <w:t>5-Year</w:t>
            </w:r>
          </w:p>
        </w:tc>
        <w:tc>
          <w:tcPr>
            <w:tcW w:w="4770" w:type="dxa"/>
          </w:tcPr>
          <w:p w14:paraId="74A54F01" w14:textId="77777777" w:rsidR="008D36FB" w:rsidRDefault="008D36FB" w:rsidP="00BD190A">
            <w:pPr>
              <w:rPr>
                <w:rFonts w:ascii="Calibri" w:hAnsi="Calibri" w:cs="Calibri"/>
                <w:sz w:val="18"/>
                <w:szCs w:val="18"/>
              </w:rPr>
            </w:pPr>
            <w:r>
              <w:rPr>
                <w:rFonts w:ascii="Calibri" w:hAnsi="Calibri" w:cs="Calibri"/>
                <w:sz w:val="18"/>
                <w:szCs w:val="18"/>
              </w:rPr>
              <w:t>Motor vehicles, computers, office equipment, R&amp;D equipment, solar and wind energy equipment, commercial aircraft</w:t>
            </w:r>
          </w:p>
        </w:tc>
        <w:tc>
          <w:tcPr>
            <w:tcW w:w="2358" w:type="dxa"/>
          </w:tcPr>
          <w:p w14:paraId="04D4D3E0" w14:textId="77777777" w:rsidR="008D36FB" w:rsidRDefault="008D36FB" w:rsidP="00BD190A">
            <w:pPr>
              <w:jc w:val="center"/>
              <w:rPr>
                <w:rFonts w:ascii="Calibri" w:hAnsi="Calibri" w:cs="Calibri"/>
                <w:sz w:val="18"/>
                <w:szCs w:val="18"/>
              </w:rPr>
            </w:pPr>
            <w:r>
              <w:rPr>
                <w:rFonts w:ascii="Calibri" w:hAnsi="Calibri" w:cs="Calibri"/>
                <w:sz w:val="18"/>
                <w:szCs w:val="18"/>
              </w:rPr>
              <w:t>2</w:t>
            </w:r>
          </w:p>
        </w:tc>
      </w:tr>
      <w:tr w:rsidR="008D36FB" w:rsidRPr="008D36FB" w14:paraId="3C8FAA81" w14:textId="77777777" w:rsidTr="00C845CC">
        <w:tc>
          <w:tcPr>
            <w:tcW w:w="1728" w:type="dxa"/>
          </w:tcPr>
          <w:p w14:paraId="30DDDCE7" w14:textId="77777777" w:rsidR="008D36FB" w:rsidRDefault="008D36FB" w:rsidP="00BD190A">
            <w:pPr>
              <w:rPr>
                <w:rFonts w:ascii="Calibri" w:hAnsi="Calibri" w:cs="Calibri"/>
                <w:sz w:val="18"/>
                <w:szCs w:val="18"/>
              </w:rPr>
            </w:pPr>
            <w:r>
              <w:rPr>
                <w:rFonts w:ascii="Calibri" w:hAnsi="Calibri" w:cs="Calibri"/>
                <w:sz w:val="18"/>
                <w:szCs w:val="18"/>
              </w:rPr>
              <w:t>7-Year</w:t>
            </w:r>
          </w:p>
        </w:tc>
        <w:tc>
          <w:tcPr>
            <w:tcW w:w="4770" w:type="dxa"/>
          </w:tcPr>
          <w:p w14:paraId="4A705E10" w14:textId="77777777" w:rsidR="008D36FB" w:rsidRDefault="008D36FB" w:rsidP="00BD190A">
            <w:pPr>
              <w:rPr>
                <w:rFonts w:ascii="Calibri" w:hAnsi="Calibri" w:cs="Calibri"/>
                <w:sz w:val="18"/>
                <w:szCs w:val="18"/>
              </w:rPr>
            </w:pPr>
            <w:r>
              <w:rPr>
                <w:rFonts w:ascii="Calibri" w:hAnsi="Calibri" w:cs="Calibri"/>
                <w:sz w:val="18"/>
                <w:szCs w:val="18"/>
              </w:rPr>
              <w:t>Office furniture, racetracks, property not elsewhere classified</w:t>
            </w:r>
          </w:p>
        </w:tc>
        <w:tc>
          <w:tcPr>
            <w:tcW w:w="2358" w:type="dxa"/>
          </w:tcPr>
          <w:p w14:paraId="53D564FA" w14:textId="77777777" w:rsidR="008D36FB" w:rsidRDefault="008D36FB" w:rsidP="00BD190A">
            <w:pPr>
              <w:jc w:val="center"/>
              <w:rPr>
                <w:rFonts w:ascii="Calibri" w:hAnsi="Calibri" w:cs="Calibri"/>
                <w:sz w:val="18"/>
                <w:szCs w:val="18"/>
              </w:rPr>
            </w:pPr>
            <w:r>
              <w:rPr>
                <w:rFonts w:ascii="Calibri" w:hAnsi="Calibri" w:cs="Calibri"/>
                <w:sz w:val="18"/>
                <w:szCs w:val="18"/>
              </w:rPr>
              <w:t>2</w:t>
            </w:r>
          </w:p>
        </w:tc>
      </w:tr>
      <w:tr w:rsidR="008D36FB" w:rsidRPr="008D36FB" w14:paraId="237E3A53" w14:textId="77777777" w:rsidTr="00C845CC">
        <w:tc>
          <w:tcPr>
            <w:tcW w:w="1728" w:type="dxa"/>
          </w:tcPr>
          <w:p w14:paraId="6E8CEEFA" w14:textId="77777777" w:rsidR="008D36FB" w:rsidRDefault="008D36FB" w:rsidP="00BD190A">
            <w:pPr>
              <w:rPr>
                <w:rFonts w:ascii="Calibri" w:hAnsi="Calibri" w:cs="Calibri"/>
                <w:sz w:val="18"/>
                <w:szCs w:val="18"/>
              </w:rPr>
            </w:pPr>
            <w:r>
              <w:rPr>
                <w:rFonts w:ascii="Calibri" w:hAnsi="Calibri" w:cs="Calibri"/>
                <w:sz w:val="18"/>
                <w:szCs w:val="18"/>
              </w:rPr>
              <w:t>10-Year</w:t>
            </w:r>
          </w:p>
        </w:tc>
        <w:tc>
          <w:tcPr>
            <w:tcW w:w="4770" w:type="dxa"/>
          </w:tcPr>
          <w:p w14:paraId="2FB8DE0A" w14:textId="77777777" w:rsidR="008D36FB" w:rsidRDefault="008D36FB" w:rsidP="00BD190A">
            <w:pPr>
              <w:rPr>
                <w:rFonts w:ascii="Calibri" w:hAnsi="Calibri" w:cs="Calibri"/>
                <w:sz w:val="18"/>
                <w:szCs w:val="18"/>
              </w:rPr>
            </w:pPr>
            <w:r>
              <w:rPr>
                <w:rFonts w:ascii="Calibri" w:hAnsi="Calibri" w:cs="Calibri"/>
                <w:sz w:val="18"/>
                <w:szCs w:val="18"/>
              </w:rPr>
              <w:t>Water transport equipment, smart electrical grids</w:t>
            </w:r>
          </w:p>
        </w:tc>
        <w:tc>
          <w:tcPr>
            <w:tcW w:w="2358" w:type="dxa"/>
          </w:tcPr>
          <w:p w14:paraId="622AEACA" w14:textId="77777777" w:rsidR="008D36FB" w:rsidRDefault="008D36FB" w:rsidP="00BD190A">
            <w:pPr>
              <w:jc w:val="center"/>
              <w:rPr>
                <w:rFonts w:ascii="Calibri" w:hAnsi="Calibri" w:cs="Calibri"/>
                <w:sz w:val="18"/>
                <w:szCs w:val="18"/>
              </w:rPr>
            </w:pPr>
            <w:r>
              <w:rPr>
                <w:rFonts w:ascii="Calibri" w:hAnsi="Calibri" w:cs="Calibri"/>
                <w:sz w:val="18"/>
                <w:szCs w:val="18"/>
              </w:rPr>
              <w:t>2</w:t>
            </w:r>
          </w:p>
        </w:tc>
      </w:tr>
      <w:tr w:rsidR="008D36FB" w:rsidRPr="008D36FB" w14:paraId="21C531D9" w14:textId="77777777" w:rsidTr="00C845CC">
        <w:tc>
          <w:tcPr>
            <w:tcW w:w="1728" w:type="dxa"/>
          </w:tcPr>
          <w:p w14:paraId="3C904E0E" w14:textId="77777777" w:rsidR="008D36FB" w:rsidRDefault="008D36FB" w:rsidP="00BD190A">
            <w:pPr>
              <w:rPr>
                <w:rFonts w:ascii="Calibri" w:hAnsi="Calibri" w:cs="Calibri"/>
                <w:sz w:val="18"/>
                <w:szCs w:val="18"/>
              </w:rPr>
            </w:pPr>
            <w:r>
              <w:rPr>
                <w:rFonts w:ascii="Calibri" w:hAnsi="Calibri" w:cs="Calibri"/>
                <w:sz w:val="18"/>
                <w:szCs w:val="18"/>
              </w:rPr>
              <w:t>15-Year</w:t>
            </w:r>
          </w:p>
        </w:tc>
        <w:tc>
          <w:tcPr>
            <w:tcW w:w="4770" w:type="dxa"/>
          </w:tcPr>
          <w:p w14:paraId="070F4901" w14:textId="77777777" w:rsidR="008D36FB" w:rsidRDefault="008D36FB" w:rsidP="00BD190A">
            <w:pPr>
              <w:rPr>
                <w:rFonts w:ascii="Calibri" w:hAnsi="Calibri" w:cs="Calibri"/>
                <w:sz w:val="18"/>
                <w:szCs w:val="18"/>
              </w:rPr>
            </w:pPr>
            <w:r>
              <w:rPr>
                <w:rFonts w:ascii="Calibri" w:hAnsi="Calibri" w:cs="Calibri"/>
                <w:sz w:val="18"/>
                <w:szCs w:val="18"/>
              </w:rPr>
              <w:t>Restaurants, gas stations, utility distribution systems, landscaping</w:t>
            </w:r>
          </w:p>
        </w:tc>
        <w:tc>
          <w:tcPr>
            <w:tcW w:w="2358" w:type="dxa"/>
          </w:tcPr>
          <w:p w14:paraId="70705DA3" w14:textId="77777777" w:rsidR="008D36FB" w:rsidRDefault="008D36FB" w:rsidP="00BD190A">
            <w:pPr>
              <w:jc w:val="center"/>
              <w:rPr>
                <w:rFonts w:ascii="Calibri" w:hAnsi="Calibri" w:cs="Calibri"/>
                <w:sz w:val="18"/>
                <w:szCs w:val="18"/>
              </w:rPr>
            </w:pPr>
            <w:r>
              <w:rPr>
                <w:rFonts w:ascii="Calibri" w:hAnsi="Calibri" w:cs="Calibri"/>
                <w:sz w:val="18"/>
                <w:szCs w:val="18"/>
              </w:rPr>
              <w:t>1.5</w:t>
            </w:r>
          </w:p>
        </w:tc>
      </w:tr>
      <w:tr w:rsidR="008D36FB" w:rsidRPr="008D36FB" w14:paraId="086017F4" w14:textId="77777777" w:rsidTr="00C845CC">
        <w:tc>
          <w:tcPr>
            <w:tcW w:w="1728" w:type="dxa"/>
          </w:tcPr>
          <w:p w14:paraId="25162095" w14:textId="77777777" w:rsidR="008D36FB" w:rsidRDefault="008D36FB" w:rsidP="00BD190A">
            <w:pPr>
              <w:rPr>
                <w:rFonts w:ascii="Calibri" w:hAnsi="Calibri" w:cs="Calibri"/>
                <w:sz w:val="18"/>
                <w:szCs w:val="18"/>
              </w:rPr>
            </w:pPr>
            <w:r>
              <w:rPr>
                <w:rFonts w:ascii="Calibri" w:hAnsi="Calibri" w:cs="Calibri"/>
                <w:sz w:val="18"/>
                <w:szCs w:val="18"/>
              </w:rPr>
              <w:t>20-Year</w:t>
            </w:r>
          </w:p>
        </w:tc>
        <w:tc>
          <w:tcPr>
            <w:tcW w:w="4770" w:type="dxa"/>
          </w:tcPr>
          <w:p w14:paraId="5CECCA4C" w14:textId="77777777" w:rsidR="008D36FB" w:rsidRDefault="008D36FB" w:rsidP="00BD190A">
            <w:pPr>
              <w:rPr>
                <w:rFonts w:ascii="Calibri" w:hAnsi="Calibri" w:cs="Calibri"/>
                <w:sz w:val="18"/>
                <w:szCs w:val="18"/>
              </w:rPr>
            </w:pPr>
            <w:r>
              <w:rPr>
                <w:rFonts w:ascii="Calibri" w:hAnsi="Calibri" w:cs="Calibri"/>
                <w:sz w:val="18"/>
                <w:szCs w:val="18"/>
              </w:rPr>
              <w:t>Utility grading</w:t>
            </w:r>
          </w:p>
        </w:tc>
        <w:tc>
          <w:tcPr>
            <w:tcW w:w="2358" w:type="dxa"/>
          </w:tcPr>
          <w:p w14:paraId="03199B1B" w14:textId="77777777" w:rsidR="008D36FB" w:rsidRDefault="008D36FB" w:rsidP="00BD190A">
            <w:pPr>
              <w:jc w:val="center"/>
              <w:rPr>
                <w:rFonts w:ascii="Calibri" w:hAnsi="Calibri" w:cs="Calibri"/>
                <w:sz w:val="18"/>
                <w:szCs w:val="18"/>
              </w:rPr>
            </w:pPr>
            <w:r>
              <w:rPr>
                <w:rFonts w:ascii="Calibri" w:hAnsi="Calibri" w:cs="Calibri"/>
                <w:sz w:val="18"/>
                <w:szCs w:val="18"/>
              </w:rPr>
              <w:t>1.5</w:t>
            </w:r>
          </w:p>
        </w:tc>
      </w:tr>
      <w:tr w:rsidR="008D36FB" w:rsidRPr="008D36FB" w14:paraId="69D2F924" w14:textId="77777777" w:rsidTr="00C845CC">
        <w:tc>
          <w:tcPr>
            <w:tcW w:w="1728" w:type="dxa"/>
          </w:tcPr>
          <w:p w14:paraId="6983A782" w14:textId="77777777" w:rsidR="008D36FB" w:rsidRDefault="008D36FB" w:rsidP="00BD190A">
            <w:pPr>
              <w:rPr>
                <w:rFonts w:ascii="Calibri" w:hAnsi="Calibri" w:cs="Calibri"/>
                <w:sz w:val="18"/>
                <w:szCs w:val="18"/>
              </w:rPr>
            </w:pPr>
            <w:r>
              <w:rPr>
                <w:rFonts w:ascii="Calibri" w:hAnsi="Calibri" w:cs="Calibri"/>
                <w:sz w:val="18"/>
                <w:szCs w:val="18"/>
              </w:rPr>
              <w:t>25-Year</w:t>
            </w:r>
          </w:p>
        </w:tc>
        <w:tc>
          <w:tcPr>
            <w:tcW w:w="4770" w:type="dxa"/>
          </w:tcPr>
          <w:p w14:paraId="7ABE1C13" w14:textId="77777777" w:rsidR="008D36FB" w:rsidRDefault="008D36FB" w:rsidP="00BD190A">
            <w:pPr>
              <w:rPr>
                <w:rFonts w:ascii="Calibri" w:hAnsi="Calibri" w:cs="Calibri"/>
                <w:sz w:val="18"/>
                <w:szCs w:val="18"/>
              </w:rPr>
            </w:pPr>
            <w:r>
              <w:rPr>
                <w:rFonts w:ascii="Calibri" w:hAnsi="Calibri" w:cs="Calibri"/>
                <w:sz w:val="18"/>
                <w:szCs w:val="18"/>
              </w:rPr>
              <w:t xml:space="preserve">Water treatment and distribution </w:t>
            </w:r>
          </w:p>
        </w:tc>
        <w:tc>
          <w:tcPr>
            <w:tcW w:w="2358" w:type="dxa"/>
          </w:tcPr>
          <w:p w14:paraId="6A481177" w14:textId="77777777" w:rsidR="008D36FB" w:rsidRDefault="008D36FB" w:rsidP="00C845CC">
            <w:pPr>
              <w:keepNext/>
              <w:jc w:val="center"/>
              <w:rPr>
                <w:rFonts w:ascii="Calibri" w:hAnsi="Calibri" w:cs="Calibri"/>
                <w:sz w:val="18"/>
                <w:szCs w:val="18"/>
              </w:rPr>
            </w:pPr>
            <w:r>
              <w:rPr>
                <w:rFonts w:ascii="Calibri" w:hAnsi="Calibri" w:cs="Calibri"/>
                <w:sz w:val="18"/>
                <w:szCs w:val="18"/>
              </w:rPr>
              <w:t>1.5</w:t>
            </w:r>
          </w:p>
        </w:tc>
      </w:tr>
    </w:tbl>
    <w:p w14:paraId="5DACBE08" w14:textId="77777777" w:rsidR="008D36FB" w:rsidRDefault="008D36FB" w:rsidP="008D36FB">
      <w:r>
        <w:t xml:space="preserve">Under the MACRS acceleration system, if an asset with cost  </w:t>
      </w:r>
      <w:r w:rsidRPr="00602F58">
        <w:rPr>
          <w:i/>
        </w:rPr>
        <w:t>C</w:t>
      </w:r>
      <w:r>
        <w:t xml:space="preserve">  is placed into service, the accelerated depreciation during its first full year of service is </w:t>
      </w:r>
      <w:r w:rsidRPr="00E06C8C">
        <w:rPr>
          <w:position w:val="-10"/>
        </w:rPr>
        <w:object w:dxaOrig="900" w:dyaOrig="320" w14:anchorId="178B3F42">
          <v:shape id="_x0000_i1035" type="#_x0000_t75" style="width:45pt;height:15.75pt" o:ole="">
            <v:imagedata r:id="rId21" o:title=""/>
          </v:shape>
          <o:OLEObject Type="Embed" ProgID="Equation.DSMT4" ShapeID="_x0000_i1035" DrawAspect="Content" ObjectID="_1837604429" r:id="rId22"/>
        </w:object>
      </w:r>
      <w:r>
        <w:t xml:space="preserve"> where  </w:t>
      </w:r>
      <w:r w:rsidRPr="00E06C8C">
        <w:rPr>
          <w:i/>
        </w:rPr>
        <w:t>F</w:t>
      </w:r>
      <w:r>
        <w:t xml:space="preserve"> is the acceleration factor (1.5 or 2) and  </w:t>
      </w:r>
      <w:r w:rsidRPr="00E06C8C">
        <w:rPr>
          <w:i/>
        </w:rPr>
        <w:t>L</w:t>
      </w:r>
      <w:r>
        <w:t xml:space="preserve"> is the property-class recovery period (3, 5, 7, 10, 15, 20, or 25). The remaining balance at the end of the first full year will be </w:t>
      </w:r>
      <w:r w:rsidRPr="00E06C8C">
        <w:rPr>
          <w:position w:val="-10"/>
        </w:rPr>
        <w:object w:dxaOrig="1180" w:dyaOrig="320" w14:anchorId="540683AB">
          <v:shape id="_x0000_i1036" type="#_x0000_t75" style="width:59.25pt;height:15.75pt" o:ole="">
            <v:imagedata r:id="rId23" o:title=""/>
          </v:shape>
          <o:OLEObject Type="Embed" ProgID="Equation.DSMT4" ShapeID="_x0000_i1036" DrawAspect="Content" ObjectID="_1837604430" r:id="rId24"/>
        </w:object>
      </w:r>
      <w:r>
        <w:t xml:space="preserve">. Thus, the second full year’s depreciation will be </w:t>
      </w:r>
      <w:r w:rsidRPr="00E06C8C">
        <w:rPr>
          <w:position w:val="-10"/>
        </w:rPr>
        <w:object w:dxaOrig="1820" w:dyaOrig="320" w14:anchorId="18F615E8">
          <v:shape id="_x0000_i1037" type="#_x0000_t75" style="width:90.75pt;height:15.75pt" o:ole="">
            <v:imagedata r:id="rId25" o:title=""/>
          </v:shape>
          <o:OLEObject Type="Embed" ProgID="Equation.DSMT4" ShapeID="_x0000_i1037" DrawAspect="Content" ObjectID="_1837604431" r:id="rId26"/>
        </w:object>
      </w:r>
      <w:r>
        <w:t xml:space="preserve">. The remaining balance after </w:t>
      </w:r>
      <w:proofErr w:type="gramStart"/>
      <w:r w:rsidRPr="007B4525">
        <w:rPr>
          <w:i/>
        </w:rPr>
        <w:t>N</w:t>
      </w:r>
      <w:r>
        <w:t xml:space="preserve">  full</w:t>
      </w:r>
      <w:proofErr w:type="gramEnd"/>
      <w:r>
        <w:t xml:space="preserve"> years of accelerated depreciation would be  </w:t>
      </w:r>
      <w:r w:rsidRPr="007B4525">
        <w:rPr>
          <w:position w:val="-12"/>
        </w:rPr>
        <w:object w:dxaOrig="1840" w:dyaOrig="380" w14:anchorId="33B33681">
          <v:shape id="_x0000_i1038" type="#_x0000_t75" style="width:92.25pt;height:18.75pt" o:ole="">
            <v:imagedata r:id="rId27" o:title=""/>
          </v:shape>
          <o:OLEObject Type="Embed" ProgID="Equation.DSMT4" ShapeID="_x0000_i1038" DrawAspect="Content" ObjectID="_1837604432" r:id="rId28"/>
        </w:object>
      </w:r>
      <w:r>
        <w:t xml:space="preserve">. </w:t>
      </w:r>
    </w:p>
    <w:p w14:paraId="47031E95" w14:textId="77777777" w:rsidR="008D36FB" w:rsidRDefault="008D36FB" w:rsidP="008D36FB">
      <w:r>
        <w:t xml:space="preserve">Notice that this balance never falls to zero no matter how large </w:t>
      </w:r>
      <w:proofErr w:type="gramStart"/>
      <w:r w:rsidRPr="007B4525">
        <w:rPr>
          <w:i/>
        </w:rPr>
        <w:t>N</w:t>
      </w:r>
      <w:r>
        <w:t xml:space="preserve">  becomes</w:t>
      </w:r>
      <w:proofErr w:type="gramEnd"/>
      <w:r>
        <w:t xml:space="preserve">. To overcome this difficulty, the rules have one switch to the straight-line method when it yields a larger depreciation charge. </w:t>
      </w:r>
    </w:p>
    <w:p w14:paraId="5DB926A0" w14:textId="77777777" w:rsidR="008D36FB" w:rsidRDefault="008D36FB" w:rsidP="008D36FB">
      <w:r>
        <w:t>A further complexity is that the IRS rules do not start depreciation at the instant an asset is placed into service. Rather, depreciation begins in the middle of the year it is put in service, or the middle of the quarter, or the middle of the month. (The mid-month convention is restricted to real property.)</w:t>
      </w:r>
    </w:p>
    <w:p w14:paraId="230BA291" w14:textId="77777777" w:rsidR="000D3025" w:rsidRDefault="008D36FB" w:rsidP="008D36FB">
      <w:r>
        <w:t xml:space="preserve">These complexities are all handled by Excel user-function </w:t>
      </w:r>
      <w:r w:rsidR="004F3001" w:rsidRPr="004F3001">
        <w:rPr>
          <w:b/>
        </w:rPr>
        <w:t>macrs</w:t>
      </w:r>
      <w:r>
        <w:t xml:space="preserve">. This function returns the MACRS rule depreciation during </w:t>
      </w:r>
      <w:r w:rsidR="004F3001">
        <w:t xml:space="preserve">a given year </w:t>
      </w:r>
      <w:r>
        <w:t xml:space="preserve">of an asset having a cost basis of 1. This function faithfully reproduces the MACRS tables in IRS Publication 946. </w:t>
      </w:r>
      <w:r w:rsidR="00E548D9">
        <w:t>It and its associated functions are described below.</w:t>
      </w:r>
    </w:p>
    <w:p w14:paraId="1068515F" w14:textId="77777777" w:rsidR="000D3025" w:rsidRDefault="000D3025" w:rsidP="008D36FB"/>
    <w:p w14:paraId="0D0661F0" w14:textId="77777777" w:rsidR="000D3025" w:rsidRDefault="000D3025" w:rsidP="008D36FB"/>
    <w:p w14:paraId="48E7DF0C" w14:textId="77777777" w:rsidR="000D3025" w:rsidRDefault="000D3025" w:rsidP="008D36FB">
      <w:proofErr w:type="gramStart"/>
      <w:r w:rsidRPr="004F3001">
        <w:rPr>
          <w:b/>
        </w:rPr>
        <w:t>macrs</w:t>
      </w:r>
      <w:r>
        <w:t xml:space="preserve">( </w:t>
      </w:r>
      <w:r w:rsidRPr="004F3001">
        <w:rPr>
          <w:b/>
        </w:rPr>
        <w:t>life</w:t>
      </w:r>
      <w:proofErr w:type="gramEnd"/>
      <w:r>
        <w:t xml:space="preserve">, </w:t>
      </w:r>
      <w:r w:rsidRPr="004F3001">
        <w:rPr>
          <w:b/>
        </w:rPr>
        <w:t>year</w:t>
      </w:r>
      <w:r>
        <w:t>, [</w:t>
      </w:r>
      <w:r w:rsidRPr="00C97DA6">
        <w:rPr>
          <w:b/>
        </w:rPr>
        <w:t>conv</w:t>
      </w:r>
      <w:r>
        <w:t>], [</w:t>
      </w:r>
      <w:proofErr w:type="gramStart"/>
      <w:r w:rsidRPr="00CD3C6D">
        <w:rPr>
          <w:b/>
        </w:rPr>
        <w:t>startperiod</w:t>
      </w:r>
      <w:proofErr w:type="gramEnd"/>
      <w:r>
        <w:t>], [</w:t>
      </w:r>
      <w:r w:rsidRPr="00CD3C6D">
        <w:rPr>
          <w:b/>
        </w:rPr>
        <w:t>forcefactor</w:t>
      </w:r>
      <w:r>
        <w:t>])</w:t>
      </w:r>
    </w:p>
    <w:p w14:paraId="0264A54E" w14:textId="77777777" w:rsidR="008D36FB" w:rsidRDefault="000D3025" w:rsidP="00916C23">
      <w:pPr>
        <w:pStyle w:val="blockindented"/>
      </w:pPr>
      <w:r>
        <w:t xml:space="preserve">Excel user-defined function </w:t>
      </w:r>
      <w:r w:rsidR="004F3001" w:rsidRPr="004F3001">
        <w:rPr>
          <w:b/>
        </w:rPr>
        <w:t>macrs</w:t>
      </w:r>
      <w:r w:rsidR="008D36FB">
        <w:t xml:space="preserve"> function takes the following arguments</w:t>
      </w:r>
      <w:r w:rsidR="004F3001">
        <w:t xml:space="preserve"> (square brackets around optional arguments)</w:t>
      </w:r>
      <w:r w:rsidR="008D36FB">
        <w:t>:</w:t>
      </w:r>
    </w:p>
    <w:p w14:paraId="6A2661EC" w14:textId="77777777" w:rsidR="008D36FB" w:rsidRDefault="004F3001" w:rsidP="00916C23">
      <w:r>
        <w:tab/>
      </w:r>
      <w:r w:rsidR="00CD3C6D" w:rsidRPr="00CD3C6D">
        <w:rPr>
          <w:b/>
        </w:rPr>
        <w:t>life</w:t>
      </w:r>
      <w:r w:rsidR="008D36FB">
        <w:t xml:space="preserve"> = the depreciable life of the asset in years</w:t>
      </w:r>
    </w:p>
    <w:p w14:paraId="5D878A9A" w14:textId="77777777" w:rsidR="008D36FB" w:rsidRDefault="00CD3C6D" w:rsidP="00916C23">
      <w:pPr>
        <w:pStyle w:val="blockindented"/>
      </w:pPr>
      <w:r w:rsidRPr="00CD3C6D">
        <w:rPr>
          <w:b/>
        </w:rPr>
        <w:t>year</w:t>
      </w:r>
      <w:r w:rsidR="008D36FB">
        <w:t xml:space="preserve"> = the year (1, 2, </w:t>
      </w:r>
      <w:proofErr w:type="gramStart"/>
      <w:r w:rsidR="008D36FB">
        <w:t>. . . )</w:t>
      </w:r>
      <w:proofErr w:type="gramEnd"/>
    </w:p>
    <w:p w14:paraId="33DD2E0E" w14:textId="77777777" w:rsidR="008D36FB" w:rsidRDefault="00C97DA6" w:rsidP="00916C23">
      <w:pPr>
        <w:pStyle w:val="blockindented"/>
      </w:pPr>
      <w:r w:rsidRPr="00C97DA6">
        <w:rPr>
          <w:b/>
        </w:rPr>
        <w:t>conv</w:t>
      </w:r>
      <w:r w:rsidR="008D36FB">
        <w:t xml:space="preserve"> = optional integer set to 1 for half-year convention, 4 for mid-quarter convention, and 12 for mid-month convention. If omitted, 1 is assumed. </w:t>
      </w:r>
      <w:r w:rsidR="00A31E98">
        <w:t>If set to 0, IRS rules about delaying the start of depreciation are ignored.</w:t>
      </w:r>
    </w:p>
    <w:p w14:paraId="473CAF72" w14:textId="77777777" w:rsidR="008D36FB" w:rsidRDefault="00CD3C6D" w:rsidP="00916C23">
      <w:pPr>
        <w:pStyle w:val="blockindented"/>
      </w:pPr>
      <w:r w:rsidRPr="00CD3C6D">
        <w:rPr>
          <w:b/>
        </w:rPr>
        <w:t>startperiod</w:t>
      </w:r>
      <w:r w:rsidR="008D36FB">
        <w:t xml:space="preserve"> = optional integer indication which period the asset was placed into service. Set to 1 for first-year or first quarter or first month. Set to 2 for second quarter, or second month, and so on. If omitted, 1 is assumed.</w:t>
      </w:r>
    </w:p>
    <w:p w14:paraId="7E237284" w14:textId="77777777" w:rsidR="00D1001B" w:rsidRDefault="00CD3C6D" w:rsidP="00916C23">
      <w:pPr>
        <w:pStyle w:val="blockindented"/>
      </w:pPr>
      <w:proofErr w:type="gramStart"/>
      <w:r w:rsidRPr="00CD3C6D">
        <w:rPr>
          <w:b/>
        </w:rPr>
        <w:t>forcefactor</w:t>
      </w:r>
      <w:proofErr w:type="gramEnd"/>
      <w:r w:rsidR="00D1001B">
        <w:t xml:space="preserve"> = optional number which </w:t>
      </w:r>
      <w:r w:rsidR="00A31E98">
        <w:t xml:space="preserve">defines the decline rate. The decline rate is normally </w:t>
      </w:r>
      <w:r w:rsidR="00A31E98" w:rsidRPr="00916C23">
        <w:t>set</w:t>
      </w:r>
      <w:r w:rsidR="00A31E98">
        <w:t xml:space="preserve"> to 2 for properties with live of 10 years or less, 1.5 for properties with lives between 11 and 20 years, and 1 for properties with lives longer than 20 years. Note that</w:t>
      </w:r>
      <w:r w:rsidR="00E548D9">
        <w:t xml:space="preserve"> setting </w:t>
      </w:r>
      <w:r w:rsidR="00A31E98" w:rsidRPr="00E548D9">
        <w:t>forcefactor</w:t>
      </w:r>
      <w:r w:rsidR="00A31E98">
        <w:t xml:space="preserve"> = 1 creates straight line depreciation.</w:t>
      </w:r>
      <w:r w:rsidR="00D1001B">
        <w:t xml:space="preserve"> </w:t>
      </w:r>
    </w:p>
    <w:p w14:paraId="30ED2472" w14:textId="77777777" w:rsidR="005F1709" w:rsidRDefault="005F1709" w:rsidP="00916C23">
      <w:pPr>
        <w:pStyle w:val="blockindented"/>
      </w:pPr>
      <w:r>
        <w:t>Examples:</w:t>
      </w:r>
    </w:p>
    <w:tbl>
      <w:tblPr>
        <w:tblW w:w="0" w:type="auto"/>
        <w:tblInd w:w="828" w:type="dxa"/>
        <w:tblLook w:val="04A0" w:firstRow="1" w:lastRow="0" w:firstColumn="1" w:lastColumn="0" w:noHBand="0" w:noVBand="1"/>
      </w:tblPr>
      <w:tblGrid>
        <w:gridCol w:w="2970"/>
        <w:gridCol w:w="5058"/>
      </w:tblGrid>
      <w:tr w:rsidR="003F559E" w14:paraId="5D2E64D4" w14:textId="77777777" w:rsidTr="003F559E">
        <w:tc>
          <w:tcPr>
            <w:tcW w:w="2970" w:type="dxa"/>
          </w:tcPr>
          <w:p w14:paraId="149BF1DF" w14:textId="77777777" w:rsidR="005F1709" w:rsidRDefault="005F1709" w:rsidP="003F559E">
            <w:pPr>
              <w:pStyle w:val="blockindented"/>
            </w:pPr>
            <w:r>
              <w:t>MACRS (7, 3)</w:t>
            </w:r>
          </w:p>
          <w:p w14:paraId="3D9AC44A" w14:textId="77777777" w:rsidR="005F1709" w:rsidRDefault="005F1709" w:rsidP="003F559E">
            <w:pPr>
              <w:pStyle w:val="blockindented"/>
            </w:pPr>
          </w:p>
        </w:tc>
        <w:tc>
          <w:tcPr>
            <w:tcW w:w="5058" w:type="dxa"/>
          </w:tcPr>
          <w:p w14:paraId="75692146" w14:textId="77777777" w:rsidR="005F1709" w:rsidRDefault="005F1709" w:rsidP="003F559E">
            <w:pPr>
              <w:pStyle w:val="blockindented"/>
            </w:pPr>
            <w:r>
              <w:t xml:space="preserve">Depreciation in year 3 for a </w:t>
            </w:r>
            <w:proofErr w:type="gramStart"/>
            <w:r>
              <w:t>7 year</w:t>
            </w:r>
            <w:proofErr w:type="gramEnd"/>
            <w:r>
              <w:t xml:space="preserve"> property. Default half-year convention.</w:t>
            </w:r>
          </w:p>
        </w:tc>
      </w:tr>
      <w:tr w:rsidR="003F559E" w14:paraId="63AB05C2" w14:textId="77777777" w:rsidTr="003F559E">
        <w:tc>
          <w:tcPr>
            <w:tcW w:w="2970" w:type="dxa"/>
          </w:tcPr>
          <w:p w14:paraId="57DEF028" w14:textId="77777777" w:rsidR="005F1709" w:rsidRDefault="005F1709" w:rsidP="003F559E">
            <w:pPr>
              <w:pStyle w:val="blockindented"/>
            </w:pPr>
            <w:proofErr w:type="gramStart"/>
            <w:r>
              <w:t>MACRS(</w:t>
            </w:r>
            <w:proofErr w:type="gramEnd"/>
            <w:r>
              <w:t>7, 3</w:t>
            </w:r>
            <w:proofErr w:type="gramStart"/>
            <w:r>
              <w:t>, ,</w:t>
            </w:r>
            <w:proofErr w:type="gramEnd"/>
            <w:r>
              <w:t xml:space="preserve"> , 1)</w:t>
            </w:r>
          </w:p>
        </w:tc>
        <w:tc>
          <w:tcPr>
            <w:tcW w:w="5058" w:type="dxa"/>
          </w:tcPr>
          <w:p w14:paraId="1EB011E3" w14:textId="77777777" w:rsidR="005F1709" w:rsidRDefault="005F1709" w:rsidP="003F559E">
            <w:pPr>
              <w:pStyle w:val="blockindented"/>
            </w:pPr>
            <w:r>
              <w:t xml:space="preserve">Depreciation in year 3 for a </w:t>
            </w:r>
            <w:proofErr w:type="gramStart"/>
            <w:r>
              <w:t>7 year</w:t>
            </w:r>
            <w:proofErr w:type="gramEnd"/>
            <w:r>
              <w:t xml:space="preserve"> property. Default half-year convention. No acceleration (straight line)</w:t>
            </w:r>
          </w:p>
        </w:tc>
      </w:tr>
      <w:tr w:rsidR="003F559E" w14:paraId="6E94351E" w14:textId="77777777" w:rsidTr="003F559E">
        <w:tc>
          <w:tcPr>
            <w:tcW w:w="2970" w:type="dxa"/>
          </w:tcPr>
          <w:p w14:paraId="3308CA94" w14:textId="77777777" w:rsidR="005F1709" w:rsidRDefault="005F1709" w:rsidP="003F559E">
            <w:pPr>
              <w:pStyle w:val="blockindented"/>
            </w:pPr>
            <w:proofErr w:type="gramStart"/>
            <w:r>
              <w:t>MACRS(5,</w:t>
            </w:r>
            <w:proofErr w:type="gramEnd"/>
            <w:r>
              <w:t xml:space="preserve"> 4, 4, 1)</w:t>
            </w:r>
          </w:p>
        </w:tc>
        <w:tc>
          <w:tcPr>
            <w:tcW w:w="5058" w:type="dxa"/>
          </w:tcPr>
          <w:p w14:paraId="73506734" w14:textId="77777777" w:rsidR="005F1709" w:rsidRDefault="005F1709" w:rsidP="003F559E">
            <w:pPr>
              <w:pStyle w:val="blockindented"/>
            </w:pPr>
            <w:r>
              <w:t xml:space="preserve">Depreciation in year 4 for a 5-year property, 4-quarters convention with start in the middle of the 4th quarter. </w:t>
            </w:r>
          </w:p>
        </w:tc>
      </w:tr>
      <w:tr w:rsidR="003F559E" w14:paraId="30CCAB16" w14:textId="77777777" w:rsidTr="003F559E">
        <w:tc>
          <w:tcPr>
            <w:tcW w:w="2970" w:type="dxa"/>
          </w:tcPr>
          <w:p w14:paraId="46C6AA39" w14:textId="77777777" w:rsidR="005F1709" w:rsidRDefault="005F1709" w:rsidP="003F559E">
            <w:pPr>
              <w:pStyle w:val="blockindented"/>
            </w:pPr>
            <w:proofErr w:type="gramStart"/>
            <w:r>
              <w:t>MACRS(</w:t>
            </w:r>
            <w:proofErr w:type="gramEnd"/>
            <w:r>
              <w:t>10, 5, 0</w:t>
            </w:r>
            <w:proofErr w:type="gramStart"/>
            <w:r>
              <w:t>, ,</w:t>
            </w:r>
            <w:proofErr w:type="gramEnd"/>
            <w:r>
              <w:t xml:space="preserve"> 1)</w:t>
            </w:r>
          </w:p>
        </w:tc>
        <w:tc>
          <w:tcPr>
            <w:tcW w:w="5058" w:type="dxa"/>
          </w:tcPr>
          <w:p w14:paraId="4E7D1CF4" w14:textId="77777777" w:rsidR="005F1709" w:rsidRDefault="005F1709" w:rsidP="003F559E">
            <w:pPr>
              <w:pStyle w:val="blockindented"/>
            </w:pPr>
            <w:r>
              <w:t>Depreciation in year 5 for a 10-year property, no delay and pure straight line. (Will return 1/10).</w:t>
            </w:r>
          </w:p>
        </w:tc>
      </w:tr>
    </w:tbl>
    <w:p w14:paraId="36CC3ACB" w14:textId="77777777" w:rsidR="005F1709" w:rsidRDefault="005F1709" w:rsidP="00916C23">
      <w:pPr>
        <w:pStyle w:val="blockindented"/>
      </w:pPr>
    </w:p>
    <w:p w14:paraId="53F84261" w14:textId="77777777" w:rsidR="00916C23" w:rsidRDefault="00916C23" w:rsidP="00916C23">
      <w:r w:rsidRPr="00CD3C6D">
        <w:rPr>
          <w:b/>
        </w:rPr>
        <w:t>macrs_</w:t>
      </w:r>
      <w:proofErr w:type="gramStart"/>
      <w:r w:rsidRPr="00CD3C6D">
        <w:rPr>
          <w:b/>
        </w:rPr>
        <w:t>accum</w:t>
      </w:r>
      <w:r>
        <w:t xml:space="preserve">( </w:t>
      </w:r>
      <w:r w:rsidRPr="00CD3C6D">
        <w:rPr>
          <w:b/>
        </w:rPr>
        <w:t>life</w:t>
      </w:r>
      <w:proofErr w:type="gramEnd"/>
      <w:r>
        <w:t xml:space="preserve">, </w:t>
      </w:r>
      <w:r w:rsidRPr="00CD3C6D">
        <w:rPr>
          <w:b/>
        </w:rPr>
        <w:t>thruyear</w:t>
      </w:r>
      <w:r>
        <w:t>, [</w:t>
      </w:r>
      <w:r w:rsidRPr="004F3001">
        <w:rPr>
          <w:b/>
        </w:rPr>
        <w:t>conv</w:t>
      </w:r>
      <w:r>
        <w:t>], [</w:t>
      </w:r>
      <w:r w:rsidRPr="00CD3C6D">
        <w:rPr>
          <w:b/>
        </w:rPr>
        <w:t>startperiod</w:t>
      </w:r>
      <w:r>
        <w:t>], [</w:t>
      </w:r>
      <w:r w:rsidRPr="00CD3C6D">
        <w:rPr>
          <w:b/>
        </w:rPr>
        <w:t>forcefactor</w:t>
      </w:r>
      <w:r>
        <w:t>])</w:t>
      </w:r>
    </w:p>
    <w:p w14:paraId="76176BC3" w14:textId="77777777" w:rsidR="00A31E98" w:rsidRDefault="00A31E98" w:rsidP="00916C23">
      <w:pPr>
        <w:pStyle w:val="blockindented"/>
      </w:pPr>
      <w:r>
        <w:t xml:space="preserve">Excel user-function </w:t>
      </w:r>
      <w:r w:rsidR="00CD3C6D" w:rsidRPr="00CD3C6D">
        <w:rPr>
          <w:b/>
        </w:rPr>
        <w:t>macrs_accum</w:t>
      </w:r>
      <w:r>
        <w:t xml:space="preserve"> uses </w:t>
      </w:r>
      <w:r w:rsidR="00CD3C6D" w:rsidRPr="00CD3C6D">
        <w:rPr>
          <w:b/>
        </w:rPr>
        <w:t>macrs</w:t>
      </w:r>
      <w:r>
        <w:t xml:space="preserve"> to return the accumulated depreciation through the end of the given year. The arguments are</w:t>
      </w:r>
    </w:p>
    <w:p w14:paraId="7B8E0096" w14:textId="77777777" w:rsidR="00CD3C6D" w:rsidRDefault="00CD3C6D" w:rsidP="00916C23">
      <w:pPr>
        <w:pStyle w:val="blockindented"/>
      </w:pPr>
      <w:r w:rsidRPr="00CD3C6D">
        <w:rPr>
          <w:b/>
        </w:rPr>
        <w:t>thruyear</w:t>
      </w:r>
      <w:r>
        <w:t xml:space="preserve"> = the year through which depreciation should be accumulated</w:t>
      </w:r>
    </w:p>
    <w:p w14:paraId="11B9784D" w14:textId="77777777" w:rsidR="00CD3C6D" w:rsidRDefault="00CD3C6D" w:rsidP="00916C23">
      <w:pPr>
        <w:pStyle w:val="blockindented"/>
      </w:pPr>
      <w:r w:rsidRPr="00CD3C6D">
        <w:rPr>
          <w:b/>
        </w:rPr>
        <w:t>life</w:t>
      </w:r>
      <w:r>
        <w:t xml:space="preserve">, </w:t>
      </w:r>
      <w:r w:rsidR="00C97DA6" w:rsidRPr="00C97DA6">
        <w:rPr>
          <w:b/>
        </w:rPr>
        <w:t>conv</w:t>
      </w:r>
      <w:r>
        <w:t xml:space="preserve">, </w:t>
      </w:r>
      <w:proofErr w:type="gramStart"/>
      <w:r w:rsidRPr="00CD3C6D">
        <w:rPr>
          <w:b/>
        </w:rPr>
        <w:t>startperiod</w:t>
      </w:r>
      <w:proofErr w:type="gramEnd"/>
      <w:r>
        <w:t xml:space="preserve">, and </w:t>
      </w:r>
      <w:r w:rsidRPr="00CD3C6D">
        <w:rPr>
          <w:b/>
        </w:rPr>
        <w:t>forcefactor</w:t>
      </w:r>
      <w:r>
        <w:t xml:space="preserve"> are as in </w:t>
      </w:r>
      <w:r w:rsidRPr="00CD3C6D">
        <w:rPr>
          <w:b/>
        </w:rPr>
        <w:t>macrs</w:t>
      </w:r>
      <w:r>
        <w:t xml:space="preserve">. </w:t>
      </w:r>
    </w:p>
    <w:p w14:paraId="1348D48D" w14:textId="77777777" w:rsidR="00916C23" w:rsidRDefault="00CD3C6D" w:rsidP="00916C23">
      <w:r w:rsidRPr="00916C23">
        <w:rPr>
          <w:b/>
        </w:rPr>
        <w:t>macrs_</w:t>
      </w:r>
      <w:proofErr w:type="gramStart"/>
      <w:r w:rsidRPr="00916C23">
        <w:rPr>
          <w:b/>
        </w:rPr>
        <w:t>pv</w:t>
      </w:r>
      <w:r>
        <w:t>(</w:t>
      </w:r>
      <w:r w:rsidRPr="00916C23">
        <w:rPr>
          <w:b/>
        </w:rPr>
        <w:t>rate</w:t>
      </w:r>
      <w:r>
        <w:t xml:space="preserve">,  </w:t>
      </w:r>
      <w:r w:rsidRPr="00916C23">
        <w:rPr>
          <w:b/>
        </w:rPr>
        <w:t>life</w:t>
      </w:r>
      <w:proofErr w:type="gramEnd"/>
      <w:r>
        <w:t>, [</w:t>
      </w:r>
      <w:r w:rsidRPr="00916C23">
        <w:rPr>
          <w:b/>
        </w:rPr>
        <w:t>thruyear</w:t>
      </w:r>
      <w:r>
        <w:t>], [</w:t>
      </w:r>
      <w:r w:rsidR="00C97DA6" w:rsidRPr="00916C23">
        <w:rPr>
          <w:b/>
        </w:rPr>
        <w:t>conv</w:t>
      </w:r>
      <w:r>
        <w:t>], [</w:t>
      </w:r>
      <w:r w:rsidRPr="00916C23">
        <w:rPr>
          <w:b/>
        </w:rPr>
        <w:t>startperiod</w:t>
      </w:r>
      <w:r>
        <w:t>], [</w:t>
      </w:r>
      <w:r w:rsidRPr="00916C23">
        <w:rPr>
          <w:b/>
        </w:rPr>
        <w:t>forcefactor</w:t>
      </w:r>
      <w:r>
        <w:t>])</w:t>
      </w:r>
    </w:p>
    <w:p w14:paraId="6C0EF000" w14:textId="77777777" w:rsidR="00916C23" w:rsidRDefault="00916C23" w:rsidP="00916C23">
      <w:pPr>
        <w:pStyle w:val="blockindented"/>
      </w:pPr>
      <w:r>
        <w:t xml:space="preserve">Excel user-function </w:t>
      </w:r>
      <w:r w:rsidRPr="00CD3C6D">
        <w:rPr>
          <w:b/>
        </w:rPr>
        <w:t>macrs_pv</w:t>
      </w:r>
      <w:r>
        <w:t xml:space="preserve"> uses </w:t>
      </w:r>
      <w:r w:rsidRPr="00CD3C6D">
        <w:rPr>
          <w:b/>
        </w:rPr>
        <w:t>macrs</w:t>
      </w:r>
      <w:r>
        <w:t xml:space="preserve"> to return the present value of the depreciation stream associated with an asset with a cost basis of 1. The argument list is:</w:t>
      </w:r>
    </w:p>
    <w:p w14:paraId="141A147B" w14:textId="77777777" w:rsidR="00CD3C6D" w:rsidRDefault="00CD3C6D" w:rsidP="00CD3C6D"/>
    <w:p w14:paraId="47907C7D" w14:textId="77777777" w:rsidR="00CD3C6D" w:rsidRDefault="00CD3C6D" w:rsidP="00CD3C6D">
      <w:r>
        <w:tab/>
      </w:r>
      <w:r w:rsidRPr="00CD3C6D">
        <w:rPr>
          <w:b/>
        </w:rPr>
        <w:t>rate</w:t>
      </w:r>
      <w:r>
        <w:t xml:space="preserve"> = the discount rate expressed as a fraction</w:t>
      </w:r>
    </w:p>
    <w:p w14:paraId="0D049E08" w14:textId="77777777" w:rsidR="00CD3C6D" w:rsidRDefault="00CD3C6D" w:rsidP="00CD3C6D">
      <w:pPr>
        <w:ind w:left="720"/>
      </w:pPr>
      <w:r w:rsidRPr="00CD3C6D">
        <w:rPr>
          <w:b/>
        </w:rPr>
        <w:t>thruyear</w:t>
      </w:r>
      <w:r>
        <w:t xml:space="preserve"> = present value taken on depreciation through the end of this year. If omitted, all non-zero depreciation is included. Note that under MACRS, some depreciation spills into the year = life + 1. </w:t>
      </w:r>
    </w:p>
    <w:p w14:paraId="052F4B7D" w14:textId="77777777" w:rsidR="00CD3C6D" w:rsidRDefault="00CD3C6D" w:rsidP="00CD3C6D">
      <w:r>
        <w:tab/>
      </w:r>
      <w:r w:rsidRPr="00CD3C6D">
        <w:rPr>
          <w:b/>
        </w:rPr>
        <w:t>life</w:t>
      </w:r>
      <w:r>
        <w:t xml:space="preserve">, </w:t>
      </w:r>
      <w:r w:rsidR="00C97DA6" w:rsidRPr="00C97DA6">
        <w:rPr>
          <w:b/>
        </w:rPr>
        <w:t>conv</w:t>
      </w:r>
      <w:r>
        <w:t xml:space="preserve">, </w:t>
      </w:r>
      <w:proofErr w:type="gramStart"/>
      <w:r w:rsidRPr="00CD3C6D">
        <w:rPr>
          <w:b/>
        </w:rPr>
        <w:t>startperiod</w:t>
      </w:r>
      <w:proofErr w:type="gramEnd"/>
      <w:r>
        <w:t xml:space="preserve">, and </w:t>
      </w:r>
      <w:r w:rsidRPr="00CD3C6D">
        <w:rPr>
          <w:b/>
        </w:rPr>
        <w:t>forcefactor</w:t>
      </w:r>
      <w:r>
        <w:t xml:space="preserve"> are as in </w:t>
      </w:r>
      <w:r w:rsidRPr="00CD3C6D">
        <w:rPr>
          <w:b/>
        </w:rPr>
        <w:t>macrs</w:t>
      </w:r>
      <w:r>
        <w:t xml:space="preserve">. </w:t>
      </w:r>
    </w:p>
    <w:p w14:paraId="026F9ED4" w14:textId="77777777" w:rsidR="008D36FB" w:rsidRDefault="008D36FB" w:rsidP="008D36FB">
      <w:pPr>
        <w:ind w:left="720" w:hanging="360"/>
      </w:pPr>
    </w:p>
    <w:p w14:paraId="0F2CE922" w14:textId="77777777" w:rsidR="00916C23" w:rsidRDefault="00916C23" w:rsidP="00916C23">
      <w:r w:rsidRPr="00916C23">
        <w:rPr>
          <w:b/>
        </w:rPr>
        <w:t>macrs_</w:t>
      </w:r>
      <w:proofErr w:type="gramStart"/>
      <w:r>
        <w:rPr>
          <w:b/>
        </w:rPr>
        <w:t>npl</w:t>
      </w:r>
      <w:r>
        <w:t>(</w:t>
      </w:r>
      <w:proofErr w:type="gramEnd"/>
      <w:r w:rsidRPr="00916C23">
        <w:rPr>
          <w:b/>
        </w:rPr>
        <w:t>rate</w:t>
      </w:r>
      <w:r>
        <w:t xml:space="preserve">, </w:t>
      </w:r>
      <w:r w:rsidRPr="00916C23">
        <w:rPr>
          <w:b/>
        </w:rPr>
        <w:t>tax</w:t>
      </w:r>
      <w:r>
        <w:t xml:space="preserve">, </w:t>
      </w:r>
      <w:r w:rsidRPr="00916C23">
        <w:rPr>
          <w:b/>
        </w:rPr>
        <w:t>life</w:t>
      </w:r>
      <w:r>
        <w:t xml:space="preserve">, </w:t>
      </w:r>
      <w:r w:rsidRPr="00916C23">
        <w:rPr>
          <w:b/>
        </w:rPr>
        <w:t>salvage</w:t>
      </w:r>
      <w:r>
        <w:t xml:space="preserve">, </w:t>
      </w:r>
      <w:r w:rsidRPr="00916C23">
        <w:rPr>
          <w:b/>
        </w:rPr>
        <w:t>endyear</w:t>
      </w:r>
      <w:r>
        <w:t>, [</w:t>
      </w:r>
      <w:r w:rsidRPr="00916C23">
        <w:rPr>
          <w:b/>
        </w:rPr>
        <w:t>conv</w:t>
      </w:r>
      <w:r>
        <w:t>], [</w:t>
      </w:r>
      <w:r w:rsidRPr="00916C23">
        <w:rPr>
          <w:b/>
        </w:rPr>
        <w:t>startperiod</w:t>
      </w:r>
      <w:r>
        <w:t>], [</w:t>
      </w:r>
      <w:r w:rsidRPr="00916C23">
        <w:rPr>
          <w:b/>
        </w:rPr>
        <w:t>forcefactor</w:t>
      </w:r>
      <w:r>
        <w:t>])</w:t>
      </w:r>
    </w:p>
    <w:p w14:paraId="48F88715" w14:textId="77777777" w:rsidR="00916C23" w:rsidRDefault="00916C23" w:rsidP="00916C23">
      <w:pPr>
        <w:pStyle w:val="blockindented"/>
      </w:pPr>
      <w:r>
        <w:t xml:space="preserve">Excel function </w:t>
      </w:r>
      <w:r w:rsidRPr="0016730C">
        <w:rPr>
          <w:b/>
        </w:rPr>
        <w:t>macrs_npl</w:t>
      </w:r>
      <w:r>
        <w:t xml:space="preserve"> returns the no-profit annual lease payment for a $1 investment. The arguments are:</w:t>
      </w:r>
    </w:p>
    <w:p w14:paraId="01631749" w14:textId="77777777" w:rsidR="00916C23" w:rsidRDefault="00916C23" w:rsidP="00916C23">
      <w:pPr>
        <w:pStyle w:val="blockindented"/>
      </w:pPr>
      <w:r w:rsidRPr="00CD3C6D">
        <w:rPr>
          <w:b/>
        </w:rPr>
        <w:t>rate</w:t>
      </w:r>
      <w:r>
        <w:t xml:space="preserve"> = the discount rate expressed as a fraction</w:t>
      </w:r>
    </w:p>
    <w:p w14:paraId="5180F926" w14:textId="77777777" w:rsidR="00916C23" w:rsidRDefault="00916C23" w:rsidP="00916C23">
      <w:pPr>
        <w:pStyle w:val="blockindented"/>
      </w:pPr>
      <w:r w:rsidRPr="00916C23">
        <w:rPr>
          <w:b/>
        </w:rPr>
        <w:t>tax</w:t>
      </w:r>
      <w:r>
        <w:t xml:space="preserve"> = the tax rate expressed as a fraction</w:t>
      </w:r>
    </w:p>
    <w:p w14:paraId="5BE31865" w14:textId="77777777" w:rsidR="00916C23" w:rsidRDefault="00916C23" w:rsidP="00916C23">
      <w:pPr>
        <w:pStyle w:val="blockindented"/>
      </w:pPr>
      <w:r w:rsidRPr="00916C23">
        <w:rPr>
          <w:b/>
        </w:rPr>
        <w:t>salvage</w:t>
      </w:r>
      <w:r>
        <w:t xml:space="preserve"> = the sale price of the asset at the end of </w:t>
      </w:r>
      <w:proofErr w:type="gramStart"/>
      <w:r>
        <w:t>endyear</w:t>
      </w:r>
      <w:proofErr w:type="gramEnd"/>
      <w:r>
        <w:t xml:space="preserve"> expressed as a fraction of the initial price.</w:t>
      </w:r>
    </w:p>
    <w:p w14:paraId="322BCE15" w14:textId="77777777" w:rsidR="00916C23" w:rsidRDefault="00916C23" w:rsidP="00916C23">
      <w:pPr>
        <w:ind w:left="720"/>
      </w:pPr>
      <w:r>
        <w:rPr>
          <w:b/>
        </w:rPr>
        <w:t>endyear</w:t>
      </w:r>
      <w:r>
        <w:t xml:space="preserve"> </w:t>
      </w:r>
      <w:proofErr w:type="gramStart"/>
      <w:r>
        <w:t>=  the</w:t>
      </w:r>
      <w:proofErr w:type="gramEnd"/>
      <w:r>
        <w:t xml:space="preserve"> year in which the project </w:t>
      </w:r>
      <w:proofErr w:type="gramStart"/>
      <w:r>
        <w:t>terminates</w:t>
      </w:r>
      <w:proofErr w:type="gramEnd"/>
      <w:r>
        <w:t xml:space="preserve"> and the remaining assets are sold for salvage*price. </w:t>
      </w:r>
      <w:r w:rsidRPr="00916C23">
        <w:rPr>
          <w:b/>
        </w:rPr>
        <w:t>endyear</w:t>
      </w:r>
      <w:r>
        <w:t xml:space="preserve"> may be shorter or larger than </w:t>
      </w:r>
      <w:r w:rsidRPr="00916C23">
        <w:rPr>
          <w:b/>
        </w:rPr>
        <w:t>life</w:t>
      </w:r>
      <w:r>
        <w:t xml:space="preserve">.  </w:t>
      </w:r>
    </w:p>
    <w:p w14:paraId="558DCAFA" w14:textId="77777777" w:rsidR="00916C23" w:rsidRDefault="00916C23" w:rsidP="00916C23">
      <w:r>
        <w:tab/>
      </w:r>
      <w:r w:rsidRPr="00C97DA6">
        <w:rPr>
          <w:b/>
        </w:rPr>
        <w:t>conv</w:t>
      </w:r>
      <w:r>
        <w:t xml:space="preserve">, </w:t>
      </w:r>
      <w:r w:rsidRPr="00CD3C6D">
        <w:rPr>
          <w:b/>
        </w:rPr>
        <w:t>startperiod</w:t>
      </w:r>
      <w:r>
        <w:t xml:space="preserve">, and </w:t>
      </w:r>
      <w:r w:rsidRPr="00CD3C6D">
        <w:rPr>
          <w:b/>
        </w:rPr>
        <w:t>forcefactor</w:t>
      </w:r>
      <w:r>
        <w:t xml:space="preserve"> are as in </w:t>
      </w:r>
      <w:r w:rsidRPr="00CD3C6D">
        <w:rPr>
          <w:b/>
        </w:rPr>
        <w:t>macrs</w:t>
      </w:r>
      <w:r>
        <w:t xml:space="preserve">. </w:t>
      </w:r>
    </w:p>
    <w:p w14:paraId="3BB0C05F" w14:textId="77777777" w:rsidR="00916C23" w:rsidRDefault="00916C23" w:rsidP="00916C23">
      <w:pPr>
        <w:pStyle w:val="blockindented"/>
      </w:pPr>
    </w:p>
    <w:p w14:paraId="06D0D767" w14:textId="77777777" w:rsidR="00916C23" w:rsidRPr="00916C23" w:rsidRDefault="00916C23" w:rsidP="00916C23"/>
    <w:p w14:paraId="14E44A8F" w14:textId="77777777" w:rsidR="00916C23" w:rsidRDefault="00916C23" w:rsidP="008D36FB">
      <w:pPr>
        <w:pStyle w:val="Heading2"/>
      </w:pPr>
    </w:p>
    <w:p w14:paraId="150D1603" w14:textId="77777777" w:rsidR="008D36FB" w:rsidRDefault="008D36FB" w:rsidP="008D36FB">
      <w:pPr>
        <w:pStyle w:val="Heading2"/>
      </w:pPr>
      <w:r>
        <w:t>A Simple Example</w:t>
      </w:r>
    </w:p>
    <w:p w14:paraId="32121E33" w14:textId="77777777" w:rsidR="008D36FB" w:rsidRDefault="008D36FB" w:rsidP="008D36FB">
      <w:r>
        <w:t>A company can invest in either of two different machines labeled A and B. Machine A qualifies as a 5-</w:t>
      </w:r>
      <w:r w:rsidR="004F3001">
        <w:t>y</w:t>
      </w:r>
      <w:r>
        <w:t>ear MACRS asset whereas machine B is a 7-</w:t>
      </w:r>
      <w:r w:rsidR="004F3001">
        <w:t>y</w:t>
      </w:r>
      <w:r>
        <w:t xml:space="preserve">ear asset. The cost of capital is 10% and the tax rate is 38%. Their machines’ costs and salvage values are shown </w:t>
      </w:r>
      <w:r w:rsidR="00DC2E2A">
        <w:t xml:space="preserve">in </w:t>
      </w:r>
      <w:r w:rsidR="006F1FA3">
        <w:fldChar w:fldCharType="begin"/>
      </w:r>
      <w:r w:rsidR="00DC2E2A">
        <w:instrText xml:space="preserve"> REF _Ref257985475 \h </w:instrText>
      </w:r>
      <w:r w:rsidR="006F1FA3">
        <w:fldChar w:fldCharType="separate"/>
      </w:r>
      <w:r w:rsidR="00DA267C">
        <w:t xml:space="preserve">Exhibit </w:t>
      </w:r>
      <w:r w:rsidR="00DA267C">
        <w:rPr>
          <w:noProof/>
        </w:rPr>
        <w:t>7</w:t>
      </w:r>
      <w:r w:rsidR="006F1FA3">
        <w:fldChar w:fldCharType="end"/>
      </w:r>
      <w:r w:rsidR="00DC2E2A">
        <w:t xml:space="preserve"> </w:t>
      </w:r>
      <w:r>
        <w:t xml:space="preserve"> (operating expenses are identical and can, therefore, be ignored in the comparison):</w:t>
      </w:r>
    </w:p>
    <w:p w14:paraId="7C1D4B56" w14:textId="77777777" w:rsidR="008D36FB" w:rsidRPr="00DC52D5" w:rsidRDefault="00000000" w:rsidP="008D36FB">
      <w:r>
        <w:rPr>
          <w:noProof/>
          <w:lang w:eastAsia="zh-TW"/>
        </w:rPr>
        <w:pict w14:anchorId="7D3EC8CD">
          <v:shape id="_x0000_s2090" type="#_x0000_t202" style="position:absolute;left:0;text-align:left;margin-left:293.25pt;margin-top:3.1pt;width:137.25pt;height:131.35pt;z-index:-1;mso-wrap-distance-top:7.2pt;mso-wrap-distance-bottom:7.2pt;mso-width-relative:margin;mso-height-relative:margin" wrapcoords="-89 0 -89 21477 21600 21477 21600 0 -89 0" o:allowoverlap="f" stroked="f">
            <v:textbox style="mso-next-textbox:#_x0000_s2090">
              <w:txbxContent>
                <w:p w14:paraId="38742EF8" w14:textId="77777777" w:rsidR="005F1709" w:rsidRPr="00DC2E2A" w:rsidRDefault="005F1709" w:rsidP="00DC2E2A">
                  <w:pPr>
                    <w:pStyle w:val="Caption"/>
                    <w:jc w:val="left"/>
                  </w:pPr>
                  <w:bookmarkStart w:id="6" w:name="_Ref257985475"/>
                  <w:r>
                    <w:t xml:space="preserve">Exhibit </w:t>
                  </w:r>
                  <w:fldSimple w:instr=" SEQ Exhibit \* ARABIC ">
                    <w:r>
                      <w:rPr>
                        <w:noProof/>
                      </w:rPr>
                      <w:t>8</w:t>
                    </w:r>
                  </w:fldSimple>
                  <w:bookmarkEnd w:id="6"/>
                </w:p>
                <w:tbl>
                  <w:tblPr>
                    <w:tblW w:w="0" w:type="auto"/>
                    <w:jc w:val="center"/>
                    <w:tblCellMar>
                      <w:left w:w="0" w:type="dxa"/>
                      <w:right w:w="0" w:type="dxa"/>
                    </w:tblCellMar>
                    <w:tblLook w:val="04A0" w:firstRow="1" w:lastRow="0" w:firstColumn="1" w:lastColumn="0" w:noHBand="0" w:noVBand="1"/>
                  </w:tblPr>
                  <w:tblGrid>
                    <w:gridCol w:w="1170"/>
                    <w:gridCol w:w="580"/>
                    <w:gridCol w:w="590"/>
                  </w:tblGrid>
                  <w:tr w:rsidR="005F1709" w:rsidRPr="00DC2E2A" w14:paraId="5DBB1466" w14:textId="77777777" w:rsidTr="00DC2E2A">
                    <w:trPr>
                      <w:trHeight w:val="615"/>
                      <w:jc w:val="center"/>
                    </w:trPr>
                    <w:tc>
                      <w:tcPr>
                        <w:tcW w:w="1170" w:type="dxa"/>
                        <w:tcMar>
                          <w:top w:w="15" w:type="dxa"/>
                          <w:left w:w="15" w:type="dxa"/>
                          <w:bottom w:w="0" w:type="dxa"/>
                          <w:right w:w="15" w:type="dxa"/>
                        </w:tcMar>
                        <w:hideMark/>
                      </w:tcPr>
                      <w:p w14:paraId="5C3AA7E0" w14:textId="77777777" w:rsidR="005F1709" w:rsidRPr="00DC2E2A" w:rsidRDefault="005F1709" w:rsidP="00BD190A">
                        <w:pPr>
                          <w:rPr>
                            <w:rFonts w:ascii="Calibri" w:hAnsi="Calibri" w:cs="Calibri"/>
                            <w:color w:val="000000"/>
                            <w:sz w:val="20"/>
                          </w:rPr>
                        </w:pPr>
                        <w:r w:rsidRPr="00DC2E2A">
                          <w:rPr>
                            <w:rFonts w:ascii="Calibri" w:hAnsi="Calibri" w:cs="Calibri"/>
                            <w:color w:val="000000"/>
                            <w:sz w:val="20"/>
                          </w:rPr>
                          <w:t> Machine</w:t>
                        </w:r>
                      </w:p>
                    </w:tc>
                    <w:tc>
                      <w:tcPr>
                        <w:tcW w:w="580" w:type="dxa"/>
                        <w:tcMar>
                          <w:top w:w="15" w:type="dxa"/>
                          <w:left w:w="15" w:type="dxa"/>
                          <w:bottom w:w="0" w:type="dxa"/>
                          <w:right w:w="15" w:type="dxa"/>
                        </w:tcMar>
                        <w:hideMark/>
                      </w:tcPr>
                      <w:p w14:paraId="514716AA" w14:textId="77777777" w:rsidR="005F1709" w:rsidRPr="00DC2E2A" w:rsidRDefault="005F1709" w:rsidP="00DC2E2A">
                        <w:pPr>
                          <w:jc w:val="center"/>
                          <w:rPr>
                            <w:rFonts w:ascii="Calibri" w:hAnsi="Calibri" w:cs="Calibri"/>
                            <w:color w:val="000000"/>
                            <w:sz w:val="20"/>
                          </w:rPr>
                        </w:pPr>
                        <w:r w:rsidRPr="00DC2E2A">
                          <w:rPr>
                            <w:rFonts w:ascii="Calibri" w:hAnsi="Calibri" w:cs="Calibri"/>
                            <w:color w:val="000000"/>
                            <w:sz w:val="20"/>
                          </w:rPr>
                          <w:t>A</w:t>
                        </w:r>
                      </w:p>
                    </w:tc>
                    <w:tc>
                      <w:tcPr>
                        <w:tcW w:w="590" w:type="dxa"/>
                        <w:tcMar>
                          <w:top w:w="15" w:type="dxa"/>
                          <w:left w:w="15" w:type="dxa"/>
                          <w:bottom w:w="0" w:type="dxa"/>
                          <w:right w:w="15" w:type="dxa"/>
                        </w:tcMar>
                        <w:hideMark/>
                      </w:tcPr>
                      <w:p w14:paraId="2F3D4CE1" w14:textId="77777777" w:rsidR="005F1709" w:rsidRPr="00DC2E2A" w:rsidRDefault="005F1709" w:rsidP="00DC2E2A">
                        <w:pPr>
                          <w:jc w:val="center"/>
                          <w:rPr>
                            <w:rFonts w:ascii="Calibri" w:hAnsi="Calibri" w:cs="Calibri"/>
                            <w:color w:val="000000"/>
                            <w:sz w:val="20"/>
                          </w:rPr>
                        </w:pPr>
                        <w:r w:rsidRPr="00DC2E2A">
                          <w:rPr>
                            <w:rFonts w:ascii="Calibri" w:hAnsi="Calibri" w:cs="Calibri"/>
                            <w:color w:val="000000"/>
                            <w:sz w:val="20"/>
                          </w:rPr>
                          <w:t>B</w:t>
                        </w:r>
                      </w:p>
                    </w:tc>
                  </w:tr>
                  <w:tr w:rsidR="005F1709" w:rsidRPr="00DC2E2A" w14:paraId="1EE3446B" w14:textId="77777777" w:rsidTr="00DC2E2A">
                    <w:trPr>
                      <w:trHeight w:val="457"/>
                      <w:jc w:val="center"/>
                    </w:trPr>
                    <w:tc>
                      <w:tcPr>
                        <w:tcW w:w="1170" w:type="dxa"/>
                        <w:tcMar>
                          <w:top w:w="15" w:type="dxa"/>
                          <w:left w:w="15" w:type="dxa"/>
                          <w:bottom w:w="0" w:type="dxa"/>
                          <w:right w:w="15" w:type="dxa"/>
                        </w:tcMar>
                        <w:hideMark/>
                      </w:tcPr>
                      <w:p w14:paraId="6D0A83E3" w14:textId="77777777" w:rsidR="005F1709" w:rsidRPr="00DC2E2A" w:rsidRDefault="005F1709" w:rsidP="00BD190A">
                        <w:pPr>
                          <w:rPr>
                            <w:rFonts w:ascii="Calibri" w:hAnsi="Calibri" w:cs="Calibri"/>
                            <w:color w:val="000000"/>
                            <w:sz w:val="20"/>
                          </w:rPr>
                        </w:pPr>
                        <w:r w:rsidRPr="00DC2E2A">
                          <w:rPr>
                            <w:rFonts w:ascii="Calibri" w:hAnsi="Calibri" w:cs="Calibri"/>
                            <w:color w:val="000000"/>
                            <w:sz w:val="20"/>
                          </w:rPr>
                          <w:t>Cost</w:t>
                        </w:r>
                      </w:p>
                    </w:tc>
                    <w:tc>
                      <w:tcPr>
                        <w:tcW w:w="580" w:type="dxa"/>
                        <w:tcMar>
                          <w:top w:w="15" w:type="dxa"/>
                          <w:left w:w="15" w:type="dxa"/>
                          <w:bottom w:w="0" w:type="dxa"/>
                          <w:right w:w="15" w:type="dxa"/>
                        </w:tcMar>
                        <w:hideMark/>
                      </w:tcPr>
                      <w:p w14:paraId="47729ED0" w14:textId="77777777" w:rsidR="005F1709" w:rsidRPr="00DC2E2A" w:rsidRDefault="005F1709" w:rsidP="00DC2E2A">
                        <w:pPr>
                          <w:jc w:val="center"/>
                          <w:rPr>
                            <w:rFonts w:ascii="Calibri" w:hAnsi="Calibri" w:cs="Calibri"/>
                            <w:color w:val="000000"/>
                            <w:sz w:val="20"/>
                          </w:rPr>
                        </w:pPr>
                        <w:r w:rsidRPr="00DC2E2A">
                          <w:rPr>
                            <w:rFonts w:ascii="Calibri" w:hAnsi="Calibri" w:cs="Calibri"/>
                            <w:color w:val="000000"/>
                            <w:sz w:val="20"/>
                          </w:rPr>
                          <w:t>1000</w:t>
                        </w:r>
                      </w:p>
                    </w:tc>
                    <w:tc>
                      <w:tcPr>
                        <w:tcW w:w="590" w:type="dxa"/>
                        <w:tcMar>
                          <w:top w:w="15" w:type="dxa"/>
                          <w:left w:w="15" w:type="dxa"/>
                          <w:bottom w:w="0" w:type="dxa"/>
                          <w:right w:w="15" w:type="dxa"/>
                        </w:tcMar>
                        <w:hideMark/>
                      </w:tcPr>
                      <w:p w14:paraId="13437B70" w14:textId="77777777" w:rsidR="005F1709" w:rsidRPr="00DC2E2A" w:rsidRDefault="005F1709" w:rsidP="00DC2E2A">
                        <w:pPr>
                          <w:jc w:val="center"/>
                          <w:rPr>
                            <w:rFonts w:ascii="Calibri" w:hAnsi="Calibri" w:cs="Calibri"/>
                            <w:color w:val="000000"/>
                            <w:sz w:val="20"/>
                          </w:rPr>
                        </w:pPr>
                        <w:r w:rsidRPr="00DC2E2A">
                          <w:rPr>
                            <w:rFonts w:ascii="Calibri" w:hAnsi="Calibri" w:cs="Calibri"/>
                            <w:color w:val="000000"/>
                            <w:sz w:val="20"/>
                          </w:rPr>
                          <w:t>1200</w:t>
                        </w:r>
                      </w:p>
                    </w:tc>
                  </w:tr>
                  <w:tr w:rsidR="005F1709" w:rsidRPr="00DC2E2A" w14:paraId="6223F569" w14:textId="77777777" w:rsidTr="00DC2E2A">
                    <w:trPr>
                      <w:trHeight w:val="340"/>
                      <w:jc w:val="center"/>
                    </w:trPr>
                    <w:tc>
                      <w:tcPr>
                        <w:tcW w:w="1170" w:type="dxa"/>
                        <w:tcMar>
                          <w:top w:w="15" w:type="dxa"/>
                          <w:left w:w="15" w:type="dxa"/>
                          <w:bottom w:w="0" w:type="dxa"/>
                          <w:right w:w="15" w:type="dxa"/>
                        </w:tcMar>
                        <w:hideMark/>
                      </w:tcPr>
                      <w:p w14:paraId="0FC4705A" w14:textId="77777777" w:rsidR="005F1709" w:rsidRPr="00DC2E2A" w:rsidRDefault="005F1709" w:rsidP="00BD190A">
                        <w:pPr>
                          <w:rPr>
                            <w:rFonts w:ascii="Calibri" w:hAnsi="Calibri" w:cs="Calibri"/>
                            <w:color w:val="000000"/>
                            <w:sz w:val="20"/>
                          </w:rPr>
                        </w:pPr>
                        <w:r w:rsidRPr="00DC2E2A">
                          <w:rPr>
                            <w:rFonts w:ascii="Calibri" w:hAnsi="Calibri" w:cs="Calibri"/>
                            <w:color w:val="000000"/>
                            <w:sz w:val="20"/>
                          </w:rPr>
                          <w:t>Life in years</w:t>
                        </w:r>
                      </w:p>
                    </w:tc>
                    <w:tc>
                      <w:tcPr>
                        <w:tcW w:w="580" w:type="dxa"/>
                        <w:tcMar>
                          <w:top w:w="15" w:type="dxa"/>
                          <w:left w:w="15" w:type="dxa"/>
                          <w:bottom w:w="0" w:type="dxa"/>
                          <w:right w:w="15" w:type="dxa"/>
                        </w:tcMar>
                        <w:hideMark/>
                      </w:tcPr>
                      <w:p w14:paraId="7E16D800" w14:textId="77777777" w:rsidR="005F1709" w:rsidRPr="00DC2E2A" w:rsidRDefault="005F1709" w:rsidP="00DC2E2A">
                        <w:pPr>
                          <w:jc w:val="center"/>
                          <w:rPr>
                            <w:rFonts w:ascii="Calibri" w:hAnsi="Calibri" w:cs="Calibri"/>
                            <w:color w:val="000000"/>
                            <w:sz w:val="20"/>
                          </w:rPr>
                        </w:pPr>
                        <w:r w:rsidRPr="00DC2E2A">
                          <w:rPr>
                            <w:rFonts w:ascii="Calibri" w:hAnsi="Calibri" w:cs="Calibri"/>
                            <w:color w:val="000000"/>
                            <w:sz w:val="20"/>
                          </w:rPr>
                          <w:t>5</w:t>
                        </w:r>
                      </w:p>
                    </w:tc>
                    <w:tc>
                      <w:tcPr>
                        <w:tcW w:w="590" w:type="dxa"/>
                        <w:tcMar>
                          <w:top w:w="15" w:type="dxa"/>
                          <w:left w:w="15" w:type="dxa"/>
                          <w:bottom w:w="0" w:type="dxa"/>
                          <w:right w:w="15" w:type="dxa"/>
                        </w:tcMar>
                        <w:hideMark/>
                      </w:tcPr>
                      <w:p w14:paraId="4D6977C1" w14:textId="77777777" w:rsidR="005F1709" w:rsidRPr="00DC2E2A" w:rsidRDefault="005F1709" w:rsidP="00DC2E2A">
                        <w:pPr>
                          <w:jc w:val="center"/>
                          <w:rPr>
                            <w:rFonts w:ascii="Calibri" w:hAnsi="Calibri" w:cs="Calibri"/>
                            <w:color w:val="000000"/>
                            <w:sz w:val="20"/>
                          </w:rPr>
                        </w:pPr>
                        <w:r w:rsidRPr="00DC2E2A">
                          <w:rPr>
                            <w:rFonts w:ascii="Calibri" w:hAnsi="Calibri" w:cs="Calibri"/>
                            <w:color w:val="000000"/>
                            <w:sz w:val="20"/>
                          </w:rPr>
                          <w:t>7</w:t>
                        </w:r>
                      </w:p>
                    </w:tc>
                  </w:tr>
                  <w:tr w:rsidR="005F1709" w:rsidRPr="00DC2E2A" w14:paraId="37D9B314" w14:textId="77777777" w:rsidTr="00DC2E2A">
                    <w:trPr>
                      <w:trHeight w:val="448"/>
                      <w:jc w:val="center"/>
                    </w:trPr>
                    <w:tc>
                      <w:tcPr>
                        <w:tcW w:w="1170" w:type="dxa"/>
                        <w:tcMar>
                          <w:top w:w="15" w:type="dxa"/>
                          <w:left w:w="15" w:type="dxa"/>
                          <w:bottom w:w="0" w:type="dxa"/>
                          <w:right w:w="15" w:type="dxa"/>
                        </w:tcMar>
                        <w:hideMark/>
                      </w:tcPr>
                      <w:p w14:paraId="188AB63B" w14:textId="77777777" w:rsidR="005F1709" w:rsidRPr="00DC2E2A" w:rsidRDefault="005F1709" w:rsidP="00BD190A">
                        <w:pPr>
                          <w:rPr>
                            <w:rFonts w:ascii="Calibri" w:hAnsi="Calibri" w:cs="Calibri"/>
                            <w:color w:val="000000"/>
                            <w:sz w:val="20"/>
                          </w:rPr>
                        </w:pPr>
                        <w:r w:rsidRPr="00DC2E2A">
                          <w:rPr>
                            <w:rFonts w:ascii="Calibri" w:hAnsi="Calibri" w:cs="Calibri"/>
                            <w:color w:val="000000"/>
                            <w:sz w:val="20"/>
                          </w:rPr>
                          <w:t>Salvage Value</w:t>
                        </w:r>
                      </w:p>
                    </w:tc>
                    <w:tc>
                      <w:tcPr>
                        <w:tcW w:w="580" w:type="dxa"/>
                        <w:tcMar>
                          <w:top w:w="15" w:type="dxa"/>
                          <w:left w:w="15" w:type="dxa"/>
                          <w:bottom w:w="0" w:type="dxa"/>
                          <w:right w:w="15" w:type="dxa"/>
                        </w:tcMar>
                        <w:hideMark/>
                      </w:tcPr>
                      <w:p w14:paraId="1C7DBD4B" w14:textId="77777777" w:rsidR="005F1709" w:rsidRPr="00DC2E2A" w:rsidRDefault="005F1709" w:rsidP="00DC2E2A">
                        <w:pPr>
                          <w:jc w:val="center"/>
                          <w:rPr>
                            <w:rFonts w:ascii="Calibri" w:hAnsi="Calibri" w:cs="Calibri"/>
                            <w:color w:val="000000"/>
                            <w:sz w:val="20"/>
                          </w:rPr>
                        </w:pPr>
                        <w:r w:rsidRPr="00DC2E2A">
                          <w:rPr>
                            <w:rFonts w:ascii="Calibri" w:hAnsi="Calibri" w:cs="Calibri"/>
                            <w:color w:val="000000"/>
                            <w:sz w:val="20"/>
                          </w:rPr>
                          <w:t>100</w:t>
                        </w:r>
                      </w:p>
                    </w:tc>
                    <w:tc>
                      <w:tcPr>
                        <w:tcW w:w="590" w:type="dxa"/>
                        <w:tcMar>
                          <w:top w:w="15" w:type="dxa"/>
                          <w:left w:w="15" w:type="dxa"/>
                          <w:bottom w:w="0" w:type="dxa"/>
                          <w:right w:w="15" w:type="dxa"/>
                        </w:tcMar>
                        <w:hideMark/>
                      </w:tcPr>
                      <w:p w14:paraId="1ED3A124" w14:textId="77777777" w:rsidR="005F1709" w:rsidRPr="00DC2E2A" w:rsidRDefault="005F1709" w:rsidP="00DC2E2A">
                        <w:pPr>
                          <w:jc w:val="center"/>
                          <w:rPr>
                            <w:rFonts w:ascii="Calibri" w:hAnsi="Calibri" w:cs="Calibri"/>
                            <w:color w:val="000000"/>
                            <w:sz w:val="20"/>
                          </w:rPr>
                        </w:pPr>
                        <w:r w:rsidRPr="00DC2E2A">
                          <w:rPr>
                            <w:rFonts w:ascii="Calibri" w:hAnsi="Calibri" w:cs="Calibri"/>
                            <w:color w:val="000000"/>
                            <w:sz w:val="20"/>
                          </w:rPr>
                          <w:t>0</w:t>
                        </w:r>
                      </w:p>
                    </w:tc>
                  </w:tr>
                </w:tbl>
                <w:p w14:paraId="35B7C74E" w14:textId="77777777" w:rsidR="005F1709" w:rsidRPr="00DC2E2A" w:rsidRDefault="005F1709" w:rsidP="00DC2E2A"/>
                <w:p w14:paraId="6665C849" w14:textId="77777777" w:rsidR="005F1709" w:rsidRDefault="005F1709"/>
              </w:txbxContent>
            </v:textbox>
            <w10:wrap type="tight" side="left"/>
          </v:shape>
        </w:pict>
      </w:r>
      <w:r w:rsidR="006F1FA3">
        <w:fldChar w:fldCharType="begin"/>
      </w:r>
      <w:r w:rsidR="00DC2E2A">
        <w:instrText xml:space="preserve"> REF _Ref257985310 \h </w:instrText>
      </w:r>
      <w:r w:rsidR="006F1FA3">
        <w:fldChar w:fldCharType="separate"/>
      </w:r>
      <w:r w:rsidR="00DA267C">
        <w:t xml:space="preserve">Exhibit </w:t>
      </w:r>
      <w:r w:rsidR="00DA267C">
        <w:rPr>
          <w:noProof/>
        </w:rPr>
        <w:t>8</w:t>
      </w:r>
      <w:r w:rsidR="006F1FA3">
        <w:fldChar w:fldCharType="end"/>
      </w:r>
      <w:r w:rsidR="00DC2E2A">
        <w:t xml:space="preserve"> </w:t>
      </w:r>
      <w:r w:rsidR="008D36FB" w:rsidRPr="00DC52D5">
        <w:t xml:space="preserve">shows the analysis of these investments. The </w:t>
      </w:r>
      <w:r w:rsidR="00CD3C6D">
        <w:t>macrs_pv</w:t>
      </w:r>
      <w:r w:rsidR="008D36FB" w:rsidRPr="00DC52D5">
        <w:t xml:space="preserve"> function is used to compute the present value of the depreciation stream. Multiplying by the tax rate gives the </w:t>
      </w:r>
      <w:r w:rsidR="008D36FB">
        <w:t>present value</w:t>
      </w:r>
      <w:r w:rsidR="008D36FB" w:rsidRPr="00DC52D5">
        <w:t xml:space="preserve"> of the depreciation tax shield (the reduction in taxes). The MACRS rules leave out salvage values, so these rules leave a zero balance on the books</w:t>
      </w:r>
      <w:r w:rsidR="008D36FB">
        <w:t xml:space="preserve"> at the end of its depreciation life</w:t>
      </w:r>
      <w:r w:rsidR="008D36FB" w:rsidRPr="00DC52D5">
        <w:t xml:space="preserve">. If the asset is then sold for a larger amount, there is a taxable gain on the sale (corporations do not get special capital gains treatments). The net (after-tax) cash cost associated with each machine </w:t>
      </w:r>
      <w:r w:rsidR="008D36FB">
        <w:t>is</w:t>
      </w:r>
      <w:r w:rsidR="008D36FB" w:rsidRPr="00DC52D5">
        <w:t xml:space="preserve"> the initial outlay less the value of the depreciation tax shield less the after-tax gain on sale. </w:t>
      </w:r>
    </w:p>
    <w:p w14:paraId="0AE02705" w14:textId="77777777" w:rsidR="008D36FB" w:rsidRPr="00DC52D5" w:rsidRDefault="008D36FB" w:rsidP="008D36FB">
      <w:r w:rsidRPr="00DC52D5">
        <w:lastRenderedPageBreak/>
        <w:t>As can be seen, the NPV of the after-tax cash costs for these machines are $668 and $847 respectively. However, these machines have different lifetimes. Consequently, the issue of their replacement must be considered—the less expensive machine will have to be replaced sooner. Lacking any additional data about future machine prices and lifetimes, the simplest approach</w:t>
      </w:r>
      <w:r>
        <w:t xml:space="preserve"> to dealing with differing lifetimes</w:t>
      </w:r>
      <w:r w:rsidRPr="00DC52D5">
        <w:t xml:space="preserve"> is to convert each NPV into a level payment stream over the lifetime of the machine. That is, into a level annual lease rate. Excel function PMT does this and the last line of the analysis shows that machine B is less expensive.</w:t>
      </w:r>
    </w:p>
    <w:p w14:paraId="54459932" w14:textId="77777777" w:rsidR="00BF5AD1" w:rsidRPr="00BF5AD1" w:rsidRDefault="00BF5AD1" w:rsidP="006C71C3">
      <w:pPr>
        <w:rPr>
          <w:rFonts w:ascii="Arial" w:hAnsi="Arial" w:cs="Arial"/>
        </w:rPr>
      </w:pPr>
    </w:p>
    <w:p w14:paraId="0D12FDB7" w14:textId="77777777" w:rsidR="00F31498" w:rsidRDefault="00000000" w:rsidP="00BF5AD1">
      <w:pPr>
        <w:spacing w:before="0"/>
      </w:pPr>
      <w:r>
        <w:rPr>
          <w:noProof/>
          <w:lang w:eastAsia="zh-TW"/>
        </w:rPr>
        <w:pict w14:anchorId="6CAA6DC9">
          <v:shape id="_x0000_s2089" type="#_x0000_t202" style="position:absolute;left:0;text-align:left;margin-left:-36.35pt;margin-top:57.05pt;width:462.75pt;height:310.5pt;z-index:5;mso-wrap-distance-top:7.2pt;mso-wrap-distance-bottom:7.2pt;mso-width-relative:margin;mso-height-relative:margin" o:allowoverlap="f" stroked="f">
            <v:textbox style="mso-next-textbox:#_x0000_s2089">
              <w:txbxContent>
                <w:p w14:paraId="406F0103" w14:textId="77777777" w:rsidR="005F1709" w:rsidRDefault="005F1709" w:rsidP="0008787E">
                  <w:pPr>
                    <w:pStyle w:val="Caption"/>
                  </w:pPr>
                  <w:bookmarkStart w:id="7" w:name="_Ref257985310"/>
                  <w:r>
                    <w:t xml:space="preserve">Exhibit </w:t>
                  </w:r>
                  <w:fldSimple w:instr=" SEQ Exhibit \* ARABIC ">
                    <w:r>
                      <w:rPr>
                        <w:noProof/>
                      </w:rPr>
                      <w:t>9</w:t>
                    </w:r>
                  </w:fldSimple>
                  <w:bookmarkEnd w:id="7"/>
                  <w:r>
                    <w:t>—NPL Calculations</w:t>
                  </w:r>
                </w:p>
                <w:tbl>
                  <w:tblPr>
                    <w:tblW w:w="0" w:type="auto"/>
                    <w:tblInd w:w="93" w:type="dxa"/>
                    <w:tblLayout w:type="fixed"/>
                    <w:tblLook w:val="04A0" w:firstRow="1" w:lastRow="0" w:firstColumn="1" w:lastColumn="0" w:noHBand="0" w:noVBand="1"/>
                  </w:tblPr>
                  <w:tblGrid>
                    <w:gridCol w:w="1725"/>
                    <w:gridCol w:w="3022"/>
                    <w:gridCol w:w="1181"/>
                    <w:gridCol w:w="1017"/>
                    <w:gridCol w:w="990"/>
                  </w:tblGrid>
                  <w:tr w:rsidR="005F1709" w:rsidRPr="00AE56C9" w14:paraId="747AB8B3" w14:textId="77777777" w:rsidTr="00DC2E2A">
                    <w:trPr>
                      <w:trHeight w:val="447"/>
                    </w:trPr>
                    <w:tc>
                      <w:tcPr>
                        <w:tcW w:w="1725" w:type="dxa"/>
                        <w:tcBorders>
                          <w:top w:val="nil"/>
                          <w:left w:val="nil"/>
                          <w:bottom w:val="nil"/>
                          <w:right w:val="nil"/>
                        </w:tcBorders>
                        <w:vAlign w:val="center"/>
                        <w:hideMark/>
                      </w:tcPr>
                      <w:p w14:paraId="7D86AA9A" w14:textId="77777777" w:rsidR="005F1709" w:rsidRPr="00AE56C9" w:rsidRDefault="005F1709" w:rsidP="00BF5AD1">
                        <w:pPr>
                          <w:spacing w:before="0"/>
                          <w:jc w:val="left"/>
                          <w:rPr>
                            <w:rFonts w:ascii="Calibri" w:hAnsi="Calibri" w:cs="Calibri"/>
                            <w:color w:val="000000"/>
                            <w:sz w:val="20"/>
                          </w:rPr>
                        </w:pPr>
                      </w:p>
                    </w:tc>
                    <w:tc>
                      <w:tcPr>
                        <w:tcW w:w="3022" w:type="dxa"/>
                        <w:tcBorders>
                          <w:top w:val="nil"/>
                          <w:left w:val="nil"/>
                          <w:bottom w:val="nil"/>
                          <w:right w:val="nil"/>
                        </w:tcBorders>
                        <w:noWrap/>
                        <w:vAlign w:val="center"/>
                        <w:hideMark/>
                      </w:tcPr>
                      <w:p w14:paraId="324BBFF8" w14:textId="77777777" w:rsidR="005F1709" w:rsidRPr="00AE56C9" w:rsidRDefault="005F1709" w:rsidP="00BF5AD1">
                        <w:pPr>
                          <w:spacing w:before="0"/>
                          <w:jc w:val="left"/>
                          <w:rPr>
                            <w:rFonts w:ascii="Calibri" w:hAnsi="Calibri" w:cs="Calibri"/>
                            <w:color w:val="000000"/>
                            <w:szCs w:val="22"/>
                          </w:rPr>
                        </w:pPr>
                      </w:p>
                    </w:tc>
                    <w:tc>
                      <w:tcPr>
                        <w:tcW w:w="1181" w:type="dxa"/>
                        <w:tcBorders>
                          <w:top w:val="nil"/>
                          <w:left w:val="nil"/>
                          <w:bottom w:val="nil"/>
                          <w:right w:val="nil"/>
                        </w:tcBorders>
                        <w:vAlign w:val="center"/>
                        <w:hideMark/>
                      </w:tcPr>
                      <w:p w14:paraId="1F1067D6" w14:textId="77777777" w:rsidR="005F1709" w:rsidRPr="00AE56C9" w:rsidRDefault="005F1709" w:rsidP="00BF5AD1">
                        <w:pPr>
                          <w:spacing w:before="0"/>
                          <w:jc w:val="left"/>
                          <w:rPr>
                            <w:rFonts w:ascii="Calibri" w:hAnsi="Calibri" w:cs="Calibri"/>
                            <w:color w:val="000000"/>
                            <w:sz w:val="20"/>
                          </w:rPr>
                        </w:pPr>
                        <w:r>
                          <w:rPr>
                            <w:rFonts w:ascii="Calibri" w:hAnsi="Calibri" w:cs="Calibri"/>
                            <w:color w:val="000000"/>
                            <w:sz w:val="20"/>
                          </w:rPr>
                          <w:t>Row label</w:t>
                        </w:r>
                      </w:p>
                    </w:tc>
                    <w:tc>
                      <w:tcPr>
                        <w:tcW w:w="1017" w:type="dxa"/>
                        <w:tcBorders>
                          <w:top w:val="nil"/>
                          <w:left w:val="nil"/>
                          <w:bottom w:val="nil"/>
                          <w:right w:val="nil"/>
                        </w:tcBorders>
                        <w:vAlign w:val="center"/>
                        <w:hideMark/>
                      </w:tcPr>
                      <w:p w14:paraId="536C2EF1" w14:textId="77777777" w:rsidR="005F1709" w:rsidRPr="00AE56C9" w:rsidRDefault="005F1709" w:rsidP="00DC2E2A">
                        <w:pPr>
                          <w:spacing w:before="0"/>
                          <w:jc w:val="center"/>
                          <w:rPr>
                            <w:rFonts w:ascii="Calibri" w:hAnsi="Calibri" w:cs="Calibri"/>
                            <w:color w:val="000000"/>
                            <w:sz w:val="20"/>
                          </w:rPr>
                        </w:pPr>
                        <w:r>
                          <w:rPr>
                            <w:rFonts w:ascii="Calibri" w:hAnsi="Calibri" w:cs="Calibri"/>
                            <w:color w:val="000000"/>
                            <w:sz w:val="20"/>
                          </w:rPr>
                          <w:t>A</w:t>
                        </w:r>
                      </w:p>
                    </w:tc>
                    <w:tc>
                      <w:tcPr>
                        <w:tcW w:w="990" w:type="dxa"/>
                        <w:tcBorders>
                          <w:top w:val="nil"/>
                          <w:left w:val="nil"/>
                          <w:bottom w:val="nil"/>
                          <w:right w:val="nil"/>
                        </w:tcBorders>
                        <w:vAlign w:val="center"/>
                        <w:hideMark/>
                      </w:tcPr>
                      <w:p w14:paraId="7851C836" w14:textId="77777777" w:rsidR="005F1709" w:rsidRPr="00AE56C9" w:rsidRDefault="005F1709" w:rsidP="00DC2E2A">
                        <w:pPr>
                          <w:spacing w:before="0"/>
                          <w:jc w:val="center"/>
                          <w:rPr>
                            <w:rFonts w:ascii="Calibri" w:hAnsi="Calibri" w:cs="Calibri"/>
                            <w:color w:val="000000"/>
                            <w:sz w:val="20"/>
                          </w:rPr>
                        </w:pPr>
                        <w:r>
                          <w:rPr>
                            <w:rFonts w:ascii="Calibri" w:hAnsi="Calibri" w:cs="Calibri"/>
                            <w:color w:val="000000"/>
                            <w:sz w:val="20"/>
                          </w:rPr>
                          <w:t>B</w:t>
                        </w:r>
                      </w:p>
                    </w:tc>
                  </w:tr>
                  <w:tr w:rsidR="005F1709" w:rsidRPr="00AE56C9" w14:paraId="21B1EC73" w14:textId="77777777" w:rsidTr="00DC2E2A">
                    <w:trPr>
                      <w:trHeight w:val="420"/>
                    </w:trPr>
                    <w:tc>
                      <w:tcPr>
                        <w:tcW w:w="1725" w:type="dxa"/>
                        <w:tcBorders>
                          <w:top w:val="nil"/>
                          <w:left w:val="nil"/>
                          <w:bottom w:val="nil"/>
                          <w:right w:val="nil"/>
                        </w:tcBorders>
                        <w:vAlign w:val="center"/>
                        <w:hideMark/>
                      </w:tcPr>
                      <w:p w14:paraId="230C9940" w14:textId="77777777" w:rsidR="005F1709" w:rsidRPr="00AE56C9" w:rsidRDefault="005F1709" w:rsidP="00BF5AD1">
                        <w:pPr>
                          <w:spacing w:before="0"/>
                          <w:jc w:val="left"/>
                          <w:rPr>
                            <w:rFonts w:ascii="Calibri" w:hAnsi="Calibri" w:cs="Calibri"/>
                            <w:color w:val="000000"/>
                            <w:sz w:val="20"/>
                          </w:rPr>
                        </w:pPr>
                        <w:r w:rsidRPr="00AE56C9">
                          <w:rPr>
                            <w:rFonts w:ascii="Calibri" w:hAnsi="Calibri" w:cs="Calibri"/>
                            <w:color w:val="000000"/>
                            <w:sz w:val="20"/>
                          </w:rPr>
                          <w:t>Purchase price</w:t>
                        </w:r>
                      </w:p>
                    </w:tc>
                    <w:tc>
                      <w:tcPr>
                        <w:tcW w:w="3022" w:type="dxa"/>
                        <w:tcBorders>
                          <w:top w:val="nil"/>
                          <w:left w:val="nil"/>
                          <w:bottom w:val="nil"/>
                          <w:right w:val="nil"/>
                        </w:tcBorders>
                        <w:noWrap/>
                        <w:vAlign w:val="center"/>
                        <w:hideMark/>
                      </w:tcPr>
                      <w:p w14:paraId="355FE738" w14:textId="77777777" w:rsidR="005F1709" w:rsidRPr="00AE56C9" w:rsidRDefault="005F1709" w:rsidP="00BF5AD1">
                        <w:pPr>
                          <w:spacing w:before="0"/>
                          <w:jc w:val="left"/>
                          <w:rPr>
                            <w:rFonts w:ascii="Calibri" w:hAnsi="Calibri" w:cs="Calibri"/>
                            <w:color w:val="000000"/>
                            <w:szCs w:val="22"/>
                          </w:rPr>
                        </w:pPr>
                      </w:p>
                    </w:tc>
                    <w:tc>
                      <w:tcPr>
                        <w:tcW w:w="1181" w:type="dxa"/>
                        <w:tcBorders>
                          <w:top w:val="nil"/>
                          <w:left w:val="nil"/>
                          <w:bottom w:val="nil"/>
                          <w:right w:val="nil"/>
                        </w:tcBorders>
                        <w:vAlign w:val="center"/>
                        <w:hideMark/>
                      </w:tcPr>
                      <w:p w14:paraId="3B36274F" w14:textId="77777777" w:rsidR="005F1709" w:rsidRPr="00AE56C9" w:rsidRDefault="005F1709" w:rsidP="00DC2E2A">
                        <w:pPr>
                          <w:spacing w:before="0"/>
                          <w:jc w:val="center"/>
                          <w:rPr>
                            <w:rFonts w:ascii="Calibri" w:hAnsi="Calibri" w:cs="Calibri"/>
                            <w:color w:val="000000"/>
                            <w:sz w:val="20"/>
                          </w:rPr>
                        </w:pPr>
                        <w:r w:rsidRPr="00AE56C9">
                          <w:rPr>
                            <w:rFonts w:ascii="Calibri" w:hAnsi="Calibri" w:cs="Calibri"/>
                            <w:color w:val="000000"/>
                            <w:sz w:val="20"/>
                          </w:rPr>
                          <w:t>price</w:t>
                        </w:r>
                      </w:p>
                    </w:tc>
                    <w:tc>
                      <w:tcPr>
                        <w:tcW w:w="1017" w:type="dxa"/>
                        <w:tcBorders>
                          <w:top w:val="nil"/>
                          <w:left w:val="nil"/>
                          <w:bottom w:val="nil"/>
                          <w:right w:val="nil"/>
                        </w:tcBorders>
                        <w:vAlign w:val="center"/>
                        <w:hideMark/>
                      </w:tcPr>
                      <w:p w14:paraId="278EE4FB" w14:textId="77777777" w:rsidR="005F1709" w:rsidRPr="00AE56C9" w:rsidRDefault="005F1709" w:rsidP="00DC2E2A">
                        <w:pPr>
                          <w:spacing w:before="0"/>
                          <w:jc w:val="right"/>
                          <w:rPr>
                            <w:rFonts w:ascii="Calibri" w:hAnsi="Calibri" w:cs="Calibri"/>
                            <w:color w:val="000000"/>
                            <w:sz w:val="20"/>
                          </w:rPr>
                        </w:pPr>
                        <w:bookmarkStart w:id="8" w:name="RANGE!J50:K50"/>
                        <w:r w:rsidRPr="00AE56C9">
                          <w:rPr>
                            <w:rFonts w:ascii="Calibri" w:hAnsi="Calibri" w:cs="Calibri"/>
                            <w:color w:val="000000"/>
                            <w:sz w:val="20"/>
                          </w:rPr>
                          <w:t xml:space="preserve">1,000.0 </w:t>
                        </w:r>
                        <w:bookmarkEnd w:id="8"/>
                      </w:p>
                    </w:tc>
                    <w:tc>
                      <w:tcPr>
                        <w:tcW w:w="990" w:type="dxa"/>
                        <w:tcBorders>
                          <w:top w:val="nil"/>
                          <w:left w:val="nil"/>
                          <w:bottom w:val="nil"/>
                          <w:right w:val="nil"/>
                        </w:tcBorders>
                        <w:vAlign w:val="center"/>
                        <w:hideMark/>
                      </w:tcPr>
                      <w:p w14:paraId="2FF33E83" w14:textId="77777777" w:rsidR="005F1709" w:rsidRPr="00AE56C9" w:rsidRDefault="005F1709" w:rsidP="00DC2E2A">
                        <w:pPr>
                          <w:spacing w:before="0"/>
                          <w:jc w:val="right"/>
                          <w:rPr>
                            <w:rFonts w:ascii="Calibri" w:hAnsi="Calibri" w:cs="Calibri"/>
                            <w:color w:val="000000"/>
                            <w:sz w:val="20"/>
                          </w:rPr>
                        </w:pPr>
                        <w:r w:rsidRPr="00AE56C9">
                          <w:rPr>
                            <w:rFonts w:ascii="Calibri" w:hAnsi="Calibri" w:cs="Calibri"/>
                            <w:color w:val="000000"/>
                            <w:sz w:val="20"/>
                          </w:rPr>
                          <w:t xml:space="preserve">1,200.0 </w:t>
                        </w:r>
                      </w:p>
                    </w:tc>
                  </w:tr>
                  <w:tr w:rsidR="005F1709" w:rsidRPr="00AE56C9" w14:paraId="5ED260BD" w14:textId="77777777" w:rsidTr="00DC2E2A">
                    <w:trPr>
                      <w:trHeight w:val="300"/>
                    </w:trPr>
                    <w:tc>
                      <w:tcPr>
                        <w:tcW w:w="1725" w:type="dxa"/>
                        <w:tcBorders>
                          <w:top w:val="nil"/>
                          <w:left w:val="nil"/>
                          <w:bottom w:val="nil"/>
                          <w:right w:val="nil"/>
                        </w:tcBorders>
                        <w:vAlign w:val="center"/>
                        <w:hideMark/>
                      </w:tcPr>
                      <w:p w14:paraId="41C8CED8" w14:textId="77777777" w:rsidR="005F1709" w:rsidRPr="00AE56C9" w:rsidRDefault="005F1709" w:rsidP="00BF5AD1">
                        <w:pPr>
                          <w:spacing w:before="0"/>
                          <w:jc w:val="left"/>
                          <w:rPr>
                            <w:rFonts w:ascii="Calibri" w:hAnsi="Calibri" w:cs="Calibri"/>
                            <w:color w:val="000000"/>
                            <w:sz w:val="20"/>
                          </w:rPr>
                        </w:pPr>
                        <w:r>
                          <w:rPr>
                            <w:rFonts w:ascii="Calibri" w:hAnsi="Calibri" w:cs="Calibri"/>
                            <w:color w:val="000000"/>
                            <w:sz w:val="20"/>
                          </w:rPr>
                          <w:t>Lifetime</w:t>
                        </w:r>
                      </w:p>
                    </w:tc>
                    <w:tc>
                      <w:tcPr>
                        <w:tcW w:w="3022" w:type="dxa"/>
                        <w:tcBorders>
                          <w:top w:val="nil"/>
                          <w:left w:val="nil"/>
                          <w:bottom w:val="nil"/>
                          <w:right w:val="nil"/>
                        </w:tcBorders>
                        <w:noWrap/>
                        <w:vAlign w:val="center"/>
                        <w:hideMark/>
                      </w:tcPr>
                      <w:p w14:paraId="4FB410DB" w14:textId="77777777" w:rsidR="005F1709" w:rsidRPr="00AE56C9" w:rsidRDefault="005F1709" w:rsidP="00BF5AD1">
                        <w:pPr>
                          <w:spacing w:before="0"/>
                          <w:jc w:val="left"/>
                          <w:rPr>
                            <w:rFonts w:ascii="Calibri" w:hAnsi="Calibri" w:cs="Calibri"/>
                            <w:color w:val="000000"/>
                            <w:szCs w:val="22"/>
                          </w:rPr>
                        </w:pPr>
                      </w:p>
                    </w:tc>
                    <w:tc>
                      <w:tcPr>
                        <w:tcW w:w="1181" w:type="dxa"/>
                        <w:tcBorders>
                          <w:top w:val="nil"/>
                          <w:left w:val="nil"/>
                          <w:bottom w:val="nil"/>
                          <w:right w:val="nil"/>
                        </w:tcBorders>
                        <w:vAlign w:val="center"/>
                        <w:hideMark/>
                      </w:tcPr>
                      <w:p w14:paraId="49F779F9" w14:textId="77777777" w:rsidR="005F1709" w:rsidRPr="00DC2E2A" w:rsidRDefault="005F1709" w:rsidP="00DC2E2A">
                        <w:pPr>
                          <w:spacing w:before="0"/>
                          <w:jc w:val="center"/>
                          <w:rPr>
                            <w:rFonts w:ascii="Calibri" w:hAnsi="Calibri" w:cs="Calibri"/>
                            <w:color w:val="000000"/>
                            <w:sz w:val="20"/>
                          </w:rPr>
                        </w:pPr>
                        <w:r w:rsidRPr="00DC2E2A">
                          <w:rPr>
                            <w:rFonts w:ascii="Calibri" w:hAnsi="Calibri" w:cs="Calibri"/>
                            <w:color w:val="000000"/>
                            <w:sz w:val="20"/>
                          </w:rPr>
                          <w:t>nyears</w:t>
                        </w:r>
                      </w:p>
                    </w:tc>
                    <w:tc>
                      <w:tcPr>
                        <w:tcW w:w="1017" w:type="dxa"/>
                        <w:tcBorders>
                          <w:top w:val="nil"/>
                          <w:left w:val="nil"/>
                          <w:bottom w:val="nil"/>
                          <w:right w:val="nil"/>
                        </w:tcBorders>
                        <w:vAlign w:val="center"/>
                        <w:hideMark/>
                      </w:tcPr>
                      <w:p w14:paraId="360F2C2F" w14:textId="77777777" w:rsidR="005F1709" w:rsidRPr="00AE56C9" w:rsidRDefault="005F1709" w:rsidP="00BF5AD1">
                        <w:pPr>
                          <w:spacing w:before="0"/>
                          <w:jc w:val="right"/>
                          <w:rPr>
                            <w:rFonts w:ascii="Calibri" w:hAnsi="Calibri" w:cs="Calibri"/>
                            <w:color w:val="000000"/>
                            <w:sz w:val="20"/>
                          </w:rPr>
                        </w:pPr>
                        <w:r>
                          <w:rPr>
                            <w:rFonts w:ascii="Calibri" w:hAnsi="Calibri" w:cs="Calibri"/>
                            <w:color w:val="000000"/>
                            <w:sz w:val="20"/>
                          </w:rPr>
                          <w:t>5</w:t>
                        </w:r>
                      </w:p>
                    </w:tc>
                    <w:tc>
                      <w:tcPr>
                        <w:tcW w:w="990" w:type="dxa"/>
                        <w:tcBorders>
                          <w:top w:val="nil"/>
                          <w:left w:val="nil"/>
                          <w:bottom w:val="nil"/>
                          <w:right w:val="nil"/>
                        </w:tcBorders>
                        <w:vAlign w:val="center"/>
                        <w:hideMark/>
                      </w:tcPr>
                      <w:p w14:paraId="7F1EE209" w14:textId="77777777" w:rsidR="005F1709" w:rsidRPr="00AE56C9" w:rsidRDefault="005F1709" w:rsidP="00BF5AD1">
                        <w:pPr>
                          <w:spacing w:before="0"/>
                          <w:jc w:val="right"/>
                          <w:rPr>
                            <w:rFonts w:ascii="Calibri" w:hAnsi="Calibri" w:cs="Calibri"/>
                            <w:color w:val="000000"/>
                            <w:sz w:val="20"/>
                          </w:rPr>
                        </w:pPr>
                        <w:r>
                          <w:rPr>
                            <w:rFonts w:ascii="Calibri" w:hAnsi="Calibri" w:cs="Calibri"/>
                            <w:color w:val="000000"/>
                            <w:sz w:val="20"/>
                          </w:rPr>
                          <w:t>7</w:t>
                        </w:r>
                      </w:p>
                    </w:tc>
                  </w:tr>
                  <w:tr w:rsidR="005F1709" w:rsidRPr="00AE56C9" w14:paraId="5A78A53E" w14:textId="77777777" w:rsidTr="00DC2E2A">
                    <w:trPr>
                      <w:trHeight w:val="300"/>
                    </w:trPr>
                    <w:tc>
                      <w:tcPr>
                        <w:tcW w:w="1725" w:type="dxa"/>
                        <w:tcBorders>
                          <w:top w:val="nil"/>
                          <w:left w:val="nil"/>
                          <w:bottom w:val="nil"/>
                          <w:right w:val="nil"/>
                        </w:tcBorders>
                        <w:vAlign w:val="center"/>
                        <w:hideMark/>
                      </w:tcPr>
                      <w:p w14:paraId="47D61B09" w14:textId="77777777" w:rsidR="005F1709" w:rsidRPr="00AE56C9" w:rsidRDefault="005F1709" w:rsidP="00BF5AD1">
                        <w:pPr>
                          <w:spacing w:before="0"/>
                          <w:jc w:val="left"/>
                          <w:rPr>
                            <w:rFonts w:ascii="Calibri" w:hAnsi="Calibri" w:cs="Calibri"/>
                            <w:color w:val="000000"/>
                            <w:sz w:val="20"/>
                          </w:rPr>
                        </w:pPr>
                        <w:r>
                          <w:rPr>
                            <w:rFonts w:ascii="Calibri" w:hAnsi="Calibri" w:cs="Calibri"/>
                            <w:color w:val="000000"/>
                            <w:sz w:val="20"/>
                          </w:rPr>
                          <w:t>Salvage Value</w:t>
                        </w:r>
                      </w:p>
                    </w:tc>
                    <w:tc>
                      <w:tcPr>
                        <w:tcW w:w="3022" w:type="dxa"/>
                        <w:tcBorders>
                          <w:top w:val="nil"/>
                          <w:left w:val="nil"/>
                          <w:bottom w:val="nil"/>
                          <w:right w:val="nil"/>
                        </w:tcBorders>
                        <w:noWrap/>
                        <w:vAlign w:val="center"/>
                        <w:hideMark/>
                      </w:tcPr>
                      <w:p w14:paraId="7BD80314" w14:textId="77777777" w:rsidR="005F1709" w:rsidRPr="00AE56C9" w:rsidRDefault="005F1709" w:rsidP="00BF5AD1">
                        <w:pPr>
                          <w:spacing w:before="0"/>
                          <w:jc w:val="left"/>
                          <w:rPr>
                            <w:rFonts w:ascii="Calibri" w:hAnsi="Calibri" w:cs="Calibri"/>
                            <w:color w:val="000000"/>
                            <w:szCs w:val="22"/>
                          </w:rPr>
                        </w:pPr>
                      </w:p>
                    </w:tc>
                    <w:tc>
                      <w:tcPr>
                        <w:tcW w:w="1181" w:type="dxa"/>
                        <w:tcBorders>
                          <w:top w:val="nil"/>
                          <w:left w:val="nil"/>
                          <w:bottom w:val="nil"/>
                          <w:right w:val="nil"/>
                        </w:tcBorders>
                        <w:vAlign w:val="center"/>
                        <w:hideMark/>
                      </w:tcPr>
                      <w:p w14:paraId="28FB1C2A" w14:textId="77777777" w:rsidR="005F1709" w:rsidRPr="00AE56C9" w:rsidRDefault="005F1709" w:rsidP="00DC2E2A">
                        <w:pPr>
                          <w:spacing w:before="0"/>
                          <w:jc w:val="center"/>
                          <w:rPr>
                            <w:rFonts w:ascii="Calibri" w:hAnsi="Calibri" w:cs="Calibri"/>
                            <w:color w:val="000000"/>
                            <w:sz w:val="20"/>
                          </w:rPr>
                        </w:pPr>
                        <w:r w:rsidRPr="00DC2E2A">
                          <w:rPr>
                            <w:rFonts w:ascii="Calibri" w:hAnsi="Calibri" w:cs="Calibri"/>
                            <w:color w:val="000000"/>
                            <w:sz w:val="20"/>
                          </w:rPr>
                          <w:t>Salvage</w:t>
                        </w:r>
                      </w:p>
                    </w:tc>
                    <w:tc>
                      <w:tcPr>
                        <w:tcW w:w="1017" w:type="dxa"/>
                        <w:tcBorders>
                          <w:top w:val="nil"/>
                          <w:left w:val="nil"/>
                          <w:bottom w:val="nil"/>
                          <w:right w:val="nil"/>
                        </w:tcBorders>
                        <w:vAlign w:val="center"/>
                        <w:hideMark/>
                      </w:tcPr>
                      <w:p w14:paraId="44744183" w14:textId="77777777" w:rsidR="005F1709" w:rsidRPr="00AE56C9" w:rsidRDefault="005F1709" w:rsidP="00BF5AD1">
                        <w:pPr>
                          <w:spacing w:before="0"/>
                          <w:jc w:val="right"/>
                          <w:rPr>
                            <w:rFonts w:ascii="Calibri" w:hAnsi="Calibri" w:cs="Calibri"/>
                            <w:color w:val="000000"/>
                            <w:sz w:val="20"/>
                          </w:rPr>
                        </w:pPr>
                        <w:r>
                          <w:rPr>
                            <w:rFonts w:ascii="Calibri" w:hAnsi="Calibri" w:cs="Calibri"/>
                            <w:color w:val="000000"/>
                            <w:sz w:val="20"/>
                          </w:rPr>
                          <w:t>100</w:t>
                        </w:r>
                      </w:p>
                    </w:tc>
                    <w:tc>
                      <w:tcPr>
                        <w:tcW w:w="990" w:type="dxa"/>
                        <w:tcBorders>
                          <w:top w:val="nil"/>
                          <w:left w:val="nil"/>
                          <w:bottom w:val="nil"/>
                          <w:right w:val="nil"/>
                        </w:tcBorders>
                        <w:vAlign w:val="center"/>
                        <w:hideMark/>
                      </w:tcPr>
                      <w:p w14:paraId="3B0218A7" w14:textId="77777777" w:rsidR="005F1709" w:rsidRPr="00AE56C9" w:rsidRDefault="005F1709" w:rsidP="00BF5AD1">
                        <w:pPr>
                          <w:spacing w:before="0"/>
                          <w:jc w:val="right"/>
                          <w:rPr>
                            <w:rFonts w:ascii="Calibri" w:hAnsi="Calibri" w:cs="Calibri"/>
                            <w:color w:val="000000"/>
                            <w:sz w:val="20"/>
                          </w:rPr>
                        </w:pPr>
                        <w:r>
                          <w:rPr>
                            <w:rFonts w:ascii="Calibri" w:hAnsi="Calibri" w:cs="Calibri"/>
                            <w:color w:val="000000"/>
                            <w:sz w:val="20"/>
                          </w:rPr>
                          <w:t>0</w:t>
                        </w:r>
                      </w:p>
                    </w:tc>
                  </w:tr>
                  <w:tr w:rsidR="005F1709" w:rsidRPr="00AE56C9" w14:paraId="6961FAFA" w14:textId="77777777" w:rsidTr="00DC2E2A">
                    <w:trPr>
                      <w:trHeight w:val="300"/>
                    </w:trPr>
                    <w:tc>
                      <w:tcPr>
                        <w:tcW w:w="1725" w:type="dxa"/>
                        <w:tcBorders>
                          <w:top w:val="nil"/>
                          <w:left w:val="nil"/>
                          <w:bottom w:val="nil"/>
                          <w:right w:val="nil"/>
                        </w:tcBorders>
                        <w:vAlign w:val="center"/>
                        <w:hideMark/>
                      </w:tcPr>
                      <w:p w14:paraId="61682EE9" w14:textId="77777777" w:rsidR="005F1709" w:rsidRPr="00AE56C9" w:rsidRDefault="005F1709" w:rsidP="00BF5AD1">
                        <w:pPr>
                          <w:spacing w:before="0"/>
                          <w:jc w:val="left"/>
                          <w:rPr>
                            <w:rFonts w:ascii="Calibri" w:hAnsi="Calibri" w:cs="Calibri"/>
                            <w:color w:val="000000"/>
                            <w:sz w:val="20"/>
                          </w:rPr>
                        </w:pPr>
                        <w:r w:rsidRPr="00AE56C9">
                          <w:rPr>
                            <w:rFonts w:ascii="Calibri" w:hAnsi="Calibri" w:cs="Calibri"/>
                            <w:color w:val="000000"/>
                            <w:sz w:val="20"/>
                          </w:rPr>
                          <w:t>PV of depreciation tax shield</w:t>
                        </w:r>
                      </w:p>
                    </w:tc>
                    <w:tc>
                      <w:tcPr>
                        <w:tcW w:w="3022" w:type="dxa"/>
                        <w:tcBorders>
                          <w:top w:val="nil"/>
                          <w:left w:val="nil"/>
                          <w:bottom w:val="nil"/>
                          <w:right w:val="nil"/>
                        </w:tcBorders>
                        <w:noWrap/>
                        <w:vAlign w:val="center"/>
                        <w:hideMark/>
                      </w:tcPr>
                      <w:p w14:paraId="74DC965B" w14:textId="77777777" w:rsidR="005F1709" w:rsidRPr="00AE56C9" w:rsidRDefault="005F1709" w:rsidP="004F3001">
                        <w:pPr>
                          <w:spacing w:before="0"/>
                          <w:jc w:val="left"/>
                          <w:rPr>
                            <w:rFonts w:ascii="Calibri" w:hAnsi="Calibri" w:cs="Calibri"/>
                            <w:color w:val="000000"/>
                            <w:sz w:val="18"/>
                            <w:szCs w:val="18"/>
                          </w:rPr>
                        </w:pPr>
                        <w:r w:rsidRPr="00BF5AD1">
                          <w:rPr>
                            <w:rFonts w:ascii="Calibri" w:hAnsi="Calibri" w:cs="Calibri"/>
                            <w:color w:val="000000"/>
                            <w:sz w:val="18"/>
                            <w:szCs w:val="18"/>
                          </w:rPr>
                          <w:t>=tax*price*macrs_pv(</w:t>
                        </w:r>
                        <w:proofErr w:type="gramStart"/>
                        <w:r w:rsidRPr="00BF5AD1">
                          <w:rPr>
                            <w:rFonts w:ascii="Calibri" w:hAnsi="Calibri" w:cs="Calibri"/>
                            <w:color w:val="000000"/>
                            <w:sz w:val="18"/>
                            <w:szCs w:val="18"/>
                          </w:rPr>
                          <w:t>coc,nyears</w:t>
                        </w:r>
                        <w:proofErr w:type="gramEnd"/>
                        <w:r w:rsidRPr="00BF5AD1">
                          <w:rPr>
                            <w:rFonts w:ascii="Calibri" w:hAnsi="Calibri" w:cs="Calibri"/>
                            <w:color w:val="000000"/>
                            <w:sz w:val="18"/>
                            <w:szCs w:val="18"/>
                          </w:rPr>
                          <w:t>)</w:t>
                        </w:r>
                      </w:p>
                    </w:tc>
                    <w:tc>
                      <w:tcPr>
                        <w:tcW w:w="1181" w:type="dxa"/>
                        <w:tcBorders>
                          <w:top w:val="nil"/>
                          <w:left w:val="nil"/>
                          <w:bottom w:val="nil"/>
                          <w:right w:val="nil"/>
                        </w:tcBorders>
                        <w:noWrap/>
                        <w:vAlign w:val="center"/>
                        <w:hideMark/>
                      </w:tcPr>
                      <w:p w14:paraId="4D81089C" w14:textId="77777777" w:rsidR="005F1709" w:rsidRPr="00AE56C9" w:rsidRDefault="005F1709" w:rsidP="00DC2E2A">
                        <w:pPr>
                          <w:spacing w:before="0"/>
                          <w:jc w:val="center"/>
                          <w:rPr>
                            <w:rFonts w:ascii="Calibri" w:hAnsi="Calibri" w:cs="Calibri"/>
                            <w:color w:val="000000"/>
                            <w:sz w:val="20"/>
                          </w:rPr>
                        </w:pPr>
                        <w:r w:rsidRPr="00AE56C9">
                          <w:rPr>
                            <w:rFonts w:ascii="Calibri" w:hAnsi="Calibri" w:cs="Calibri"/>
                            <w:color w:val="000000"/>
                            <w:sz w:val="20"/>
                          </w:rPr>
                          <w:t>pvdepts</w:t>
                        </w:r>
                      </w:p>
                    </w:tc>
                    <w:tc>
                      <w:tcPr>
                        <w:tcW w:w="1017" w:type="dxa"/>
                        <w:tcBorders>
                          <w:top w:val="nil"/>
                          <w:left w:val="nil"/>
                          <w:bottom w:val="nil"/>
                          <w:right w:val="nil"/>
                        </w:tcBorders>
                        <w:noWrap/>
                        <w:vAlign w:val="center"/>
                        <w:hideMark/>
                      </w:tcPr>
                      <w:p w14:paraId="6A3423B5" w14:textId="77777777" w:rsidR="005F1709" w:rsidRPr="00AE56C9" w:rsidRDefault="005F1709" w:rsidP="00BF5AD1">
                        <w:pPr>
                          <w:spacing w:before="0"/>
                          <w:jc w:val="right"/>
                          <w:rPr>
                            <w:rFonts w:ascii="Calibri" w:hAnsi="Calibri" w:cs="Calibri"/>
                            <w:color w:val="000000"/>
                            <w:szCs w:val="22"/>
                          </w:rPr>
                        </w:pPr>
                        <w:bookmarkStart w:id="9" w:name="RANGE!J51:K51"/>
                        <w:r w:rsidRPr="00AE56C9">
                          <w:rPr>
                            <w:rFonts w:ascii="Calibri" w:hAnsi="Calibri" w:cs="Calibri"/>
                            <w:color w:val="000000"/>
                            <w:szCs w:val="22"/>
                          </w:rPr>
                          <w:t xml:space="preserve">                293.8 </w:t>
                        </w:r>
                        <w:bookmarkEnd w:id="9"/>
                      </w:p>
                    </w:tc>
                    <w:tc>
                      <w:tcPr>
                        <w:tcW w:w="990" w:type="dxa"/>
                        <w:tcBorders>
                          <w:top w:val="nil"/>
                          <w:left w:val="nil"/>
                          <w:bottom w:val="nil"/>
                          <w:right w:val="nil"/>
                        </w:tcBorders>
                        <w:noWrap/>
                        <w:vAlign w:val="center"/>
                        <w:hideMark/>
                      </w:tcPr>
                      <w:p w14:paraId="6D4ACB31" w14:textId="77777777" w:rsidR="005F1709" w:rsidRPr="00AE56C9" w:rsidRDefault="005F1709" w:rsidP="00BF5AD1">
                        <w:pPr>
                          <w:spacing w:before="0"/>
                          <w:jc w:val="right"/>
                          <w:rPr>
                            <w:rFonts w:ascii="Calibri" w:hAnsi="Calibri" w:cs="Calibri"/>
                            <w:color w:val="000000"/>
                            <w:szCs w:val="22"/>
                          </w:rPr>
                        </w:pPr>
                        <w:r w:rsidRPr="00AE56C9">
                          <w:rPr>
                            <w:rFonts w:ascii="Calibri" w:hAnsi="Calibri" w:cs="Calibri"/>
                            <w:color w:val="000000"/>
                            <w:szCs w:val="22"/>
                          </w:rPr>
                          <w:t xml:space="preserve">                   329.0 </w:t>
                        </w:r>
                      </w:p>
                    </w:tc>
                  </w:tr>
                  <w:tr w:rsidR="005F1709" w:rsidRPr="00AE56C9" w14:paraId="60B2A08E" w14:textId="77777777" w:rsidTr="00DC2E2A">
                    <w:trPr>
                      <w:trHeight w:val="300"/>
                    </w:trPr>
                    <w:tc>
                      <w:tcPr>
                        <w:tcW w:w="1725" w:type="dxa"/>
                        <w:tcBorders>
                          <w:top w:val="nil"/>
                          <w:left w:val="nil"/>
                          <w:bottom w:val="nil"/>
                          <w:right w:val="nil"/>
                        </w:tcBorders>
                        <w:vAlign w:val="center"/>
                        <w:hideMark/>
                      </w:tcPr>
                      <w:p w14:paraId="6EE6437A" w14:textId="77777777" w:rsidR="005F1709" w:rsidRPr="00AE56C9" w:rsidRDefault="005F1709" w:rsidP="00BF5AD1">
                        <w:pPr>
                          <w:spacing w:before="0"/>
                          <w:jc w:val="left"/>
                          <w:rPr>
                            <w:rFonts w:ascii="Calibri" w:hAnsi="Calibri" w:cs="Calibri"/>
                            <w:color w:val="000000"/>
                            <w:sz w:val="20"/>
                          </w:rPr>
                        </w:pPr>
                        <w:r w:rsidRPr="00AE56C9">
                          <w:rPr>
                            <w:rFonts w:ascii="Calibri" w:hAnsi="Calibri" w:cs="Calibri"/>
                            <w:color w:val="000000"/>
                            <w:sz w:val="20"/>
                          </w:rPr>
                          <w:t>Gain on sale (after tax)</w:t>
                        </w:r>
                      </w:p>
                    </w:tc>
                    <w:tc>
                      <w:tcPr>
                        <w:tcW w:w="3022" w:type="dxa"/>
                        <w:tcBorders>
                          <w:top w:val="nil"/>
                          <w:left w:val="nil"/>
                          <w:bottom w:val="nil"/>
                          <w:right w:val="nil"/>
                        </w:tcBorders>
                        <w:noWrap/>
                        <w:vAlign w:val="center"/>
                        <w:hideMark/>
                      </w:tcPr>
                      <w:p w14:paraId="12B7866D" w14:textId="77777777" w:rsidR="005F1709" w:rsidRPr="00AE56C9" w:rsidRDefault="005F1709" w:rsidP="00BF5AD1">
                        <w:pPr>
                          <w:spacing w:before="0"/>
                          <w:jc w:val="left"/>
                          <w:rPr>
                            <w:rFonts w:ascii="Calibri" w:hAnsi="Calibri" w:cs="Calibri"/>
                            <w:color w:val="000000"/>
                            <w:sz w:val="18"/>
                            <w:szCs w:val="18"/>
                          </w:rPr>
                        </w:pPr>
                        <w:r w:rsidRPr="00BF5AD1">
                          <w:rPr>
                            <w:rFonts w:ascii="Calibri" w:hAnsi="Calibri" w:cs="Calibri"/>
                            <w:color w:val="000000"/>
                            <w:sz w:val="18"/>
                            <w:szCs w:val="18"/>
                          </w:rPr>
                          <w:t>=(1-</w:t>
                        </w:r>
                        <w:proofErr w:type="gramStart"/>
                        <w:r w:rsidRPr="00BF5AD1">
                          <w:rPr>
                            <w:rFonts w:ascii="Calibri" w:hAnsi="Calibri" w:cs="Calibri"/>
                            <w:color w:val="000000"/>
                            <w:sz w:val="18"/>
                            <w:szCs w:val="18"/>
                          </w:rPr>
                          <w:t>tax)*</w:t>
                        </w:r>
                        <w:proofErr w:type="gramEnd"/>
                        <w:r w:rsidRPr="00BF5AD1">
                          <w:rPr>
                            <w:rFonts w:ascii="Calibri" w:hAnsi="Calibri" w:cs="Calibri"/>
                            <w:color w:val="000000"/>
                            <w:sz w:val="18"/>
                            <w:szCs w:val="18"/>
                          </w:rPr>
                          <w:t>salvage</w:t>
                        </w:r>
                      </w:p>
                    </w:tc>
                    <w:tc>
                      <w:tcPr>
                        <w:tcW w:w="1181" w:type="dxa"/>
                        <w:tcBorders>
                          <w:top w:val="nil"/>
                          <w:left w:val="nil"/>
                          <w:bottom w:val="nil"/>
                          <w:right w:val="nil"/>
                        </w:tcBorders>
                        <w:noWrap/>
                        <w:vAlign w:val="center"/>
                        <w:hideMark/>
                      </w:tcPr>
                      <w:p w14:paraId="25ACB4AD" w14:textId="77777777" w:rsidR="005F1709" w:rsidRPr="00AE56C9" w:rsidRDefault="005F1709" w:rsidP="00DC2E2A">
                        <w:pPr>
                          <w:spacing w:before="0"/>
                          <w:jc w:val="center"/>
                          <w:rPr>
                            <w:rFonts w:ascii="Calibri" w:hAnsi="Calibri" w:cs="Calibri"/>
                            <w:color w:val="000000"/>
                            <w:sz w:val="20"/>
                          </w:rPr>
                        </w:pPr>
                        <w:r w:rsidRPr="00AE56C9">
                          <w:rPr>
                            <w:rFonts w:ascii="Calibri" w:hAnsi="Calibri" w:cs="Calibri"/>
                            <w:color w:val="000000"/>
                            <w:sz w:val="20"/>
                          </w:rPr>
                          <w:t>atgos</w:t>
                        </w:r>
                      </w:p>
                    </w:tc>
                    <w:tc>
                      <w:tcPr>
                        <w:tcW w:w="1017" w:type="dxa"/>
                        <w:tcBorders>
                          <w:top w:val="nil"/>
                          <w:left w:val="nil"/>
                          <w:bottom w:val="nil"/>
                          <w:right w:val="nil"/>
                        </w:tcBorders>
                        <w:noWrap/>
                        <w:vAlign w:val="center"/>
                        <w:hideMark/>
                      </w:tcPr>
                      <w:p w14:paraId="6D9C29B6" w14:textId="77777777" w:rsidR="005F1709" w:rsidRPr="00AE56C9" w:rsidRDefault="005F1709" w:rsidP="00BF5AD1">
                        <w:pPr>
                          <w:spacing w:before="0"/>
                          <w:jc w:val="right"/>
                          <w:rPr>
                            <w:rFonts w:ascii="Calibri" w:hAnsi="Calibri" w:cs="Calibri"/>
                            <w:color w:val="000000"/>
                            <w:szCs w:val="22"/>
                          </w:rPr>
                        </w:pPr>
                        <w:bookmarkStart w:id="10" w:name="RANGE!J52:K52"/>
                        <w:r w:rsidRPr="00AE56C9">
                          <w:rPr>
                            <w:rFonts w:ascii="Calibri" w:hAnsi="Calibri" w:cs="Calibri"/>
                            <w:color w:val="000000"/>
                            <w:szCs w:val="22"/>
                          </w:rPr>
                          <w:t xml:space="preserve">                  62.0 </w:t>
                        </w:r>
                        <w:bookmarkEnd w:id="10"/>
                      </w:p>
                    </w:tc>
                    <w:tc>
                      <w:tcPr>
                        <w:tcW w:w="990" w:type="dxa"/>
                        <w:tcBorders>
                          <w:top w:val="nil"/>
                          <w:left w:val="nil"/>
                          <w:bottom w:val="nil"/>
                          <w:right w:val="nil"/>
                        </w:tcBorders>
                        <w:noWrap/>
                        <w:vAlign w:val="center"/>
                        <w:hideMark/>
                      </w:tcPr>
                      <w:p w14:paraId="1AF9154B" w14:textId="77777777" w:rsidR="005F1709" w:rsidRPr="00AE56C9" w:rsidRDefault="005F1709" w:rsidP="00BF5AD1">
                        <w:pPr>
                          <w:spacing w:before="0"/>
                          <w:jc w:val="right"/>
                          <w:rPr>
                            <w:rFonts w:ascii="Calibri" w:hAnsi="Calibri" w:cs="Calibri"/>
                            <w:color w:val="000000"/>
                            <w:szCs w:val="22"/>
                          </w:rPr>
                        </w:pPr>
                        <w:r w:rsidRPr="00AE56C9">
                          <w:rPr>
                            <w:rFonts w:ascii="Calibri" w:hAnsi="Calibri" w:cs="Calibri"/>
                            <w:color w:val="000000"/>
                            <w:szCs w:val="22"/>
                          </w:rPr>
                          <w:t xml:space="preserve">                          -   </w:t>
                        </w:r>
                      </w:p>
                    </w:tc>
                  </w:tr>
                  <w:tr w:rsidR="005F1709" w:rsidRPr="00AE56C9" w14:paraId="06D331E6" w14:textId="77777777" w:rsidTr="00DC2E2A">
                    <w:trPr>
                      <w:trHeight w:val="300"/>
                    </w:trPr>
                    <w:tc>
                      <w:tcPr>
                        <w:tcW w:w="1725" w:type="dxa"/>
                        <w:tcBorders>
                          <w:top w:val="nil"/>
                          <w:left w:val="nil"/>
                          <w:bottom w:val="nil"/>
                          <w:right w:val="nil"/>
                        </w:tcBorders>
                        <w:vAlign w:val="center"/>
                        <w:hideMark/>
                      </w:tcPr>
                      <w:p w14:paraId="3FC65E46" w14:textId="77777777" w:rsidR="005F1709" w:rsidRPr="00AE56C9" w:rsidRDefault="005F1709" w:rsidP="00BF5AD1">
                        <w:pPr>
                          <w:spacing w:before="0"/>
                          <w:jc w:val="left"/>
                          <w:rPr>
                            <w:rFonts w:ascii="Calibri" w:hAnsi="Calibri" w:cs="Calibri"/>
                            <w:color w:val="000000"/>
                            <w:sz w:val="20"/>
                          </w:rPr>
                        </w:pPr>
                        <w:r w:rsidRPr="00AE56C9">
                          <w:rPr>
                            <w:rFonts w:ascii="Calibri" w:hAnsi="Calibri" w:cs="Calibri"/>
                            <w:color w:val="000000"/>
                            <w:sz w:val="20"/>
                          </w:rPr>
                          <w:t>PV of gain on sale</w:t>
                        </w:r>
                      </w:p>
                    </w:tc>
                    <w:tc>
                      <w:tcPr>
                        <w:tcW w:w="3022" w:type="dxa"/>
                        <w:tcBorders>
                          <w:top w:val="nil"/>
                          <w:left w:val="nil"/>
                          <w:bottom w:val="nil"/>
                          <w:right w:val="nil"/>
                        </w:tcBorders>
                        <w:noWrap/>
                        <w:vAlign w:val="center"/>
                        <w:hideMark/>
                      </w:tcPr>
                      <w:p w14:paraId="381B727B" w14:textId="77777777" w:rsidR="005F1709" w:rsidRPr="00AE56C9" w:rsidRDefault="005F1709" w:rsidP="00BF5AD1">
                        <w:pPr>
                          <w:spacing w:before="0"/>
                          <w:jc w:val="left"/>
                          <w:rPr>
                            <w:rFonts w:ascii="Calibri" w:hAnsi="Calibri" w:cs="Calibri"/>
                            <w:color w:val="000000"/>
                            <w:sz w:val="18"/>
                            <w:szCs w:val="18"/>
                          </w:rPr>
                        </w:pPr>
                        <w:r w:rsidRPr="00BF5AD1">
                          <w:rPr>
                            <w:rFonts w:ascii="Calibri" w:hAnsi="Calibri" w:cs="Calibri"/>
                            <w:color w:val="000000"/>
                            <w:sz w:val="18"/>
                            <w:szCs w:val="18"/>
                          </w:rPr>
                          <w:t>=atgos/(1+</w:t>
                        </w:r>
                        <w:proofErr w:type="gramStart"/>
                        <w:r w:rsidRPr="00BF5AD1">
                          <w:rPr>
                            <w:rFonts w:ascii="Calibri" w:hAnsi="Calibri" w:cs="Calibri"/>
                            <w:color w:val="000000"/>
                            <w:sz w:val="18"/>
                            <w:szCs w:val="18"/>
                          </w:rPr>
                          <w:t>coc)^</w:t>
                        </w:r>
                        <w:proofErr w:type="gramEnd"/>
                        <w:r w:rsidRPr="00BF5AD1">
                          <w:rPr>
                            <w:rFonts w:ascii="Calibri" w:hAnsi="Calibri" w:cs="Calibri"/>
                            <w:color w:val="000000"/>
                            <w:sz w:val="18"/>
                            <w:szCs w:val="18"/>
                          </w:rPr>
                          <w:t>nyears</w:t>
                        </w:r>
                      </w:p>
                    </w:tc>
                    <w:tc>
                      <w:tcPr>
                        <w:tcW w:w="1181" w:type="dxa"/>
                        <w:tcBorders>
                          <w:top w:val="nil"/>
                          <w:left w:val="nil"/>
                          <w:bottom w:val="nil"/>
                          <w:right w:val="nil"/>
                        </w:tcBorders>
                        <w:noWrap/>
                        <w:vAlign w:val="center"/>
                        <w:hideMark/>
                      </w:tcPr>
                      <w:p w14:paraId="1003A45D" w14:textId="77777777" w:rsidR="005F1709" w:rsidRPr="00AE56C9" w:rsidRDefault="005F1709" w:rsidP="00DC2E2A">
                        <w:pPr>
                          <w:spacing w:before="0"/>
                          <w:jc w:val="center"/>
                          <w:rPr>
                            <w:rFonts w:ascii="Calibri" w:hAnsi="Calibri" w:cs="Calibri"/>
                            <w:color w:val="000000"/>
                            <w:sz w:val="20"/>
                          </w:rPr>
                        </w:pPr>
                        <w:r w:rsidRPr="00AE56C9">
                          <w:rPr>
                            <w:rFonts w:ascii="Calibri" w:hAnsi="Calibri" w:cs="Calibri"/>
                            <w:color w:val="000000"/>
                            <w:sz w:val="20"/>
                          </w:rPr>
                          <w:t>pvatgos</w:t>
                        </w:r>
                      </w:p>
                    </w:tc>
                    <w:tc>
                      <w:tcPr>
                        <w:tcW w:w="1017" w:type="dxa"/>
                        <w:tcBorders>
                          <w:top w:val="nil"/>
                          <w:left w:val="nil"/>
                          <w:bottom w:val="nil"/>
                          <w:right w:val="nil"/>
                        </w:tcBorders>
                        <w:noWrap/>
                        <w:vAlign w:val="center"/>
                        <w:hideMark/>
                      </w:tcPr>
                      <w:p w14:paraId="76C548CB" w14:textId="77777777" w:rsidR="005F1709" w:rsidRPr="00AE56C9" w:rsidRDefault="005F1709" w:rsidP="00BF5AD1">
                        <w:pPr>
                          <w:spacing w:before="0"/>
                          <w:jc w:val="right"/>
                          <w:rPr>
                            <w:rFonts w:ascii="Calibri" w:hAnsi="Calibri" w:cs="Calibri"/>
                            <w:color w:val="000000"/>
                            <w:szCs w:val="22"/>
                          </w:rPr>
                        </w:pPr>
                        <w:bookmarkStart w:id="11" w:name="RANGE!J53:K53"/>
                        <w:r w:rsidRPr="00AE56C9">
                          <w:rPr>
                            <w:rFonts w:ascii="Calibri" w:hAnsi="Calibri" w:cs="Calibri"/>
                            <w:color w:val="000000"/>
                            <w:szCs w:val="22"/>
                          </w:rPr>
                          <w:t xml:space="preserve">                  38.5 </w:t>
                        </w:r>
                        <w:bookmarkEnd w:id="11"/>
                      </w:p>
                    </w:tc>
                    <w:tc>
                      <w:tcPr>
                        <w:tcW w:w="990" w:type="dxa"/>
                        <w:tcBorders>
                          <w:top w:val="nil"/>
                          <w:left w:val="nil"/>
                          <w:bottom w:val="nil"/>
                          <w:right w:val="nil"/>
                        </w:tcBorders>
                        <w:noWrap/>
                        <w:vAlign w:val="center"/>
                        <w:hideMark/>
                      </w:tcPr>
                      <w:p w14:paraId="098678C1" w14:textId="77777777" w:rsidR="005F1709" w:rsidRPr="00AE56C9" w:rsidRDefault="005F1709" w:rsidP="00BF5AD1">
                        <w:pPr>
                          <w:spacing w:before="0"/>
                          <w:jc w:val="right"/>
                          <w:rPr>
                            <w:rFonts w:ascii="Calibri" w:hAnsi="Calibri" w:cs="Calibri"/>
                            <w:color w:val="000000"/>
                            <w:szCs w:val="22"/>
                          </w:rPr>
                        </w:pPr>
                        <w:r w:rsidRPr="00AE56C9">
                          <w:rPr>
                            <w:rFonts w:ascii="Calibri" w:hAnsi="Calibri" w:cs="Calibri"/>
                            <w:color w:val="000000"/>
                            <w:szCs w:val="22"/>
                          </w:rPr>
                          <w:t xml:space="preserve">                          -   </w:t>
                        </w:r>
                      </w:p>
                    </w:tc>
                  </w:tr>
                  <w:tr w:rsidR="005F1709" w:rsidRPr="00AE56C9" w14:paraId="22346A75" w14:textId="77777777" w:rsidTr="00DC2E2A">
                    <w:trPr>
                      <w:trHeight w:val="300"/>
                    </w:trPr>
                    <w:tc>
                      <w:tcPr>
                        <w:tcW w:w="1725" w:type="dxa"/>
                        <w:tcBorders>
                          <w:top w:val="nil"/>
                          <w:left w:val="nil"/>
                          <w:bottom w:val="nil"/>
                          <w:right w:val="nil"/>
                        </w:tcBorders>
                        <w:vAlign w:val="center"/>
                        <w:hideMark/>
                      </w:tcPr>
                      <w:p w14:paraId="6F2DF75B" w14:textId="77777777" w:rsidR="005F1709" w:rsidRPr="00AE56C9" w:rsidRDefault="005F1709" w:rsidP="00BF5AD1">
                        <w:pPr>
                          <w:spacing w:before="0"/>
                          <w:jc w:val="left"/>
                          <w:rPr>
                            <w:rFonts w:ascii="Calibri" w:hAnsi="Calibri" w:cs="Calibri"/>
                            <w:color w:val="000000"/>
                            <w:sz w:val="20"/>
                          </w:rPr>
                        </w:pPr>
                        <w:r w:rsidRPr="00AE56C9">
                          <w:rPr>
                            <w:rFonts w:ascii="Calibri" w:hAnsi="Calibri" w:cs="Calibri"/>
                            <w:color w:val="000000"/>
                            <w:sz w:val="20"/>
                          </w:rPr>
                          <w:t>Total PV of capital costs</w:t>
                        </w:r>
                      </w:p>
                    </w:tc>
                    <w:tc>
                      <w:tcPr>
                        <w:tcW w:w="3022" w:type="dxa"/>
                        <w:tcBorders>
                          <w:top w:val="nil"/>
                          <w:left w:val="nil"/>
                          <w:bottom w:val="nil"/>
                          <w:right w:val="nil"/>
                        </w:tcBorders>
                        <w:noWrap/>
                        <w:vAlign w:val="center"/>
                        <w:hideMark/>
                      </w:tcPr>
                      <w:p w14:paraId="51773DBE" w14:textId="77777777" w:rsidR="005F1709" w:rsidRPr="00AE56C9" w:rsidRDefault="005F1709" w:rsidP="00BF5AD1">
                        <w:pPr>
                          <w:spacing w:before="0"/>
                          <w:jc w:val="left"/>
                          <w:rPr>
                            <w:rFonts w:ascii="Calibri" w:hAnsi="Calibri" w:cs="Calibri"/>
                            <w:color w:val="000000"/>
                            <w:sz w:val="18"/>
                            <w:szCs w:val="18"/>
                          </w:rPr>
                        </w:pPr>
                        <w:r w:rsidRPr="00BF5AD1">
                          <w:rPr>
                            <w:rFonts w:ascii="Calibri" w:hAnsi="Calibri" w:cs="Calibri"/>
                            <w:color w:val="000000"/>
                            <w:sz w:val="18"/>
                            <w:szCs w:val="18"/>
                          </w:rPr>
                          <w:t>=price-pvdepts-pvatgos</w:t>
                        </w:r>
                      </w:p>
                    </w:tc>
                    <w:tc>
                      <w:tcPr>
                        <w:tcW w:w="1181" w:type="dxa"/>
                        <w:tcBorders>
                          <w:top w:val="nil"/>
                          <w:left w:val="nil"/>
                          <w:bottom w:val="nil"/>
                          <w:right w:val="nil"/>
                        </w:tcBorders>
                        <w:noWrap/>
                        <w:vAlign w:val="center"/>
                        <w:hideMark/>
                      </w:tcPr>
                      <w:p w14:paraId="66887A36" w14:textId="77777777" w:rsidR="005F1709" w:rsidRPr="00AE56C9" w:rsidRDefault="005F1709" w:rsidP="00DC2E2A">
                        <w:pPr>
                          <w:spacing w:before="0"/>
                          <w:jc w:val="center"/>
                          <w:rPr>
                            <w:rFonts w:ascii="Calibri" w:hAnsi="Calibri" w:cs="Calibri"/>
                            <w:color w:val="000000"/>
                            <w:sz w:val="20"/>
                          </w:rPr>
                        </w:pPr>
                        <w:r w:rsidRPr="00AE56C9">
                          <w:rPr>
                            <w:rFonts w:ascii="Calibri" w:hAnsi="Calibri" w:cs="Calibri"/>
                            <w:color w:val="000000"/>
                            <w:sz w:val="20"/>
                          </w:rPr>
                          <w:t>pvcapcost</w:t>
                        </w:r>
                      </w:p>
                    </w:tc>
                    <w:tc>
                      <w:tcPr>
                        <w:tcW w:w="1017" w:type="dxa"/>
                        <w:tcBorders>
                          <w:top w:val="nil"/>
                          <w:left w:val="nil"/>
                          <w:bottom w:val="nil"/>
                          <w:right w:val="nil"/>
                        </w:tcBorders>
                        <w:noWrap/>
                        <w:vAlign w:val="center"/>
                        <w:hideMark/>
                      </w:tcPr>
                      <w:p w14:paraId="1CC561CE" w14:textId="77777777" w:rsidR="005F1709" w:rsidRPr="00AE56C9" w:rsidRDefault="005F1709" w:rsidP="00BF5AD1">
                        <w:pPr>
                          <w:spacing w:before="0"/>
                          <w:jc w:val="right"/>
                          <w:rPr>
                            <w:rFonts w:ascii="Calibri" w:hAnsi="Calibri" w:cs="Calibri"/>
                            <w:color w:val="000000"/>
                            <w:szCs w:val="22"/>
                          </w:rPr>
                        </w:pPr>
                        <w:bookmarkStart w:id="12" w:name="RANGE!J54:K54"/>
                        <w:r w:rsidRPr="00AE56C9">
                          <w:rPr>
                            <w:rFonts w:ascii="Calibri" w:hAnsi="Calibri" w:cs="Calibri"/>
                            <w:color w:val="000000"/>
                            <w:szCs w:val="22"/>
                          </w:rPr>
                          <w:t xml:space="preserve">                667.7 </w:t>
                        </w:r>
                        <w:bookmarkEnd w:id="12"/>
                      </w:p>
                    </w:tc>
                    <w:tc>
                      <w:tcPr>
                        <w:tcW w:w="990" w:type="dxa"/>
                        <w:tcBorders>
                          <w:top w:val="nil"/>
                          <w:left w:val="nil"/>
                          <w:bottom w:val="nil"/>
                          <w:right w:val="nil"/>
                        </w:tcBorders>
                        <w:noWrap/>
                        <w:vAlign w:val="center"/>
                        <w:hideMark/>
                      </w:tcPr>
                      <w:p w14:paraId="5B45DCCC" w14:textId="77777777" w:rsidR="005F1709" w:rsidRPr="00AE56C9" w:rsidRDefault="005F1709" w:rsidP="00BF5AD1">
                        <w:pPr>
                          <w:spacing w:before="0"/>
                          <w:jc w:val="right"/>
                          <w:rPr>
                            <w:rFonts w:ascii="Calibri" w:hAnsi="Calibri" w:cs="Calibri"/>
                            <w:color w:val="000000"/>
                            <w:szCs w:val="22"/>
                          </w:rPr>
                        </w:pPr>
                        <w:r w:rsidRPr="00AE56C9">
                          <w:rPr>
                            <w:rFonts w:ascii="Calibri" w:hAnsi="Calibri" w:cs="Calibri"/>
                            <w:color w:val="000000"/>
                            <w:szCs w:val="22"/>
                          </w:rPr>
                          <w:t xml:space="preserve">                   871.0 </w:t>
                        </w:r>
                      </w:p>
                    </w:tc>
                  </w:tr>
                  <w:tr w:rsidR="005F1709" w:rsidRPr="00AE56C9" w14:paraId="20AF34DF" w14:textId="77777777" w:rsidTr="00DC2E2A">
                    <w:trPr>
                      <w:trHeight w:val="300"/>
                    </w:trPr>
                    <w:tc>
                      <w:tcPr>
                        <w:tcW w:w="1725" w:type="dxa"/>
                        <w:tcBorders>
                          <w:top w:val="nil"/>
                          <w:left w:val="nil"/>
                          <w:bottom w:val="nil"/>
                          <w:right w:val="nil"/>
                        </w:tcBorders>
                        <w:vAlign w:val="center"/>
                        <w:hideMark/>
                      </w:tcPr>
                      <w:p w14:paraId="4FE4D701" w14:textId="77777777" w:rsidR="005F1709" w:rsidRPr="00AE56C9" w:rsidRDefault="005F1709" w:rsidP="00BF5AD1">
                        <w:pPr>
                          <w:spacing w:before="0"/>
                          <w:jc w:val="left"/>
                          <w:rPr>
                            <w:rFonts w:ascii="Calibri" w:hAnsi="Calibri" w:cs="Calibri"/>
                            <w:color w:val="000000"/>
                            <w:sz w:val="20"/>
                          </w:rPr>
                        </w:pPr>
                        <w:r w:rsidRPr="00AE56C9">
                          <w:rPr>
                            <w:rFonts w:ascii="Calibri" w:hAnsi="Calibri" w:cs="Calibri"/>
                            <w:color w:val="000000"/>
                            <w:sz w:val="20"/>
                          </w:rPr>
                          <w:t>Equivalent annual cash flow</w:t>
                        </w:r>
                      </w:p>
                    </w:tc>
                    <w:tc>
                      <w:tcPr>
                        <w:tcW w:w="3022" w:type="dxa"/>
                        <w:tcBorders>
                          <w:top w:val="nil"/>
                          <w:left w:val="nil"/>
                          <w:bottom w:val="nil"/>
                          <w:right w:val="nil"/>
                        </w:tcBorders>
                        <w:noWrap/>
                        <w:vAlign w:val="center"/>
                        <w:hideMark/>
                      </w:tcPr>
                      <w:p w14:paraId="19192CAA" w14:textId="77777777" w:rsidR="005F1709" w:rsidRPr="00AE56C9" w:rsidRDefault="005F1709" w:rsidP="00BF5AD1">
                        <w:pPr>
                          <w:spacing w:before="0"/>
                          <w:jc w:val="left"/>
                          <w:rPr>
                            <w:rFonts w:ascii="Calibri" w:hAnsi="Calibri" w:cs="Calibri"/>
                            <w:color w:val="000000"/>
                            <w:sz w:val="18"/>
                            <w:szCs w:val="18"/>
                          </w:rPr>
                        </w:pPr>
                        <w:r w:rsidRPr="00BF5AD1">
                          <w:rPr>
                            <w:rFonts w:ascii="Calibri" w:hAnsi="Calibri" w:cs="Calibri"/>
                            <w:color w:val="000000"/>
                            <w:sz w:val="18"/>
                            <w:szCs w:val="18"/>
                          </w:rPr>
                          <w:t>=pmt(</w:t>
                        </w:r>
                        <w:proofErr w:type="gramStart"/>
                        <w:r w:rsidRPr="00BF5AD1">
                          <w:rPr>
                            <w:rFonts w:ascii="Calibri" w:hAnsi="Calibri" w:cs="Calibri"/>
                            <w:color w:val="000000"/>
                            <w:sz w:val="18"/>
                            <w:szCs w:val="18"/>
                          </w:rPr>
                          <w:t>coc,nyears</w:t>
                        </w:r>
                        <w:proofErr w:type="gramEnd"/>
                        <w:r w:rsidRPr="00BF5AD1">
                          <w:rPr>
                            <w:rFonts w:ascii="Calibri" w:hAnsi="Calibri" w:cs="Calibri"/>
                            <w:color w:val="000000"/>
                            <w:sz w:val="18"/>
                            <w:szCs w:val="18"/>
                          </w:rPr>
                          <w:t>,-pvcapcost)/(1-tax)</w:t>
                        </w:r>
                      </w:p>
                    </w:tc>
                    <w:tc>
                      <w:tcPr>
                        <w:tcW w:w="1181" w:type="dxa"/>
                        <w:tcBorders>
                          <w:top w:val="nil"/>
                          <w:left w:val="nil"/>
                          <w:bottom w:val="nil"/>
                          <w:right w:val="nil"/>
                        </w:tcBorders>
                        <w:noWrap/>
                        <w:vAlign w:val="center"/>
                        <w:hideMark/>
                      </w:tcPr>
                      <w:p w14:paraId="75D32D6D" w14:textId="77777777" w:rsidR="005F1709" w:rsidRPr="00AE56C9" w:rsidRDefault="005F1709" w:rsidP="00DC2E2A">
                        <w:pPr>
                          <w:spacing w:before="0"/>
                          <w:jc w:val="center"/>
                          <w:rPr>
                            <w:rFonts w:ascii="Calibri" w:hAnsi="Calibri" w:cs="Calibri"/>
                            <w:color w:val="000000"/>
                            <w:sz w:val="20"/>
                          </w:rPr>
                        </w:pPr>
                        <w:r w:rsidRPr="00AE56C9">
                          <w:rPr>
                            <w:rFonts w:ascii="Calibri" w:hAnsi="Calibri" w:cs="Calibri"/>
                            <w:color w:val="000000"/>
                            <w:sz w:val="20"/>
                          </w:rPr>
                          <w:t>nplcapcost</w:t>
                        </w:r>
                      </w:p>
                    </w:tc>
                    <w:tc>
                      <w:tcPr>
                        <w:tcW w:w="1017" w:type="dxa"/>
                        <w:tcBorders>
                          <w:top w:val="nil"/>
                          <w:left w:val="nil"/>
                          <w:bottom w:val="nil"/>
                          <w:right w:val="nil"/>
                        </w:tcBorders>
                        <w:noWrap/>
                        <w:vAlign w:val="center"/>
                        <w:hideMark/>
                      </w:tcPr>
                      <w:p w14:paraId="4182AD3A" w14:textId="77777777" w:rsidR="005F1709" w:rsidRPr="00AE56C9" w:rsidRDefault="005F1709" w:rsidP="00BF5AD1">
                        <w:pPr>
                          <w:spacing w:before="0"/>
                          <w:jc w:val="right"/>
                          <w:rPr>
                            <w:rFonts w:ascii="Calibri" w:hAnsi="Calibri" w:cs="Calibri"/>
                            <w:color w:val="000000"/>
                            <w:szCs w:val="22"/>
                          </w:rPr>
                        </w:pPr>
                        <w:r w:rsidRPr="00AE56C9">
                          <w:rPr>
                            <w:rFonts w:ascii="Calibri" w:hAnsi="Calibri" w:cs="Calibri"/>
                            <w:color w:val="000000"/>
                            <w:szCs w:val="22"/>
                          </w:rPr>
                          <w:t xml:space="preserve">                284.1 </w:t>
                        </w:r>
                      </w:p>
                    </w:tc>
                    <w:tc>
                      <w:tcPr>
                        <w:tcW w:w="990" w:type="dxa"/>
                        <w:tcBorders>
                          <w:top w:val="nil"/>
                          <w:left w:val="nil"/>
                          <w:bottom w:val="nil"/>
                          <w:right w:val="nil"/>
                        </w:tcBorders>
                        <w:noWrap/>
                        <w:vAlign w:val="center"/>
                        <w:hideMark/>
                      </w:tcPr>
                      <w:p w14:paraId="4D3C6302" w14:textId="77777777" w:rsidR="005F1709" w:rsidRPr="00AE56C9" w:rsidRDefault="005F1709" w:rsidP="00BF5AD1">
                        <w:pPr>
                          <w:spacing w:before="0"/>
                          <w:jc w:val="right"/>
                          <w:rPr>
                            <w:rFonts w:ascii="Calibri" w:hAnsi="Calibri" w:cs="Calibri"/>
                            <w:color w:val="000000"/>
                            <w:szCs w:val="22"/>
                          </w:rPr>
                        </w:pPr>
                        <w:r w:rsidRPr="00AE56C9">
                          <w:rPr>
                            <w:rFonts w:ascii="Calibri" w:hAnsi="Calibri" w:cs="Calibri"/>
                            <w:color w:val="000000"/>
                            <w:szCs w:val="22"/>
                          </w:rPr>
                          <w:t xml:space="preserve">                   288.6 </w:t>
                        </w:r>
                      </w:p>
                    </w:tc>
                  </w:tr>
                </w:tbl>
                <w:p w14:paraId="7C8C0D20" w14:textId="77777777" w:rsidR="005F1709" w:rsidRPr="00BF5AD1" w:rsidRDefault="004F3001" w:rsidP="004F3001">
                  <w:pPr>
                    <w:rPr>
                      <w:rFonts w:ascii="Calibri" w:hAnsi="Calibri" w:cs="Calibri"/>
                      <w:sz w:val="20"/>
                    </w:rPr>
                  </w:pPr>
                  <w:r>
                    <w:rPr>
                      <w:rFonts w:ascii="Calibri" w:hAnsi="Calibri" w:cs="Calibri"/>
                      <w:sz w:val="20"/>
                    </w:rPr>
                    <w:t xml:space="preserve">The above calculations have glossed over a small wrinkle. The gain on sale at the end of year 5 has not been adjusted for the remaining book value. MACRS depreciation delays the start and therefore extends beyond the nominal life. </w:t>
                  </w:r>
                </w:p>
              </w:txbxContent>
            </v:textbox>
            <w10:wrap type="topAndBottom"/>
          </v:shape>
        </w:pict>
      </w:r>
    </w:p>
    <w:sectPr w:rsidR="00F31498" w:rsidSect="00540062">
      <w:headerReference w:type="even" r:id="rId29"/>
      <w:headerReference w:type="default" r:id="rId30"/>
      <w:footerReference w:type="even" r:id="rId31"/>
      <w:footerReference w:type="default" r:id="rId32"/>
      <w:headerReference w:type="first" r:id="rId33"/>
      <w:footerReference w:type="first" r:id="rId34"/>
      <w:pgSz w:w="12240" w:h="15840" w:code="1"/>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37E0" w14:textId="77777777" w:rsidR="00D65792" w:rsidRDefault="00D65792">
      <w:pPr>
        <w:spacing w:before="0"/>
      </w:pPr>
      <w:r>
        <w:separator/>
      </w:r>
    </w:p>
    <w:p w14:paraId="6B037306" w14:textId="77777777" w:rsidR="00D65792" w:rsidRDefault="00D65792"/>
  </w:endnote>
  <w:endnote w:type="continuationSeparator" w:id="0">
    <w:p w14:paraId="5D08246F" w14:textId="77777777" w:rsidR="00D65792" w:rsidRDefault="00D65792">
      <w:pPr>
        <w:spacing w:before="0"/>
      </w:pPr>
      <w:r>
        <w:continuationSeparator/>
      </w:r>
    </w:p>
    <w:p w14:paraId="1C6AA54C" w14:textId="77777777" w:rsidR="00D65792" w:rsidRDefault="00D657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D66F" w14:textId="77777777" w:rsidR="00013462" w:rsidRDefault="000134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43535" w14:textId="77777777" w:rsidR="005F1709" w:rsidRDefault="005F1709">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0A2F" w14:textId="3B5B7322" w:rsidR="00013462" w:rsidRDefault="00013462" w:rsidP="00013462">
    <w:pPr>
      <w:pStyle w:val="Footer"/>
      <w:pBdr>
        <w:bottom w:val="single" w:sz="12" w:space="1" w:color="auto"/>
      </w:pBdr>
    </w:pPr>
  </w:p>
  <w:p w14:paraId="38763DBB" w14:textId="6EA079A8" w:rsidR="005F1709" w:rsidRPr="00013462" w:rsidRDefault="00013462" w:rsidP="00013462">
    <w:pPr>
      <w:pStyle w:val="Footer"/>
    </w:pPr>
    <w:r w:rsidRPr="00013462">
      <w:t>©2010 Richard P. Rumelt. This work is licensed under a Creative Commons Attribution NonCommercial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E3308" w14:textId="77777777" w:rsidR="00D65792" w:rsidRDefault="00D65792">
      <w:pPr>
        <w:spacing w:before="0"/>
      </w:pPr>
      <w:r>
        <w:separator/>
      </w:r>
    </w:p>
    <w:p w14:paraId="09B89A1E" w14:textId="77777777" w:rsidR="00D65792" w:rsidRDefault="00D65792"/>
  </w:footnote>
  <w:footnote w:type="continuationSeparator" w:id="0">
    <w:p w14:paraId="50B6B98B" w14:textId="77777777" w:rsidR="00D65792" w:rsidRDefault="00D65792">
      <w:pPr>
        <w:spacing w:before="0"/>
      </w:pPr>
      <w:r>
        <w:continuationSeparator/>
      </w:r>
    </w:p>
    <w:p w14:paraId="0CF8F792" w14:textId="77777777" w:rsidR="00D65792" w:rsidRDefault="00D65792"/>
  </w:footnote>
  <w:footnote w:id="1">
    <w:p w14:paraId="4A6F204C" w14:textId="77777777" w:rsidR="005F1709" w:rsidRDefault="005F1709" w:rsidP="001C02FB">
      <w:pPr>
        <w:pStyle w:val="FootnoteText"/>
      </w:pPr>
      <w:r>
        <w:rPr>
          <w:rStyle w:val="FootnoteReference"/>
        </w:rPr>
        <w:footnoteRef/>
      </w:r>
      <w:r>
        <w:t xml:space="preserve"> U.S. federal marginal corporate income tax rates start at 15%, rise to 39% for corporate incomes between $100K and $335K, then fall to 35%, which is the marginal rate for most large companies.  State corporate tax rates vary by state.  In </w:t>
      </w:r>
      <w:smartTag w:uri="urn:schemas-microsoft-com:office:smarttags" w:element="place">
        <w:smartTag w:uri="urn:schemas-microsoft-com:office:smarttags" w:element="State">
          <w:r>
            <w:t>California</w:t>
          </w:r>
        </w:smartTag>
      </w:smartTag>
      <w:r>
        <w:t xml:space="preserve">, for example, the marginal corporate income tax rate is 8.8%.  State income taxes are a deductible expense in computing federal income tax liability.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F310" w14:textId="77777777" w:rsidR="00013462" w:rsidRDefault="000134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2E32" w14:textId="7DEA20F9" w:rsidR="005F1709" w:rsidRPr="00617A70" w:rsidRDefault="005F1709" w:rsidP="00540062">
    <w:pPr>
      <w:pStyle w:val="Header"/>
      <w:tabs>
        <w:tab w:val="clear" w:pos="4320"/>
        <w:tab w:val="clear" w:pos="8640"/>
        <w:tab w:val="right" w:pos="8550"/>
        <w:tab w:val="right" w:pos="12870"/>
      </w:tabs>
      <w:spacing w:before="0"/>
      <w:rPr>
        <w:rFonts w:ascii="Arial" w:hAnsi="Arial" w:cs="Arial"/>
      </w:rPr>
    </w:pPr>
    <w:r w:rsidRPr="00617A70">
      <w:rPr>
        <w:rFonts w:ascii="Arial" w:hAnsi="Arial" w:cs="Arial"/>
      </w:rPr>
      <w:t>Valuing &amp; Comparing Patterns of Payments</w:t>
    </w:r>
    <w:r w:rsidRPr="00617A70">
      <w:rPr>
        <w:rFonts w:ascii="Arial" w:hAnsi="Arial" w:cs="Arial"/>
      </w:rPr>
      <w:tab/>
    </w:r>
    <w:r w:rsidRPr="00617A70">
      <w:rPr>
        <w:rStyle w:val="PageNumber"/>
        <w:rFonts w:ascii="Arial" w:hAnsi="Arial" w:cs="Arial"/>
      </w:rPr>
      <w:fldChar w:fldCharType="begin"/>
    </w:r>
    <w:r w:rsidRPr="00617A70">
      <w:rPr>
        <w:rStyle w:val="PageNumber"/>
        <w:rFonts w:ascii="Arial" w:hAnsi="Arial" w:cs="Arial"/>
      </w:rPr>
      <w:instrText xml:space="preserve"> PAGE </w:instrText>
    </w:r>
    <w:r w:rsidRPr="00617A70">
      <w:rPr>
        <w:rStyle w:val="PageNumber"/>
        <w:rFonts w:ascii="Arial" w:hAnsi="Arial" w:cs="Arial"/>
      </w:rPr>
      <w:fldChar w:fldCharType="separate"/>
    </w:r>
    <w:r w:rsidR="00E548D9">
      <w:rPr>
        <w:rStyle w:val="PageNumber"/>
        <w:rFonts w:ascii="Arial" w:hAnsi="Arial" w:cs="Arial"/>
        <w:noProof/>
      </w:rPr>
      <w:t>12</w:t>
    </w:r>
    <w:r w:rsidRPr="00617A70">
      <w:rPr>
        <w:rStyle w:val="PageNumber"/>
        <w:rFonts w:ascii="Arial" w:hAnsi="Arial" w:cs="Arial"/>
      </w:rPr>
      <w:fldChar w:fldCharType="end"/>
    </w:r>
    <w:r w:rsidRPr="00617A70">
      <w:rPr>
        <w:rFonts w:ascii="Arial" w:hAnsi="Arial" w:cs="Arial"/>
      </w:rPr>
      <w:tab/>
    </w:r>
  </w:p>
  <w:p w14:paraId="086B2649" w14:textId="77777777" w:rsidR="005F1709" w:rsidRDefault="005F1709">
    <w:pPr>
      <w:pStyle w:val="Header"/>
      <w:tabs>
        <w:tab w:val="clear" w:pos="4320"/>
      </w:tabs>
      <w:spacing w:before="0"/>
    </w:pPr>
  </w:p>
  <w:p w14:paraId="11A86436" w14:textId="77777777" w:rsidR="005F1709" w:rsidRDefault="005F17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2CFD" w14:textId="39D9C24C" w:rsidR="005F1709" w:rsidRDefault="005F1709">
    <w:pPr>
      <w:pStyle w:val="Header"/>
      <w:tabs>
        <w:tab w:val="clear" w:pos="4320"/>
      </w:tabs>
      <w:spacing w:before="0"/>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C49"/>
    <w:multiLevelType w:val="hybridMultilevel"/>
    <w:tmpl w:val="901636BE"/>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13A30E6E"/>
    <w:multiLevelType w:val="hybridMultilevel"/>
    <w:tmpl w:val="7FD0D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5733F2"/>
    <w:multiLevelType w:val="hybridMultilevel"/>
    <w:tmpl w:val="33709A9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76920B1"/>
    <w:multiLevelType w:val="hybridMultilevel"/>
    <w:tmpl w:val="AE9878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5583F32"/>
    <w:multiLevelType w:val="hybridMultilevel"/>
    <w:tmpl w:val="632C0DBC"/>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368E154D"/>
    <w:multiLevelType w:val="hybridMultilevel"/>
    <w:tmpl w:val="5204FD06"/>
    <w:lvl w:ilvl="0" w:tplc="C9C2A30A">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A091914"/>
    <w:multiLevelType w:val="hybridMultilevel"/>
    <w:tmpl w:val="81A64A52"/>
    <w:lvl w:ilvl="0" w:tplc="060AFEE6">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09733F2"/>
    <w:multiLevelType w:val="hybridMultilevel"/>
    <w:tmpl w:val="C43E192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608463219">
    <w:abstractNumId w:val="5"/>
  </w:num>
  <w:num w:numId="2" w16cid:durableId="2092583218">
    <w:abstractNumId w:val="4"/>
  </w:num>
  <w:num w:numId="3" w16cid:durableId="1177380081">
    <w:abstractNumId w:val="2"/>
  </w:num>
  <w:num w:numId="4" w16cid:durableId="446772844">
    <w:abstractNumId w:val="0"/>
  </w:num>
  <w:num w:numId="5" w16cid:durableId="587423066">
    <w:abstractNumId w:val="6"/>
  </w:num>
  <w:num w:numId="6" w16cid:durableId="565185346">
    <w:abstractNumId w:val="7"/>
  </w:num>
  <w:num w:numId="7" w16cid:durableId="1750542470">
    <w:abstractNumId w:val="3"/>
  </w:num>
  <w:num w:numId="8" w16cid:durableId="1323198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autoHyphenation/>
  <w:drawingGridHorizontalSpacing w:val="110"/>
  <w:displayHorizontalDrawingGridEvery w:val="0"/>
  <w:displayVerticalDrawingGridEvery w:val="0"/>
  <w:noPunctuationKerning/>
  <w:characterSpacingControl w:val="doNotCompress"/>
  <w:hdrShapeDefaults>
    <o:shapedefaults v:ext="edit" spidmax="2105" fill="f" fillcolor="window" stroke="f">
      <v:fill color="window" on="f"/>
      <v:stroke on="f"/>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7DB3"/>
    <w:rsid w:val="00013462"/>
    <w:rsid w:val="000138FE"/>
    <w:rsid w:val="00015D83"/>
    <w:rsid w:val="00023194"/>
    <w:rsid w:val="00030794"/>
    <w:rsid w:val="00033B57"/>
    <w:rsid w:val="000778FE"/>
    <w:rsid w:val="00082C64"/>
    <w:rsid w:val="0008787E"/>
    <w:rsid w:val="00091270"/>
    <w:rsid w:val="00095BC6"/>
    <w:rsid w:val="000A000B"/>
    <w:rsid w:val="000D3025"/>
    <w:rsid w:val="000E6381"/>
    <w:rsid w:val="000F24D5"/>
    <w:rsid w:val="00115C62"/>
    <w:rsid w:val="00117047"/>
    <w:rsid w:val="00157E17"/>
    <w:rsid w:val="0016730C"/>
    <w:rsid w:val="001A0593"/>
    <w:rsid w:val="001C02FB"/>
    <w:rsid w:val="001E48BB"/>
    <w:rsid w:val="001E5680"/>
    <w:rsid w:val="001E6BBC"/>
    <w:rsid w:val="001F4163"/>
    <w:rsid w:val="00203603"/>
    <w:rsid w:val="00224FB9"/>
    <w:rsid w:val="00244B6A"/>
    <w:rsid w:val="00252EF3"/>
    <w:rsid w:val="002A6D31"/>
    <w:rsid w:val="00361D75"/>
    <w:rsid w:val="003B09E9"/>
    <w:rsid w:val="003B23EE"/>
    <w:rsid w:val="003D20F5"/>
    <w:rsid w:val="003E6C84"/>
    <w:rsid w:val="003F559E"/>
    <w:rsid w:val="00411413"/>
    <w:rsid w:val="00422FED"/>
    <w:rsid w:val="00442484"/>
    <w:rsid w:val="004435C8"/>
    <w:rsid w:val="004A45A9"/>
    <w:rsid w:val="004C097F"/>
    <w:rsid w:val="004D5A13"/>
    <w:rsid w:val="004F00CC"/>
    <w:rsid w:val="004F3001"/>
    <w:rsid w:val="00525E7D"/>
    <w:rsid w:val="00527B2A"/>
    <w:rsid w:val="00540062"/>
    <w:rsid w:val="00565D2B"/>
    <w:rsid w:val="00581020"/>
    <w:rsid w:val="005D1C78"/>
    <w:rsid w:val="005E65CD"/>
    <w:rsid w:val="005F1709"/>
    <w:rsid w:val="0060214A"/>
    <w:rsid w:val="00602F58"/>
    <w:rsid w:val="00613F47"/>
    <w:rsid w:val="00617A70"/>
    <w:rsid w:val="00634447"/>
    <w:rsid w:val="006434F6"/>
    <w:rsid w:val="00650AA8"/>
    <w:rsid w:val="00652FDE"/>
    <w:rsid w:val="00670742"/>
    <w:rsid w:val="00695A6B"/>
    <w:rsid w:val="006B578A"/>
    <w:rsid w:val="006C16A8"/>
    <w:rsid w:val="006C71C3"/>
    <w:rsid w:val="006D147B"/>
    <w:rsid w:val="006D72DF"/>
    <w:rsid w:val="006E5BD8"/>
    <w:rsid w:val="006F1FA3"/>
    <w:rsid w:val="00720BF3"/>
    <w:rsid w:val="00724296"/>
    <w:rsid w:val="00761252"/>
    <w:rsid w:val="00783F27"/>
    <w:rsid w:val="007A7670"/>
    <w:rsid w:val="007B4525"/>
    <w:rsid w:val="007C4B99"/>
    <w:rsid w:val="007C719B"/>
    <w:rsid w:val="007F4683"/>
    <w:rsid w:val="008223DF"/>
    <w:rsid w:val="00864C8D"/>
    <w:rsid w:val="008768AE"/>
    <w:rsid w:val="00894F7A"/>
    <w:rsid w:val="008D36FB"/>
    <w:rsid w:val="00906B97"/>
    <w:rsid w:val="00916C23"/>
    <w:rsid w:val="0096583C"/>
    <w:rsid w:val="00971706"/>
    <w:rsid w:val="009B6C53"/>
    <w:rsid w:val="00A121BD"/>
    <w:rsid w:val="00A17FA5"/>
    <w:rsid w:val="00A226B4"/>
    <w:rsid w:val="00A31E98"/>
    <w:rsid w:val="00A32C19"/>
    <w:rsid w:val="00A508F8"/>
    <w:rsid w:val="00A8001D"/>
    <w:rsid w:val="00A806A4"/>
    <w:rsid w:val="00AA409A"/>
    <w:rsid w:val="00AC4055"/>
    <w:rsid w:val="00AE56C9"/>
    <w:rsid w:val="00AE5F34"/>
    <w:rsid w:val="00AF3C6F"/>
    <w:rsid w:val="00AF7DB3"/>
    <w:rsid w:val="00B31A23"/>
    <w:rsid w:val="00B50108"/>
    <w:rsid w:val="00B70B27"/>
    <w:rsid w:val="00B85839"/>
    <w:rsid w:val="00BC68CD"/>
    <w:rsid w:val="00BC7E06"/>
    <w:rsid w:val="00BD190A"/>
    <w:rsid w:val="00BD23D6"/>
    <w:rsid w:val="00BF5AD1"/>
    <w:rsid w:val="00C009DE"/>
    <w:rsid w:val="00C25C64"/>
    <w:rsid w:val="00C519AD"/>
    <w:rsid w:val="00C845CC"/>
    <w:rsid w:val="00C97DA6"/>
    <w:rsid w:val="00CA4694"/>
    <w:rsid w:val="00CB118D"/>
    <w:rsid w:val="00CC1248"/>
    <w:rsid w:val="00CC758F"/>
    <w:rsid w:val="00CD3C6D"/>
    <w:rsid w:val="00CD5DCA"/>
    <w:rsid w:val="00CF3A5E"/>
    <w:rsid w:val="00D1001B"/>
    <w:rsid w:val="00D127D6"/>
    <w:rsid w:val="00D14495"/>
    <w:rsid w:val="00D2183D"/>
    <w:rsid w:val="00D355B3"/>
    <w:rsid w:val="00D616F2"/>
    <w:rsid w:val="00D65792"/>
    <w:rsid w:val="00D664AB"/>
    <w:rsid w:val="00DA06F7"/>
    <w:rsid w:val="00DA267C"/>
    <w:rsid w:val="00DC2E2A"/>
    <w:rsid w:val="00DC52D5"/>
    <w:rsid w:val="00DC68E5"/>
    <w:rsid w:val="00DC765B"/>
    <w:rsid w:val="00DD1D36"/>
    <w:rsid w:val="00E06C8C"/>
    <w:rsid w:val="00E075D4"/>
    <w:rsid w:val="00E2128C"/>
    <w:rsid w:val="00E548D9"/>
    <w:rsid w:val="00E55196"/>
    <w:rsid w:val="00E62F74"/>
    <w:rsid w:val="00EA3C16"/>
    <w:rsid w:val="00EC6E63"/>
    <w:rsid w:val="00ED6A5C"/>
    <w:rsid w:val="00EE1052"/>
    <w:rsid w:val="00F0008F"/>
    <w:rsid w:val="00F31498"/>
    <w:rsid w:val="00F53073"/>
    <w:rsid w:val="00F539C8"/>
    <w:rsid w:val="00F63774"/>
    <w:rsid w:val="00FA5DB5"/>
    <w:rsid w:val="00FB2AC6"/>
    <w:rsid w:val="00FE1772"/>
    <w:rsid w:val="00FF2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105" fill="f" fillcolor="window" stroke="f">
      <v:fill color="window" on="f"/>
      <v:stroke on="f"/>
    </o:shapedefaults>
    <o:shapelayout v:ext="edit">
      <o:idmap v:ext="edit" data="2"/>
    </o:shapelayout>
  </w:shapeDefaults>
  <w:decimalSymbol w:val="."/>
  <w:listSeparator w:val=","/>
  <w14:docId w14:val="2085402B"/>
  <w15:docId w15:val="{7D28CF11-D6CE-46CC-B0B4-794EE152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C23"/>
    <w:pPr>
      <w:spacing w:before="120" w:line="264" w:lineRule="auto"/>
      <w:jc w:val="both"/>
    </w:pPr>
    <w:rPr>
      <w:sz w:val="22"/>
    </w:rPr>
  </w:style>
  <w:style w:type="paragraph" w:styleId="Heading1">
    <w:name w:val="heading 1"/>
    <w:basedOn w:val="Normal"/>
    <w:next w:val="Normal"/>
    <w:qFormat/>
    <w:rsid w:val="00DC765B"/>
    <w:pPr>
      <w:keepNext/>
      <w:spacing w:before="240" w:after="60"/>
      <w:outlineLvl w:val="0"/>
    </w:pPr>
    <w:rPr>
      <w:rFonts w:ascii="Arial" w:hAnsi="Arial"/>
      <w:b/>
      <w:kern w:val="28"/>
      <w:sz w:val="28"/>
    </w:rPr>
  </w:style>
  <w:style w:type="paragraph" w:styleId="Heading2">
    <w:name w:val="heading 2"/>
    <w:basedOn w:val="Normal"/>
    <w:next w:val="Normal"/>
    <w:qFormat/>
    <w:rsid w:val="00581020"/>
    <w:pPr>
      <w:keepNext/>
      <w:spacing w:before="240" w:after="60"/>
      <w:jc w:val="center"/>
      <w:outlineLvl w:val="1"/>
    </w:pPr>
    <w:rPr>
      <w:rFonts w:ascii="Arial" w:hAnsi="Arial"/>
      <w:b/>
      <w:i/>
      <w:sz w:val="24"/>
    </w:rPr>
  </w:style>
  <w:style w:type="paragraph" w:styleId="Heading3">
    <w:name w:val="heading 3"/>
    <w:basedOn w:val="Normal"/>
    <w:next w:val="Normal"/>
    <w:link w:val="Heading3Char"/>
    <w:qFormat/>
    <w:rsid w:val="00DC765B"/>
    <w:pPr>
      <w:keepNext/>
      <w:spacing w:after="60"/>
      <w:jc w:val="center"/>
      <w:outlineLvl w:val="2"/>
    </w:pPr>
    <w:rPr>
      <w:rFonts w:ascii="Arial" w:hAnsi="Arial" w:cs="Arial"/>
      <w:b/>
      <w:bCs/>
      <w:kern w:val="24"/>
      <w:sz w:val="24"/>
    </w:rPr>
  </w:style>
  <w:style w:type="paragraph" w:styleId="Heading4">
    <w:name w:val="heading 4"/>
    <w:basedOn w:val="Normal"/>
    <w:next w:val="Normal"/>
    <w:link w:val="Heading4Char"/>
    <w:qFormat/>
    <w:rsid w:val="00DC765B"/>
    <w:pPr>
      <w:keepNext/>
      <w:ind w:hanging="10"/>
      <w:outlineLvl w:val="3"/>
    </w:pPr>
    <w:rPr>
      <w:rFonts w:ascii="Arial" w:hAnsi="Arial" w:cs="Arial"/>
      <w:b/>
      <w:bCs/>
      <w:sz w:val="20"/>
    </w:rPr>
  </w:style>
  <w:style w:type="paragraph" w:styleId="Heading5">
    <w:name w:val="heading 5"/>
    <w:basedOn w:val="Normal"/>
    <w:next w:val="Normal"/>
    <w:qFormat/>
    <w:rsid w:val="00DC765B"/>
    <w:pPr>
      <w:keepNext/>
      <w:jc w:val="center"/>
      <w:outlineLvl w:val="4"/>
    </w:pPr>
    <w:rPr>
      <w:b/>
      <w:bCs/>
    </w:rPr>
  </w:style>
  <w:style w:type="paragraph" w:styleId="Heading7">
    <w:name w:val="heading 7"/>
    <w:basedOn w:val="Normal"/>
    <w:next w:val="Normal"/>
    <w:qFormat/>
    <w:rsid w:val="00DC765B"/>
    <w:pPr>
      <w:keepNext/>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dent">
    <w:name w:val="nodent"/>
    <w:basedOn w:val="Normal"/>
    <w:rsid w:val="00DC765B"/>
  </w:style>
  <w:style w:type="paragraph" w:customStyle="1" w:styleId="MTDisplayEquation">
    <w:name w:val="MTDisplayEquation"/>
    <w:basedOn w:val="Normal"/>
    <w:rsid w:val="00DC765B"/>
    <w:pPr>
      <w:tabs>
        <w:tab w:val="center" w:pos="4320"/>
        <w:tab w:val="right" w:pos="8640"/>
      </w:tabs>
    </w:pPr>
  </w:style>
  <w:style w:type="paragraph" w:styleId="FootnoteText">
    <w:name w:val="footnote text"/>
    <w:basedOn w:val="Normal"/>
    <w:link w:val="FootnoteTextChar"/>
    <w:semiHidden/>
    <w:rsid w:val="00DC765B"/>
    <w:pPr>
      <w:ind w:firstLine="180"/>
    </w:pPr>
    <w:rPr>
      <w:sz w:val="20"/>
    </w:rPr>
  </w:style>
  <w:style w:type="character" w:styleId="FootnoteReference">
    <w:name w:val="footnote reference"/>
    <w:semiHidden/>
    <w:rsid w:val="00DC765B"/>
    <w:rPr>
      <w:vertAlign w:val="superscript"/>
    </w:rPr>
  </w:style>
  <w:style w:type="paragraph" w:customStyle="1" w:styleId="item">
    <w:name w:val="item"/>
    <w:basedOn w:val="nodent"/>
    <w:rsid w:val="00DC765B"/>
    <w:pPr>
      <w:tabs>
        <w:tab w:val="left" w:pos="1080"/>
      </w:tabs>
      <w:ind w:left="1080" w:hanging="360"/>
    </w:pPr>
  </w:style>
  <w:style w:type="character" w:customStyle="1" w:styleId="MTEquationSection">
    <w:name w:val="MTEquationSection"/>
    <w:rsid w:val="00DC765B"/>
    <w:rPr>
      <w:vanish/>
      <w:color w:val="FF0000"/>
    </w:rPr>
  </w:style>
  <w:style w:type="paragraph" w:styleId="Header">
    <w:name w:val="header"/>
    <w:basedOn w:val="Normal"/>
    <w:rsid w:val="00DC765B"/>
    <w:pPr>
      <w:tabs>
        <w:tab w:val="center" w:pos="4320"/>
        <w:tab w:val="right" w:pos="8640"/>
      </w:tabs>
    </w:pPr>
  </w:style>
  <w:style w:type="paragraph" w:styleId="Footer">
    <w:name w:val="footer"/>
    <w:basedOn w:val="Normal"/>
    <w:rsid w:val="00DC765B"/>
    <w:pPr>
      <w:tabs>
        <w:tab w:val="center" w:pos="4320"/>
        <w:tab w:val="right" w:pos="8640"/>
      </w:tabs>
    </w:pPr>
  </w:style>
  <w:style w:type="character" w:styleId="PageNumber">
    <w:name w:val="page number"/>
    <w:basedOn w:val="DefaultParagraphFont"/>
    <w:rsid w:val="00DC765B"/>
  </w:style>
  <w:style w:type="character" w:styleId="Hyperlink">
    <w:name w:val="Hyperlink"/>
    <w:rsid w:val="00DC765B"/>
    <w:rPr>
      <w:color w:val="0000FF"/>
      <w:u w:val="single"/>
    </w:rPr>
  </w:style>
  <w:style w:type="paragraph" w:styleId="BodyText">
    <w:name w:val="Body Text"/>
    <w:basedOn w:val="Normal"/>
    <w:rsid w:val="00DC765B"/>
    <w:rPr>
      <w:sz w:val="24"/>
      <w:szCs w:val="24"/>
    </w:rPr>
  </w:style>
  <w:style w:type="paragraph" w:customStyle="1" w:styleId="Exhibit">
    <w:name w:val="Exhibit"/>
    <w:basedOn w:val="Normal"/>
    <w:rsid w:val="00DC765B"/>
    <w:pPr>
      <w:spacing w:after="120"/>
      <w:jc w:val="center"/>
    </w:pPr>
    <w:rPr>
      <w:b/>
      <w:bCs/>
    </w:rPr>
  </w:style>
  <w:style w:type="paragraph" w:styleId="Title">
    <w:name w:val="Title"/>
    <w:basedOn w:val="Normal"/>
    <w:qFormat/>
    <w:rsid w:val="00DC765B"/>
    <w:pPr>
      <w:spacing w:before="240" w:after="60"/>
      <w:jc w:val="center"/>
      <w:outlineLvl w:val="0"/>
    </w:pPr>
    <w:rPr>
      <w:rFonts w:ascii="Arial" w:hAnsi="Arial" w:cs="Arial"/>
      <w:b/>
      <w:bCs/>
      <w:kern w:val="28"/>
      <w:sz w:val="32"/>
      <w:szCs w:val="32"/>
    </w:rPr>
  </w:style>
  <w:style w:type="paragraph" w:customStyle="1" w:styleId="Tabletext">
    <w:name w:val="Table_text"/>
    <w:basedOn w:val="Normal"/>
    <w:rsid w:val="00DC765B"/>
    <w:pPr>
      <w:ind w:left="142"/>
    </w:pPr>
    <w:rPr>
      <w:rFonts w:ascii="Arial" w:hAnsi="Arial"/>
      <w:sz w:val="20"/>
    </w:rPr>
  </w:style>
  <w:style w:type="character" w:styleId="FollowedHyperlink">
    <w:name w:val="FollowedHyperlink"/>
    <w:rsid w:val="00DC765B"/>
    <w:rPr>
      <w:color w:val="800080"/>
      <w:u w:val="single"/>
    </w:rPr>
  </w:style>
  <w:style w:type="paragraph" w:customStyle="1" w:styleId="AGSM">
    <w:name w:val="AGSM"/>
    <w:basedOn w:val="Heading1"/>
    <w:rsid w:val="00DC765B"/>
    <w:pPr>
      <w:framePr w:hSpace="180" w:wrap="notBeside" w:vAnchor="text" w:hAnchor="margin" w:y="-324"/>
      <w:spacing w:before="120" w:after="0"/>
    </w:pPr>
    <w:rPr>
      <w:rFonts w:ascii="Arial Black" w:hAnsi="Arial Black" w:cs="Arial"/>
      <w:sz w:val="24"/>
    </w:rPr>
  </w:style>
  <w:style w:type="paragraph" w:customStyle="1" w:styleId="IDNumber">
    <w:name w:val="ID_Number"/>
    <w:basedOn w:val="Heading1"/>
    <w:rsid w:val="00DC765B"/>
    <w:pPr>
      <w:framePr w:hSpace="180" w:wrap="notBeside" w:vAnchor="text" w:hAnchor="margin" w:y="-324"/>
      <w:spacing w:before="120" w:after="0"/>
      <w:jc w:val="right"/>
    </w:pPr>
    <w:rPr>
      <w:rFonts w:cs="Arial"/>
      <w:b w:val="0"/>
      <w:bCs/>
      <w:sz w:val="22"/>
    </w:rPr>
  </w:style>
  <w:style w:type="paragraph" w:customStyle="1" w:styleId="Copyright">
    <w:name w:val="Copyright"/>
    <w:basedOn w:val="Heading4"/>
    <w:rsid w:val="00DC765B"/>
    <w:rPr>
      <w:b w:val="0"/>
      <w:bCs w:val="0"/>
      <w:sz w:val="18"/>
    </w:rPr>
  </w:style>
  <w:style w:type="paragraph" w:customStyle="1" w:styleId="TableInTitle">
    <w:name w:val="Table_In_Title"/>
    <w:basedOn w:val="Tabletext"/>
    <w:rsid w:val="00DC765B"/>
    <w:pPr>
      <w:jc w:val="center"/>
    </w:pPr>
    <w:rPr>
      <w:rFonts w:cs="Arial"/>
      <w:b/>
      <w:bCs/>
    </w:rPr>
  </w:style>
  <w:style w:type="paragraph" w:styleId="BodyText2">
    <w:name w:val="Body Text 2"/>
    <w:basedOn w:val="Normal"/>
    <w:link w:val="BodyText2Char"/>
    <w:rsid w:val="00DC765B"/>
    <w:pPr>
      <w:tabs>
        <w:tab w:val="left" w:pos="3150"/>
      </w:tabs>
      <w:jc w:val="left"/>
    </w:pPr>
  </w:style>
  <w:style w:type="character" w:customStyle="1" w:styleId="ExcelFunction">
    <w:name w:val="Excel Function"/>
    <w:rsid w:val="00DC765B"/>
    <w:rPr>
      <w:rFonts w:ascii="Arial" w:hAnsi="Arial"/>
      <w:b/>
      <w:smallCaps/>
      <w:sz w:val="20"/>
    </w:rPr>
  </w:style>
  <w:style w:type="table" w:styleId="TableGrid">
    <w:name w:val="Table Grid"/>
    <w:basedOn w:val="TableNormal"/>
    <w:uiPriority w:val="59"/>
    <w:rsid w:val="00FF2C8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yle10ptPatternClearGray-10">
    <w:name w:val="Style 10 pt Pattern: Clear (Gray-10%)"/>
    <w:rsid w:val="00DC52D5"/>
    <w:rPr>
      <w:sz w:val="20"/>
      <w:bdr w:val="none" w:sz="0" w:space="0" w:color="auto"/>
      <w:shd w:val="clear" w:color="auto" w:fill="auto"/>
    </w:rPr>
  </w:style>
  <w:style w:type="character" w:customStyle="1" w:styleId="Heading3Char">
    <w:name w:val="Heading 3 Char"/>
    <w:link w:val="Heading3"/>
    <w:rsid w:val="001C02FB"/>
    <w:rPr>
      <w:rFonts w:ascii="Arial" w:hAnsi="Arial" w:cs="Arial"/>
      <w:b/>
      <w:bCs/>
      <w:kern w:val="24"/>
      <w:sz w:val="24"/>
    </w:rPr>
  </w:style>
  <w:style w:type="character" w:customStyle="1" w:styleId="Heading4Char">
    <w:name w:val="Heading 4 Char"/>
    <w:link w:val="Heading4"/>
    <w:rsid w:val="001C02FB"/>
    <w:rPr>
      <w:rFonts w:ascii="Arial" w:hAnsi="Arial" w:cs="Arial"/>
      <w:b/>
      <w:bCs/>
    </w:rPr>
  </w:style>
  <w:style w:type="character" w:customStyle="1" w:styleId="FootnoteTextChar">
    <w:name w:val="Footnote Text Char"/>
    <w:basedOn w:val="DefaultParagraphFont"/>
    <w:link w:val="FootnoteText"/>
    <w:semiHidden/>
    <w:rsid w:val="001C02FB"/>
  </w:style>
  <w:style w:type="character" w:customStyle="1" w:styleId="BodyText2Char">
    <w:name w:val="Body Text 2 Char"/>
    <w:link w:val="BodyText2"/>
    <w:rsid w:val="001C02FB"/>
    <w:rPr>
      <w:sz w:val="22"/>
    </w:rPr>
  </w:style>
  <w:style w:type="paragraph" w:styleId="Caption">
    <w:name w:val="caption"/>
    <w:basedOn w:val="Normal"/>
    <w:next w:val="Normal"/>
    <w:uiPriority w:val="35"/>
    <w:unhideWhenUsed/>
    <w:qFormat/>
    <w:rsid w:val="00652FDE"/>
    <w:rPr>
      <w:b/>
      <w:bCs/>
      <w:sz w:val="20"/>
    </w:rPr>
  </w:style>
  <w:style w:type="paragraph" w:styleId="BalloonText">
    <w:name w:val="Balloon Text"/>
    <w:basedOn w:val="Normal"/>
    <w:link w:val="BalloonTextChar"/>
    <w:uiPriority w:val="99"/>
    <w:semiHidden/>
    <w:unhideWhenUsed/>
    <w:rsid w:val="00525E7D"/>
    <w:pPr>
      <w:spacing w:before="0"/>
    </w:pPr>
    <w:rPr>
      <w:rFonts w:ascii="Tahoma" w:hAnsi="Tahoma" w:cs="Tahoma"/>
      <w:sz w:val="16"/>
      <w:szCs w:val="16"/>
    </w:rPr>
  </w:style>
  <w:style w:type="character" w:customStyle="1" w:styleId="BalloonTextChar">
    <w:name w:val="Balloon Text Char"/>
    <w:link w:val="BalloonText"/>
    <w:uiPriority w:val="99"/>
    <w:semiHidden/>
    <w:rsid w:val="00525E7D"/>
    <w:rPr>
      <w:rFonts w:ascii="Tahoma" w:hAnsi="Tahoma" w:cs="Tahoma"/>
      <w:sz w:val="16"/>
      <w:szCs w:val="16"/>
    </w:rPr>
  </w:style>
  <w:style w:type="paragraph" w:customStyle="1" w:styleId="blockindented">
    <w:name w:val="blockindented"/>
    <w:basedOn w:val="Normal"/>
    <w:qFormat/>
    <w:rsid w:val="00916C2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78313">
      <w:bodyDiv w:val="1"/>
      <w:marLeft w:val="0"/>
      <w:marRight w:val="0"/>
      <w:marTop w:val="0"/>
      <w:marBottom w:val="0"/>
      <w:divBdr>
        <w:top w:val="none" w:sz="0" w:space="0" w:color="auto"/>
        <w:left w:val="none" w:sz="0" w:space="0" w:color="auto"/>
        <w:bottom w:val="none" w:sz="0" w:space="0" w:color="auto"/>
        <w:right w:val="none" w:sz="0" w:space="0" w:color="auto"/>
      </w:divBdr>
    </w:div>
    <w:div w:id="187959352">
      <w:bodyDiv w:val="1"/>
      <w:marLeft w:val="0"/>
      <w:marRight w:val="0"/>
      <w:marTop w:val="0"/>
      <w:marBottom w:val="0"/>
      <w:divBdr>
        <w:top w:val="none" w:sz="0" w:space="0" w:color="auto"/>
        <w:left w:val="none" w:sz="0" w:space="0" w:color="auto"/>
        <w:bottom w:val="none" w:sz="0" w:space="0" w:color="auto"/>
        <w:right w:val="none" w:sz="0" w:space="0" w:color="auto"/>
      </w:divBdr>
    </w:div>
    <w:div w:id="191647226">
      <w:bodyDiv w:val="1"/>
      <w:marLeft w:val="0"/>
      <w:marRight w:val="0"/>
      <w:marTop w:val="0"/>
      <w:marBottom w:val="0"/>
      <w:divBdr>
        <w:top w:val="none" w:sz="0" w:space="0" w:color="auto"/>
        <w:left w:val="none" w:sz="0" w:space="0" w:color="auto"/>
        <w:bottom w:val="none" w:sz="0" w:space="0" w:color="auto"/>
        <w:right w:val="none" w:sz="0" w:space="0" w:color="auto"/>
      </w:divBdr>
    </w:div>
    <w:div w:id="286357748">
      <w:bodyDiv w:val="1"/>
      <w:marLeft w:val="0"/>
      <w:marRight w:val="0"/>
      <w:marTop w:val="0"/>
      <w:marBottom w:val="0"/>
      <w:divBdr>
        <w:top w:val="none" w:sz="0" w:space="0" w:color="auto"/>
        <w:left w:val="none" w:sz="0" w:space="0" w:color="auto"/>
        <w:bottom w:val="none" w:sz="0" w:space="0" w:color="auto"/>
        <w:right w:val="none" w:sz="0" w:space="0" w:color="auto"/>
      </w:divBdr>
    </w:div>
    <w:div w:id="565652263">
      <w:bodyDiv w:val="1"/>
      <w:marLeft w:val="0"/>
      <w:marRight w:val="0"/>
      <w:marTop w:val="0"/>
      <w:marBottom w:val="0"/>
      <w:divBdr>
        <w:top w:val="none" w:sz="0" w:space="0" w:color="auto"/>
        <w:left w:val="none" w:sz="0" w:space="0" w:color="auto"/>
        <w:bottom w:val="none" w:sz="0" w:space="0" w:color="auto"/>
        <w:right w:val="none" w:sz="0" w:space="0" w:color="auto"/>
      </w:divBdr>
    </w:div>
    <w:div w:id="664553984">
      <w:bodyDiv w:val="1"/>
      <w:marLeft w:val="0"/>
      <w:marRight w:val="0"/>
      <w:marTop w:val="0"/>
      <w:marBottom w:val="0"/>
      <w:divBdr>
        <w:top w:val="none" w:sz="0" w:space="0" w:color="auto"/>
        <w:left w:val="none" w:sz="0" w:space="0" w:color="auto"/>
        <w:bottom w:val="none" w:sz="0" w:space="0" w:color="auto"/>
        <w:right w:val="none" w:sz="0" w:space="0" w:color="auto"/>
      </w:divBdr>
    </w:div>
    <w:div w:id="786198807">
      <w:bodyDiv w:val="1"/>
      <w:marLeft w:val="0"/>
      <w:marRight w:val="0"/>
      <w:marTop w:val="0"/>
      <w:marBottom w:val="0"/>
      <w:divBdr>
        <w:top w:val="none" w:sz="0" w:space="0" w:color="auto"/>
        <w:left w:val="none" w:sz="0" w:space="0" w:color="auto"/>
        <w:bottom w:val="none" w:sz="0" w:space="0" w:color="auto"/>
        <w:right w:val="none" w:sz="0" w:space="0" w:color="auto"/>
      </w:divBdr>
    </w:div>
    <w:div w:id="810513929">
      <w:bodyDiv w:val="1"/>
      <w:marLeft w:val="0"/>
      <w:marRight w:val="0"/>
      <w:marTop w:val="0"/>
      <w:marBottom w:val="0"/>
      <w:divBdr>
        <w:top w:val="none" w:sz="0" w:space="0" w:color="auto"/>
        <w:left w:val="none" w:sz="0" w:space="0" w:color="auto"/>
        <w:bottom w:val="none" w:sz="0" w:space="0" w:color="auto"/>
        <w:right w:val="none" w:sz="0" w:space="0" w:color="auto"/>
      </w:divBdr>
    </w:div>
    <w:div w:id="1145202796">
      <w:bodyDiv w:val="1"/>
      <w:marLeft w:val="0"/>
      <w:marRight w:val="0"/>
      <w:marTop w:val="0"/>
      <w:marBottom w:val="0"/>
      <w:divBdr>
        <w:top w:val="none" w:sz="0" w:space="0" w:color="auto"/>
        <w:left w:val="none" w:sz="0" w:space="0" w:color="auto"/>
        <w:bottom w:val="none" w:sz="0" w:space="0" w:color="auto"/>
        <w:right w:val="none" w:sz="0" w:space="0" w:color="auto"/>
      </w:divBdr>
    </w:div>
    <w:div w:id="1307199716">
      <w:bodyDiv w:val="1"/>
      <w:marLeft w:val="0"/>
      <w:marRight w:val="0"/>
      <w:marTop w:val="0"/>
      <w:marBottom w:val="0"/>
      <w:divBdr>
        <w:top w:val="none" w:sz="0" w:space="0" w:color="auto"/>
        <w:left w:val="none" w:sz="0" w:space="0" w:color="auto"/>
        <w:bottom w:val="none" w:sz="0" w:space="0" w:color="auto"/>
        <w:right w:val="none" w:sz="0" w:space="0" w:color="auto"/>
      </w:divBdr>
    </w:div>
    <w:div w:id="1351646658">
      <w:bodyDiv w:val="1"/>
      <w:marLeft w:val="0"/>
      <w:marRight w:val="0"/>
      <w:marTop w:val="0"/>
      <w:marBottom w:val="0"/>
      <w:divBdr>
        <w:top w:val="none" w:sz="0" w:space="0" w:color="auto"/>
        <w:left w:val="none" w:sz="0" w:space="0" w:color="auto"/>
        <w:bottom w:val="none" w:sz="0" w:space="0" w:color="auto"/>
        <w:right w:val="none" w:sz="0" w:space="0" w:color="auto"/>
      </w:divBdr>
    </w:div>
    <w:div w:id="1512918150">
      <w:bodyDiv w:val="1"/>
      <w:marLeft w:val="0"/>
      <w:marRight w:val="0"/>
      <w:marTop w:val="0"/>
      <w:marBottom w:val="0"/>
      <w:divBdr>
        <w:top w:val="none" w:sz="0" w:space="0" w:color="auto"/>
        <w:left w:val="none" w:sz="0" w:space="0" w:color="auto"/>
        <w:bottom w:val="none" w:sz="0" w:space="0" w:color="auto"/>
        <w:right w:val="none" w:sz="0" w:space="0" w:color="auto"/>
      </w:divBdr>
    </w:div>
    <w:div w:id="1703702609">
      <w:bodyDiv w:val="1"/>
      <w:marLeft w:val="0"/>
      <w:marRight w:val="0"/>
      <w:marTop w:val="0"/>
      <w:marBottom w:val="0"/>
      <w:divBdr>
        <w:top w:val="none" w:sz="0" w:space="0" w:color="auto"/>
        <w:left w:val="none" w:sz="0" w:space="0" w:color="auto"/>
        <w:bottom w:val="none" w:sz="0" w:space="0" w:color="auto"/>
        <w:right w:val="none" w:sz="0" w:space="0" w:color="auto"/>
      </w:divBdr>
    </w:div>
    <w:div w:id="1810857060">
      <w:bodyDiv w:val="1"/>
      <w:marLeft w:val="0"/>
      <w:marRight w:val="0"/>
      <w:marTop w:val="0"/>
      <w:marBottom w:val="0"/>
      <w:divBdr>
        <w:top w:val="none" w:sz="0" w:space="0" w:color="auto"/>
        <w:left w:val="none" w:sz="0" w:space="0" w:color="auto"/>
        <w:bottom w:val="none" w:sz="0" w:space="0" w:color="auto"/>
        <w:right w:val="none" w:sz="0" w:space="0" w:color="auto"/>
      </w:divBdr>
    </w:div>
    <w:div w:id="1823696727">
      <w:bodyDiv w:val="1"/>
      <w:marLeft w:val="0"/>
      <w:marRight w:val="0"/>
      <w:marTop w:val="0"/>
      <w:marBottom w:val="0"/>
      <w:divBdr>
        <w:top w:val="none" w:sz="0" w:space="0" w:color="auto"/>
        <w:left w:val="none" w:sz="0" w:space="0" w:color="auto"/>
        <w:bottom w:val="none" w:sz="0" w:space="0" w:color="auto"/>
        <w:right w:val="none" w:sz="0" w:space="0" w:color="auto"/>
      </w:divBdr>
    </w:div>
    <w:div w:id="188941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9.bin"/><Relationship Id="rId3" Type="http://schemas.openxmlformats.org/officeDocument/2006/relationships/settings" Target="settings.xml"/><Relationship Id="rId21" Type="http://schemas.openxmlformats.org/officeDocument/2006/relationships/image" Target="media/image9.wmf"/><Relationship Id="rId34" Type="http://schemas.openxmlformats.org/officeDocument/2006/relationships/footer" Target="footer3.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1.wmf"/><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10.wmf"/><Relationship Id="rId28" Type="http://schemas.openxmlformats.org/officeDocument/2006/relationships/oleObject" Target="embeddings/oleObject10.bin"/><Relationship Id="rId36"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7.bin"/><Relationship Id="rId27" Type="http://schemas.openxmlformats.org/officeDocument/2006/relationships/image" Target="media/image12.wmf"/><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Numbers%20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Numbers 101.dot</Template>
  <TotalTime>1</TotalTime>
  <Pages>12</Pages>
  <Words>4121</Words>
  <Characters>20442</Characters>
  <Application>Microsoft Office Word</Application>
  <DocSecurity>0</DocSecurity>
  <Lines>371</Lines>
  <Paragraphs>149</Paragraphs>
  <ScaleCrop>false</ScaleCrop>
  <HeadingPairs>
    <vt:vector size="2" baseType="variant">
      <vt:variant>
        <vt:lpstr>Title</vt:lpstr>
      </vt:variant>
      <vt:variant>
        <vt:i4>1</vt:i4>
      </vt:variant>
    </vt:vector>
  </HeadingPairs>
  <TitlesOfParts>
    <vt:vector size="1" baseType="lpstr">
      <vt:lpstr>Margins, Markups, and Break-Evens</vt:lpstr>
    </vt:vector>
  </TitlesOfParts>
  <Company>The Anderson School at UCLA</Company>
  <LinksUpToDate>false</LinksUpToDate>
  <CharactersWithSpaces>24414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Margins, Markups, and Break-Evens</dc:title>
  <dc:subject/>
  <dc:creator>Richard P. Rumelt</dc:creator>
  <cp:keywords/>
  <dc:description/>
  <cp:lastModifiedBy>Richard Rumelt</cp:lastModifiedBy>
  <cp:revision>2</cp:revision>
  <cp:lastPrinted>2010-03-06T00:03:00Z</cp:lastPrinted>
  <dcterms:created xsi:type="dcterms:W3CDTF">2026-04-13T22:35:00Z</dcterms:created>
  <dcterms:modified xsi:type="dcterms:W3CDTF">2026-04-13T22:35:00Z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