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charts/chart4.xml" ContentType="application/vnd.openxmlformats-officedocument.drawingml.chart+xml"/>
  <Override PartName="/word/drawings/drawing3.xml" ContentType="application/vnd.openxmlformats-officedocument.drawingml.chartshapes+xml"/>
  <Override PartName="/word/charts/chart5.xml" ContentType="application/vnd.openxmlformats-officedocument.drawingml.chart+xml"/>
  <Override PartName="/word/drawings/drawing4.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A3494" w14:textId="4B5FA5F2" w:rsidR="00CA50B2" w:rsidRDefault="006F6CAE" w:rsidP="00BF1D91">
      <w:pPr>
        <w:pStyle w:val="Heading1"/>
        <w:tabs>
          <w:tab w:val="left" w:pos="963"/>
        </w:tabs>
        <w:jc w:val="center"/>
      </w:pPr>
      <w:r>
        <w:t>Diffusion of Innovation and Fitting Sigmoid Curves</w:t>
      </w:r>
    </w:p>
    <w:p w14:paraId="2D49E780" w14:textId="0C8CC7E6" w:rsidR="00560AD5" w:rsidRPr="00560AD5" w:rsidRDefault="00560AD5" w:rsidP="00560AD5">
      <w:pPr>
        <w:jc w:val="center"/>
        <w:rPr>
          <w:sz w:val="28"/>
          <w:szCs w:val="28"/>
        </w:rPr>
      </w:pPr>
      <w:r w:rsidRPr="00560AD5">
        <w:rPr>
          <w:sz w:val="28"/>
          <w:szCs w:val="28"/>
        </w:rPr>
        <w:t>Richard P. Rumelt</w:t>
      </w:r>
    </w:p>
    <w:p w14:paraId="3AEFD50D" w14:textId="77777777" w:rsidR="00875731" w:rsidRPr="00560AD5" w:rsidRDefault="00875731" w:rsidP="00560AD5">
      <w:pPr>
        <w:jc w:val="center"/>
        <w:rPr>
          <w:sz w:val="28"/>
          <w:szCs w:val="28"/>
        </w:rPr>
      </w:pPr>
    </w:p>
    <w:p w14:paraId="1DCD31E9" w14:textId="77777777" w:rsidR="006F6CAE" w:rsidRDefault="006F6CAE" w:rsidP="006F6CAE">
      <w:pPr>
        <w:pStyle w:val="Caption"/>
        <w:framePr w:w="7906" w:h="9346" w:hRule="exact" w:hSpace="187" w:vSpace="288" w:wrap="notBeside" w:vAnchor="page" w:hAnchor="page" w:x="2094" w:y="4606"/>
      </w:pPr>
      <w:bookmarkStart w:id="0" w:name="_Ref255745076"/>
      <w:r>
        <w:t xml:space="preserve">Exhibit </w:t>
      </w:r>
      <w:fldSimple w:instr=" SEQ Exhibit \* ARABIC ">
        <w:r w:rsidR="003066CB">
          <w:rPr>
            <w:noProof/>
          </w:rPr>
          <w:t>1</w:t>
        </w:r>
      </w:fldSimple>
      <w:bookmarkEnd w:id="0"/>
      <w:r>
        <w:t>—Sigmoid Curves</w:t>
      </w:r>
    </w:p>
    <w:p w14:paraId="6400777B" w14:textId="77777777" w:rsidR="006F6CAE" w:rsidRDefault="005F2C8D" w:rsidP="006F6CAE">
      <w:pPr>
        <w:framePr w:w="7906" w:h="9346" w:hRule="exact" w:hSpace="187" w:vSpace="288" w:wrap="notBeside" w:vAnchor="page" w:hAnchor="page" w:x="2094" w:y="4606"/>
        <w:shd w:val="solid" w:color="FFFFFF" w:fill="FFFFFF"/>
      </w:pPr>
      <w:r>
        <w:rPr>
          <w:noProof/>
        </w:rPr>
        <w:drawing>
          <wp:inline distT="0" distB="0" distL="0" distR="0" wp14:anchorId="14D0D80D" wp14:editId="2AFD2BC3">
            <wp:extent cx="4572762" cy="2746629"/>
            <wp:effectExtent l="12192" t="6096" r="6096" b="0"/>
            <wp:docPr id="1"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r>
        <w:rPr>
          <w:noProof/>
        </w:rPr>
        <w:drawing>
          <wp:inline distT="0" distB="0" distL="0" distR="0" wp14:anchorId="4D84A4CA" wp14:editId="74B2C820">
            <wp:extent cx="4572762" cy="2746629"/>
            <wp:effectExtent l="12192" t="6096" r="6096" b="0"/>
            <wp:docPr id="2" name="Chart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0F4A099" w14:textId="77777777" w:rsidR="00875731" w:rsidRDefault="00565897" w:rsidP="00875731">
      <w:r>
        <w:t>This technical note covers the use of sigmoid or “S-shaped” growth models in forecasting. Such models apply when there are limits to growth so that initial high rates of growth slow as the ca</w:t>
      </w:r>
      <w:r w:rsidR="00687614" w:rsidRPr="00687614">
        <w:t>rr</w:t>
      </w:r>
      <w:r>
        <w:t>ying capacity of the economic or biological environment is reached.</w:t>
      </w:r>
    </w:p>
    <w:p w14:paraId="43C1CB2C" w14:textId="77777777" w:rsidR="004C7B82" w:rsidRDefault="00565897" w:rsidP="00997006">
      <w:r>
        <w:t xml:space="preserve">A quantity </w:t>
      </w:r>
      <w:r w:rsidRPr="00565897">
        <w:rPr>
          <w:i/>
        </w:rPr>
        <w:t>Y</w:t>
      </w:r>
      <w:r>
        <w:t xml:space="preserve">  is observed over time with </w:t>
      </w:r>
      <w:r w:rsidRPr="00565897">
        <w:rPr>
          <w:position w:val="-10"/>
        </w:rPr>
        <w:object w:dxaOrig="520" w:dyaOrig="320" w14:anchorId="09B45F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5pt;height:15.75pt" o:ole="">
            <v:imagedata r:id="rId9" o:title=""/>
          </v:shape>
          <o:OLEObject Type="Embed" ProgID="Equation.DSMT4" ShapeID="_x0000_i1025" DrawAspect="Content" ObjectID="_1837602289" r:id="rId10"/>
        </w:object>
      </w:r>
      <w:r>
        <w:t xml:space="preserve">being its value at time </w:t>
      </w:r>
      <w:r w:rsidRPr="00565897">
        <w:rPr>
          <w:i/>
        </w:rPr>
        <w:t>x</w:t>
      </w:r>
      <w:r>
        <w:t xml:space="preserve">.  Denote its rate of </w:t>
      </w:r>
      <w:r>
        <w:lastRenderedPageBreak/>
        <w:t xml:space="preserve">increase at time </w:t>
      </w:r>
      <w:r w:rsidRPr="00565897">
        <w:rPr>
          <w:i/>
        </w:rPr>
        <w:t>x</w:t>
      </w:r>
      <w:r>
        <w:t xml:space="preserve"> as </w:t>
      </w:r>
      <w:r w:rsidRPr="00565897">
        <w:rPr>
          <w:position w:val="-10"/>
        </w:rPr>
        <w:object w:dxaOrig="580" w:dyaOrig="320" w14:anchorId="67B8C132">
          <v:shape id="_x0000_i1026" type="#_x0000_t75" style="width:29.25pt;height:15.75pt" o:ole="">
            <v:imagedata r:id="rId11" o:title=""/>
          </v:shape>
          <o:OLEObject Type="Embed" ProgID="Equation.DSMT4" ShapeID="_x0000_i1026" DrawAspect="Content" ObjectID="_1837602290" r:id="rId12"/>
        </w:object>
      </w:r>
      <w:r>
        <w:t xml:space="preserve">. Formally, </w:t>
      </w:r>
      <w:r w:rsidRPr="00565897">
        <w:rPr>
          <w:position w:val="-10"/>
        </w:rPr>
        <w:object w:dxaOrig="580" w:dyaOrig="320" w14:anchorId="35D88C28">
          <v:shape id="_x0000_i1027" type="#_x0000_t75" style="width:29.25pt;height:15.75pt" o:ole="">
            <v:imagedata r:id="rId11" o:title=""/>
          </v:shape>
          <o:OLEObject Type="Embed" ProgID="Equation.DSMT4" ShapeID="_x0000_i1027" DrawAspect="Content" ObjectID="_1837602291" r:id="rId13"/>
        </w:object>
      </w:r>
      <w:r>
        <w:t xml:space="preserve"> is the derivative of </w:t>
      </w:r>
      <w:r w:rsidRPr="00565897">
        <w:rPr>
          <w:position w:val="-10"/>
        </w:rPr>
        <w:object w:dxaOrig="520" w:dyaOrig="320" w14:anchorId="4F85B113">
          <v:shape id="_x0000_i1028" type="#_x0000_t75" style="width:26.25pt;height:15.75pt" o:ole="">
            <v:imagedata r:id="rId9" o:title=""/>
          </v:shape>
          <o:OLEObject Type="Embed" ProgID="Equation.DSMT4" ShapeID="_x0000_i1028" DrawAspect="Content" ObjectID="_1837602292" r:id="rId14"/>
        </w:object>
      </w:r>
      <w:r>
        <w:t xml:space="preserve">or the slope of the curve at time </w:t>
      </w:r>
      <w:r w:rsidRPr="00565897">
        <w:rPr>
          <w:i/>
        </w:rPr>
        <w:t>x</w:t>
      </w:r>
      <w:r>
        <w:t xml:space="preserve">. </w:t>
      </w:r>
      <w:r w:rsidR="00997006">
        <w:t xml:space="preserve">In the literature on sigmoid growth this rate of expansion </w:t>
      </w:r>
      <w:r w:rsidR="00997006" w:rsidRPr="00997006">
        <w:rPr>
          <w:position w:val="-4"/>
        </w:rPr>
        <w:object w:dxaOrig="279" w:dyaOrig="260" w14:anchorId="56E6F7DF">
          <v:shape id="_x0000_i1029" type="#_x0000_t75" style="width:14.25pt;height:12.75pt" o:ole="">
            <v:imagedata r:id="rId15" o:title=""/>
          </v:shape>
          <o:OLEObject Type="Embed" ProgID="Equation.DSMT4" ShapeID="_x0000_i1029" DrawAspect="Content" ObjectID="_1837602293" r:id="rId16"/>
        </w:object>
      </w:r>
      <w:r w:rsidR="00997006">
        <w:t xml:space="preserve"> is often called the “rate of growth.” It is not. The growth rate of </w:t>
      </w:r>
      <w:r w:rsidR="00997006" w:rsidRPr="00997006">
        <w:rPr>
          <w:i/>
        </w:rPr>
        <w:t>Y</w:t>
      </w:r>
      <w:r w:rsidR="00997006">
        <w:t xml:space="preserve">  is the ratio of  </w:t>
      </w:r>
      <w:r w:rsidR="00997006" w:rsidRPr="00997006">
        <w:rPr>
          <w:i/>
        </w:rPr>
        <w:t>Y’</w:t>
      </w:r>
      <w:r w:rsidR="00997006">
        <w:t xml:space="preserve"> to </w:t>
      </w:r>
      <w:r w:rsidR="00997006">
        <w:rPr>
          <w:i/>
        </w:rPr>
        <w:t>.Y.</w:t>
      </w:r>
      <w:r w:rsidR="00997006">
        <w:t xml:space="preserve">  Here the growth rate </w:t>
      </w:r>
      <w:r w:rsidR="004C7B82">
        <w:t xml:space="preserve">of </w:t>
      </w:r>
      <w:r w:rsidR="004C7B82" w:rsidRPr="004C7B82">
        <w:rPr>
          <w:i/>
        </w:rPr>
        <w:t>Y</w:t>
      </w:r>
      <w:r w:rsidR="004C7B82">
        <w:t xml:space="preserve"> </w:t>
      </w:r>
      <w:r w:rsidR="00997006">
        <w:t xml:space="preserve">is denoted as </w:t>
      </w:r>
      <w:r w:rsidR="00997006" w:rsidRPr="00997006">
        <w:rPr>
          <w:position w:val="-12"/>
        </w:rPr>
        <w:object w:dxaOrig="1080" w:dyaOrig="360" w14:anchorId="75C01B46">
          <v:shape id="_x0000_i1030" type="#_x0000_t75" style="width:54pt;height:18pt" o:ole="">
            <v:imagedata r:id="rId17" o:title=""/>
          </v:shape>
          <o:OLEObject Type="Embed" ProgID="Equation.DSMT4" ShapeID="_x0000_i1030" DrawAspect="Content" ObjectID="_1837602294" r:id="rId18"/>
        </w:object>
      </w:r>
      <w:r w:rsidR="00997006">
        <w:t xml:space="preserve">. </w:t>
      </w:r>
      <w:r>
        <w:t xml:space="preserve"> </w:t>
      </w:r>
      <w:r w:rsidR="00997006">
        <w:t xml:space="preserve">If the rate of growth is constant we say that the growth is exponential. In this case </w:t>
      </w:r>
      <w:r w:rsidR="004C7B82" w:rsidRPr="004C7B82">
        <w:rPr>
          <w:position w:val="-4"/>
        </w:rPr>
        <w:object w:dxaOrig="780" w:dyaOrig="260" w14:anchorId="65E33088">
          <v:shape id="_x0000_i1031" type="#_x0000_t75" style="width:39pt;height:12.75pt" o:ole="">
            <v:imagedata r:id="rId19" o:title=""/>
          </v:shape>
          <o:OLEObject Type="Embed" ProgID="Equation.DSMT4" ShapeID="_x0000_i1031" DrawAspect="Content" ObjectID="_1837602295" r:id="rId20"/>
        </w:object>
      </w:r>
      <w:r w:rsidR="004C7B82">
        <w:t>so that the rate of expansion is proportional to the cu</w:t>
      </w:r>
      <w:r w:rsidR="00687614" w:rsidRPr="00687614">
        <w:t>rr</w:t>
      </w:r>
      <w:r w:rsidR="004C7B82">
        <w:t xml:space="preserve">ent level </w:t>
      </w:r>
      <w:r w:rsidR="004C7B82" w:rsidRPr="004C7B82">
        <w:rPr>
          <w:i/>
        </w:rPr>
        <w:t>Y</w:t>
      </w:r>
      <w:r w:rsidR="004C7B82">
        <w:t>. The solution to this differential equation is the standard expression for exponential growth:</w:t>
      </w:r>
    </w:p>
    <w:p w14:paraId="7C9C3CA9" w14:textId="77777777" w:rsidR="00997006" w:rsidRDefault="004C7B82" w:rsidP="004C7B82">
      <w:pPr>
        <w:pStyle w:val="MTDisplayEquation"/>
      </w:pPr>
      <w:r>
        <w:tab/>
      </w:r>
      <w:r w:rsidRPr="004C7B82">
        <w:rPr>
          <w:position w:val="-12"/>
        </w:rPr>
        <w:object w:dxaOrig="1200" w:dyaOrig="420" w14:anchorId="57C9C505">
          <v:shape id="_x0000_i1032" type="#_x0000_t75" style="width:60pt;height:21pt" o:ole="">
            <v:imagedata r:id="rId21" o:title=""/>
          </v:shape>
          <o:OLEObject Type="Embed" ProgID="Equation.DSMT4" ShapeID="_x0000_i1032" DrawAspect="Content" ObjectID="_1837602296" r:id="rId22"/>
        </w:object>
      </w:r>
      <w:r>
        <w:t>.</w:t>
      </w:r>
      <w:r>
        <w:tab/>
      </w:r>
      <w:r w:rsidR="00BF092B">
        <w:fldChar w:fldCharType="begin"/>
      </w:r>
      <w:r>
        <w:instrText xml:space="preserve"> MACROBUTTON MTPlaceRef \* MERGEFORMAT </w:instrText>
      </w:r>
      <w:r w:rsidR="00BF092B">
        <w:fldChar w:fldCharType="begin"/>
      </w:r>
      <w:r>
        <w:instrText xml:space="preserve"> SEQ MTEqn \h \* MERGEFORMAT </w:instrText>
      </w:r>
      <w:r w:rsidR="00BF092B">
        <w:fldChar w:fldCharType="end"/>
      </w:r>
      <w:r>
        <w:instrText>(</w:instrText>
      </w:r>
      <w:fldSimple w:instr=" SEQ MTEqn \c \* Arabic \* MERGEFORMAT ">
        <w:r w:rsidR="003066CB">
          <w:rPr>
            <w:noProof/>
          </w:rPr>
          <w:instrText>1</w:instrText>
        </w:r>
      </w:fldSimple>
      <w:r>
        <w:instrText>)</w:instrText>
      </w:r>
      <w:r w:rsidR="00BF092B">
        <w:fldChar w:fldCharType="end"/>
      </w:r>
    </w:p>
    <w:p w14:paraId="10D0175C" w14:textId="77777777" w:rsidR="004C7B82" w:rsidRDefault="004C7B82" w:rsidP="00875731"/>
    <w:p w14:paraId="1A1CD08F" w14:textId="77777777" w:rsidR="00BE0FE9" w:rsidRDefault="009B2487" w:rsidP="00875731">
      <w:r>
        <w:t xml:space="preserve">Sigmoid growth occurs at rate which declines over time. Different curves arise out of different assumptions about how and why this happens. </w:t>
      </w:r>
      <w:r w:rsidR="00BE0FE9">
        <w:t xml:space="preserve">The curve presented here is called the </w:t>
      </w:r>
      <w:r w:rsidR="00306213">
        <w:t>Richards</w:t>
      </w:r>
      <w:r w:rsidR="00BE0FE9">
        <w:t xml:space="preserve"> curve or, sometimes, the generalized logistic. </w:t>
      </w:r>
      <w:r w:rsidR="00AD14A8">
        <w:t xml:space="preserve">The commonly used logistic and Gompertz curves are special cases of the </w:t>
      </w:r>
      <w:r w:rsidR="00306213">
        <w:t>Richards</w:t>
      </w:r>
      <w:r w:rsidR="00AD14A8">
        <w:t xml:space="preserve"> curve.</w:t>
      </w:r>
      <w:r w:rsidR="00AD14A8">
        <w:rPr>
          <w:rStyle w:val="FootnoteReference"/>
        </w:rPr>
        <w:footnoteReference w:id="1"/>
      </w:r>
    </w:p>
    <w:p w14:paraId="5E79B0E6" w14:textId="77777777" w:rsidR="00BE0FE9" w:rsidRDefault="00BE0FE9" w:rsidP="00875731">
      <w:r>
        <w:t xml:space="preserve">The </w:t>
      </w:r>
      <w:r w:rsidR="00306213">
        <w:t>Richards</w:t>
      </w:r>
      <w:r>
        <w:t xml:space="preserve"> law of </w:t>
      </w:r>
      <w:r w:rsidR="00B2503A">
        <w:t xml:space="preserve">expansion </w:t>
      </w:r>
      <w:r>
        <w:t>is</w:t>
      </w:r>
    </w:p>
    <w:p w14:paraId="7D84552C" w14:textId="77777777" w:rsidR="00BE0FE9" w:rsidRDefault="00BE0FE9" w:rsidP="00BE0FE9">
      <w:pPr>
        <w:pStyle w:val="MTDisplayEquation"/>
      </w:pPr>
      <w:r>
        <w:tab/>
      </w:r>
      <w:r w:rsidRPr="00BE0FE9">
        <w:rPr>
          <w:position w:val="-4"/>
        </w:rPr>
        <w:object w:dxaOrig="180" w:dyaOrig="279" w14:anchorId="72983511">
          <v:shape id="_x0000_i1033" type="#_x0000_t75" style="width:9pt;height:14.25pt" o:ole="">
            <v:imagedata r:id="rId23" o:title=""/>
          </v:shape>
          <o:OLEObject Type="Embed" ProgID="Equation.DSMT4" ShapeID="_x0000_i1033" DrawAspect="Content" ObjectID="_1837602297" r:id="rId24"/>
        </w:object>
      </w:r>
    </w:p>
    <w:p w14:paraId="58C46F38" w14:textId="77777777" w:rsidR="00BE0FE9" w:rsidRDefault="00BE0FE9" w:rsidP="00BE0FE9">
      <w:pPr>
        <w:pStyle w:val="MTDisplayEquation"/>
      </w:pPr>
      <w:r>
        <w:tab/>
      </w:r>
      <w:r w:rsidR="00B2503A" w:rsidRPr="00BE0FE9">
        <w:rPr>
          <w:position w:val="-36"/>
        </w:rPr>
        <w:object w:dxaOrig="2040" w:dyaOrig="840" w14:anchorId="5438CEBA">
          <v:shape id="_x0000_i1034" type="#_x0000_t75" style="width:102pt;height:42pt" o:ole="">
            <v:imagedata r:id="rId25" o:title=""/>
          </v:shape>
          <o:OLEObject Type="Embed" ProgID="Equation.DSMT4" ShapeID="_x0000_i1034" DrawAspect="Content" ObjectID="_1837602298" r:id="rId26"/>
        </w:object>
      </w:r>
      <w:r>
        <w:tab/>
      </w:r>
      <w:r w:rsidR="00BF092B">
        <w:fldChar w:fldCharType="begin"/>
      </w:r>
      <w:r>
        <w:instrText xml:space="preserve"> MACROBUTTON MTPlaceRef \* MERGEFORMAT </w:instrText>
      </w:r>
      <w:r w:rsidR="00BF092B">
        <w:fldChar w:fldCharType="begin"/>
      </w:r>
      <w:r>
        <w:instrText xml:space="preserve"> SEQ MTEqn \h \* MERGEFORMAT </w:instrText>
      </w:r>
      <w:r w:rsidR="00BF092B">
        <w:fldChar w:fldCharType="end"/>
      </w:r>
      <w:bookmarkStart w:id="1" w:name="ZEqnNum767938"/>
      <w:r>
        <w:instrText>(</w:instrText>
      </w:r>
      <w:fldSimple w:instr=" SEQ MTEqn \c \* Arabic \* MERGEFORMAT ">
        <w:r w:rsidR="003066CB">
          <w:rPr>
            <w:noProof/>
          </w:rPr>
          <w:instrText>2</w:instrText>
        </w:r>
      </w:fldSimple>
      <w:r>
        <w:instrText>)</w:instrText>
      </w:r>
      <w:bookmarkEnd w:id="1"/>
      <w:r w:rsidR="00BF092B">
        <w:fldChar w:fldCharType="end"/>
      </w:r>
    </w:p>
    <w:p w14:paraId="02EBA977" w14:textId="77777777" w:rsidR="00BE0FE9" w:rsidRDefault="00BE0FE9" w:rsidP="00875731">
      <w:r>
        <w:t xml:space="preserve">The parameter </w:t>
      </w:r>
      <w:r w:rsidRPr="00BE0FE9">
        <w:rPr>
          <w:i/>
        </w:rPr>
        <w:t>K</w:t>
      </w:r>
      <w:r>
        <w:t xml:space="preserve"> is the ultimate level of </w:t>
      </w:r>
      <w:r w:rsidRPr="00BE0FE9">
        <w:rPr>
          <w:i/>
        </w:rPr>
        <w:t>Y</w:t>
      </w:r>
      <w:r>
        <w:t>—the ca</w:t>
      </w:r>
      <w:r w:rsidR="00687614" w:rsidRPr="00687614">
        <w:t>rr</w:t>
      </w:r>
      <w:r>
        <w:t xml:space="preserve">ying capacity of the system. To understand this formula, note that if </w:t>
      </w:r>
      <w:r w:rsidRPr="00BE0FE9">
        <w:rPr>
          <w:position w:val="-6"/>
        </w:rPr>
        <w:object w:dxaOrig="580" w:dyaOrig="279" w14:anchorId="225F91A9">
          <v:shape id="_x0000_i1035" type="#_x0000_t75" style="width:29.25pt;height:14.25pt" o:ole="">
            <v:imagedata r:id="rId27" o:title=""/>
          </v:shape>
          <o:OLEObject Type="Embed" ProgID="Equation.DSMT4" ShapeID="_x0000_i1035" DrawAspect="Content" ObjectID="_1837602299" r:id="rId28"/>
        </w:object>
      </w:r>
      <w:r>
        <w:t xml:space="preserve">then </w:t>
      </w:r>
      <w:r w:rsidR="00B2503A" w:rsidRPr="00B2503A">
        <w:rPr>
          <w:position w:val="-10"/>
        </w:rPr>
        <w:object w:dxaOrig="1219" w:dyaOrig="320" w14:anchorId="4763BCF0">
          <v:shape id="_x0000_i1036" type="#_x0000_t75" style="width:61.5pt;height:15.75pt" o:ole="">
            <v:imagedata r:id="rId29" o:title=""/>
          </v:shape>
          <o:OLEObject Type="Embed" ProgID="Equation.DSMT4" ShapeID="_x0000_i1036" DrawAspect="Content" ObjectID="_1837602300" r:id="rId30"/>
        </w:object>
      </w:r>
      <w:r>
        <w:t xml:space="preserve">, a pattern of exponential growth rate </w:t>
      </w:r>
      <w:r w:rsidRPr="00BE0FE9">
        <w:rPr>
          <w:position w:val="-6"/>
        </w:rPr>
        <w:object w:dxaOrig="499" w:dyaOrig="279" w14:anchorId="58541409">
          <v:shape id="_x0000_i1037" type="#_x0000_t75" style="width:24.75pt;height:14.25pt" o:ole="">
            <v:imagedata r:id="rId31" o:title=""/>
          </v:shape>
          <o:OLEObject Type="Embed" ProgID="Equation.DSMT4" ShapeID="_x0000_i1037" DrawAspect="Content" ObjectID="_1837602301" r:id="rId32"/>
        </w:object>
      </w:r>
      <w:r>
        <w:t xml:space="preserve"> On the other hand, as </w:t>
      </w:r>
      <w:r w:rsidRPr="00BE0FE9">
        <w:rPr>
          <w:i/>
        </w:rPr>
        <w:t>Y</w:t>
      </w:r>
      <w:r>
        <w:t xml:space="preserve">  rises closer to </w:t>
      </w:r>
      <w:r w:rsidRPr="00BE0FE9">
        <w:rPr>
          <w:i/>
        </w:rPr>
        <w:t>K</w:t>
      </w:r>
      <w:r>
        <w:t xml:space="preserve">, then </w:t>
      </w:r>
      <w:r w:rsidR="00B2503A" w:rsidRPr="00B2503A">
        <w:rPr>
          <w:position w:val="-6"/>
        </w:rPr>
        <w:object w:dxaOrig="740" w:dyaOrig="279" w14:anchorId="2C9176BC">
          <v:shape id="_x0000_i1038" type="#_x0000_t75" style="width:37.5pt;height:14.25pt" o:ole="">
            <v:imagedata r:id="rId33" o:title=""/>
          </v:shape>
          <o:OLEObject Type="Embed" ProgID="Equation.DSMT4" ShapeID="_x0000_i1038" DrawAspect="Content" ObjectID="_1837602302" r:id="rId34"/>
        </w:object>
      </w:r>
      <w:r>
        <w:t xml:space="preserve">, putting a stop to further expansion. The parameter </w:t>
      </w:r>
      <w:r w:rsidRPr="00BE0FE9">
        <w:rPr>
          <w:i/>
        </w:rPr>
        <w:t>b</w:t>
      </w:r>
      <w:r>
        <w:t xml:space="preserve"> determines the skewness or asymmetry of the curve. </w:t>
      </w:r>
      <w:r w:rsidR="00AD14A8">
        <w:t xml:space="preserve">The parameter </w:t>
      </w:r>
      <w:r w:rsidR="00AD14A8" w:rsidRPr="008D11E8">
        <w:rPr>
          <w:i/>
        </w:rPr>
        <w:t>b</w:t>
      </w:r>
      <w:r w:rsidR="00AD14A8">
        <w:t xml:space="preserve"> must be larger </w:t>
      </w:r>
      <w:r w:rsidR="00D80A10">
        <w:t>than</w:t>
      </w:r>
      <w:r w:rsidR="00AD14A8">
        <w:t xml:space="preserve"> zero.</w:t>
      </w:r>
      <w:r w:rsidR="00EE4590">
        <w:rPr>
          <w:rStyle w:val="FootnoteReference"/>
        </w:rPr>
        <w:footnoteReference w:id="2"/>
      </w:r>
      <w:r w:rsidR="00AD14A8">
        <w:t xml:space="preserve"> </w:t>
      </w:r>
      <w:r>
        <w:t xml:space="preserve">The curve shown in </w:t>
      </w:r>
      <w:r w:rsidR="00BF092B">
        <w:fldChar w:fldCharType="begin"/>
      </w:r>
      <w:r>
        <w:instrText xml:space="preserve"> REF _Ref255745076 \h </w:instrText>
      </w:r>
      <w:r w:rsidR="00BF092B">
        <w:fldChar w:fldCharType="separate"/>
      </w:r>
      <w:r w:rsidR="003066CB">
        <w:t xml:space="preserve">Exhibit </w:t>
      </w:r>
      <w:r w:rsidR="003066CB">
        <w:rPr>
          <w:noProof/>
        </w:rPr>
        <w:t>1</w:t>
      </w:r>
      <w:r w:rsidR="00BF092B">
        <w:fldChar w:fldCharType="end"/>
      </w:r>
      <w:r>
        <w:t xml:space="preserve"> is a </w:t>
      </w:r>
      <w:r w:rsidR="00306213">
        <w:t>Richards</w:t>
      </w:r>
      <w:r>
        <w:t xml:space="preserve"> curve with </w:t>
      </w:r>
      <w:r w:rsidRPr="00BE0FE9">
        <w:rPr>
          <w:position w:val="-6"/>
        </w:rPr>
        <w:object w:dxaOrig="600" w:dyaOrig="279" w14:anchorId="6384DF7D">
          <v:shape id="_x0000_i1039" type="#_x0000_t75" style="width:30pt;height:14.25pt" o:ole="">
            <v:imagedata r:id="rId35" o:title=""/>
          </v:shape>
          <o:OLEObject Type="Embed" ProgID="Equation.DSMT4" ShapeID="_x0000_i1039" DrawAspect="Content" ObjectID="_1837602303" r:id="rId36"/>
        </w:object>
      </w:r>
    </w:p>
    <w:p w14:paraId="25D0DFD9" w14:textId="77777777" w:rsidR="00A84397" w:rsidRDefault="00A84397" w:rsidP="00875731">
      <w:r>
        <w:t xml:space="preserve">Solving the </w:t>
      </w:r>
      <w:r w:rsidR="00306213">
        <w:t>Richards</w:t>
      </w:r>
      <w:r>
        <w:t xml:space="preserve"> differential equation gives the </w:t>
      </w:r>
      <w:r w:rsidR="00306213">
        <w:t>Richards</w:t>
      </w:r>
      <w:r>
        <w:t xml:space="preserve"> curve:</w:t>
      </w:r>
    </w:p>
    <w:p w14:paraId="5928425A" w14:textId="77777777" w:rsidR="00A84397" w:rsidRDefault="00A84397" w:rsidP="00A84397">
      <w:pPr>
        <w:pStyle w:val="MTDisplayEquation"/>
      </w:pPr>
      <w:r>
        <w:tab/>
      </w:r>
      <w:r w:rsidR="00AD14A8" w:rsidRPr="00A84397">
        <w:rPr>
          <w:position w:val="-62"/>
        </w:rPr>
        <w:object w:dxaOrig="2380" w:dyaOrig="999" w14:anchorId="7B7EAC67">
          <v:shape id="_x0000_i1040" type="#_x0000_t75" style="width:119.25pt;height:50.25pt" o:ole="">
            <v:imagedata r:id="rId37" o:title=""/>
          </v:shape>
          <o:OLEObject Type="Embed" ProgID="Equation.DSMT4" ShapeID="_x0000_i1040" DrawAspect="Content" ObjectID="_1837602304" r:id="rId38"/>
        </w:object>
      </w:r>
      <w:r>
        <w:tab/>
      </w:r>
      <w:r w:rsidR="00BF092B">
        <w:fldChar w:fldCharType="begin"/>
      </w:r>
      <w:r>
        <w:instrText xml:space="preserve"> MACROBUTTON MTPlaceRef \* MERGEFORMAT </w:instrText>
      </w:r>
      <w:r w:rsidR="00BF092B">
        <w:fldChar w:fldCharType="begin"/>
      </w:r>
      <w:r>
        <w:instrText xml:space="preserve"> SEQ MTEqn \h \* MERGEFORMAT </w:instrText>
      </w:r>
      <w:r w:rsidR="00BF092B">
        <w:fldChar w:fldCharType="end"/>
      </w:r>
      <w:bookmarkStart w:id="2" w:name="ZEqnNum731518"/>
      <w:r>
        <w:instrText>(</w:instrText>
      </w:r>
      <w:fldSimple w:instr=" SEQ MTEqn \c \* Arabic \* MERGEFORMAT ">
        <w:r w:rsidR="003066CB">
          <w:rPr>
            <w:noProof/>
          </w:rPr>
          <w:instrText>3</w:instrText>
        </w:r>
      </w:fldSimple>
      <w:r>
        <w:instrText>)</w:instrText>
      </w:r>
      <w:bookmarkEnd w:id="2"/>
      <w:r w:rsidR="00BF092B">
        <w:fldChar w:fldCharType="end"/>
      </w:r>
    </w:p>
    <w:p w14:paraId="78866237" w14:textId="77777777" w:rsidR="000C53C0" w:rsidRDefault="000C53C0" w:rsidP="000C53C0">
      <w:pPr>
        <w:pStyle w:val="Heading2"/>
      </w:pPr>
    </w:p>
    <w:p w14:paraId="5672CAEB" w14:textId="77777777" w:rsidR="00A84397" w:rsidRDefault="00306213" w:rsidP="000C53C0">
      <w:pPr>
        <w:pStyle w:val="Heading2"/>
      </w:pPr>
      <w:r>
        <w:t>Fitting a Richard</w:t>
      </w:r>
      <w:r w:rsidR="000C53C0">
        <w:t>s Curve to Data</w:t>
      </w:r>
    </w:p>
    <w:p w14:paraId="0CDF8BCA" w14:textId="77777777" w:rsidR="00815692" w:rsidRDefault="00BF092B" w:rsidP="00875731">
      <w:r>
        <w:fldChar w:fldCharType="begin"/>
      </w:r>
      <w:r w:rsidR="00FF7386">
        <w:instrText xml:space="preserve"> REF _Ref255752076 \h </w:instrText>
      </w:r>
      <w:r>
        <w:fldChar w:fldCharType="separate"/>
      </w:r>
      <w:r w:rsidR="003066CB">
        <w:t xml:space="preserve">Exhibit </w:t>
      </w:r>
      <w:r w:rsidR="003066CB">
        <w:rPr>
          <w:noProof/>
        </w:rPr>
        <w:t>2</w:t>
      </w:r>
      <w:r>
        <w:fldChar w:fldCharType="end"/>
      </w:r>
      <w:r w:rsidR="00FF7386">
        <w:t xml:space="preserve"> displays </w:t>
      </w:r>
      <w:r w:rsidR="00815692">
        <w:t xml:space="preserve">a time series of </w:t>
      </w:r>
      <w:r w:rsidR="00FF7386">
        <w:t xml:space="preserve">the </w:t>
      </w:r>
      <w:r w:rsidR="00815692">
        <w:t xml:space="preserve">percentage of Japanese steel making capacity that used the oxygen process. This then-new technology began to be installed in 1958 and by 1973 accounted for slightly over 80% of capacity. </w:t>
      </w:r>
      <w:r w:rsidR="004C5F4F">
        <w:t>(</w:t>
      </w:r>
      <w:r w:rsidR="00815692">
        <w:t>The data are available on JapanOxy.xlsx.</w:t>
      </w:r>
      <w:r w:rsidR="004C5F4F">
        <w:t>)</w:t>
      </w:r>
    </w:p>
    <w:p w14:paraId="770285DE" w14:textId="77777777" w:rsidR="00306213" w:rsidRDefault="004C5F4F" w:rsidP="00875731">
      <w:r>
        <w:t>This kind of process is called technological substitution—a new technology (oxygen) is replacing an older technology.</w:t>
      </w:r>
    </w:p>
    <w:p w14:paraId="36D68C69" w14:textId="77777777" w:rsidR="00306213" w:rsidRDefault="004C5F4F" w:rsidP="00306213">
      <w:r>
        <w:t xml:space="preserve"> </w:t>
      </w:r>
      <w:r w:rsidR="00306213">
        <w:t>In general, fitting a sigmoid curve to data is extremely chancy if the inflection point has not yet occu</w:t>
      </w:r>
      <w:r w:rsidR="00687614" w:rsidRPr="00687614">
        <w:t>rr</w:t>
      </w:r>
      <w:r w:rsidR="00306213">
        <w:t xml:space="preserve">ed. Recall that the inflection is when </w:t>
      </w:r>
      <w:r w:rsidR="00306213" w:rsidRPr="004C5F4F">
        <w:rPr>
          <w:position w:val="-4"/>
        </w:rPr>
        <w:object w:dxaOrig="279" w:dyaOrig="260" w14:anchorId="45A8DE22">
          <v:shape id="_x0000_i1041" type="#_x0000_t75" style="width:14.25pt;height:12.75pt" o:ole="">
            <v:imagedata r:id="rId39" o:title=""/>
          </v:shape>
          <o:OLEObject Type="Embed" ProgID="Equation.DSMT4" ShapeID="_x0000_i1041" DrawAspect="Content" ObjectID="_1837602305" r:id="rId40"/>
        </w:object>
      </w:r>
      <w:r w:rsidR="00306213">
        <w:t xml:space="preserve">, the rate of change in </w:t>
      </w:r>
      <w:r w:rsidR="00306213" w:rsidRPr="00306213">
        <w:rPr>
          <w:i/>
        </w:rPr>
        <w:t>Y,</w:t>
      </w:r>
      <w:r w:rsidR="00306213">
        <w:t xml:space="preserve"> peaks. </w:t>
      </w:r>
      <w:r w:rsidR="00BF092B">
        <w:fldChar w:fldCharType="begin"/>
      </w:r>
      <w:r w:rsidR="00083236">
        <w:instrText xml:space="preserve"> REF _Ref255752076 \h </w:instrText>
      </w:r>
      <w:r w:rsidR="00BF092B">
        <w:fldChar w:fldCharType="separate"/>
      </w:r>
      <w:r w:rsidR="003066CB">
        <w:t xml:space="preserve">Exhibit </w:t>
      </w:r>
      <w:r w:rsidR="003066CB">
        <w:rPr>
          <w:noProof/>
        </w:rPr>
        <w:t>2</w:t>
      </w:r>
      <w:r w:rsidR="00BF092B">
        <w:fldChar w:fldCharType="end"/>
      </w:r>
      <w:r w:rsidR="00083236">
        <w:t xml:space="preserve"> also </w:t>
      </w:r>
      <w:r w:rsidR="00306213">
        <w:lastRenderedPageBreak/>
        <w:t xml:space="preserve">shows the annual changes in percent oxygen capacity—the variable denoted </w:t>
      </w:r>
      <w:r w:rsidR="00306213" w:rsidRPr="004C5F4F">
        <w:rPr>
          <w:position w:val="-4"/>
        </w:rPr>
        <w:object w:dxaOrig="279" w:dyaOrig="260" w14:anchorId="7A5E9BC9">
          <v:shape id="_x0000_i1042" type="#_x0000_t75" style="width:14.25pt;height:12.75pt" o:ole="">
            <v:imagedata r:id="rId39" o:title=""/>
          </v:shape>
          <o:OLEObject Type="Embed" ProgID="Equation.DSMT4" ShapeID="_x0000_i1042" DrawAspect="Content" ObjectID="_1837602306" r:id="rId41"/>
        </w:object>
      </w:r>
      <w:r w:rsidR="00306213">
        <w:t xml:space="preserve">in this note. As can be seen, </w:t>
      </w:r>
      <w:r w:rsidR="00306213" w:rsidRPr="004C5F4F">
        <w:rPr>
          <w:position w:val="-4"/>
        </w:rPr>
        <w:object w:dxaOrig="279" w:dyaOrig="260" w14:anchorId="1A8B5B45">
          <v:shape id="_x0000_i1043" type="#_x0000_t75" style="width:14.25pt;height:12.75pt" o:ole="">
            <v:imagedata r:id="rId39" o:title=""/>
          </v:shape>
          <o:OLEObject Type="Embed" ProgID="Equation.DSMT4" ShapeID="_x0000_i1043" DrawAspect="Content" ObjectID="_1837602307" r:id="rId42"/>
        </w:object>
      </w:r>
      <w:r w:rsidR="00306213">
        <w:t xml:space="preserve"> looks to have peaked in about 1962, marking the probable inflection point.</w:t>
      </w:r>
    </w:p>
    <w:p w14:paraId="5FD56E3C" w14:textId="6623F28E" w:rsidR="009B08A7" w:rsidRDefault="00560AD5" w:rsidP="00875731">
      <w:r>
        <w:rPr>
          <w:noProof/>
          <w:lang w:eastAsia="zh-TW"/>
        </w:rPr>
        <mc:AlternateContent>
          <mc:Choice Requires="wps">
            <w:drawing>
              <wp:anchor distT="0" distB="91440" distL="114300" distR="114300" simplePos="0" relativeHeight="251655680" behindDoc="0" locked="0" layoutInCell="1" allowOverlap="1" wp14:anchorId="6F39133F" wp14:editId="5299822E">
                <wp:simplePos x="0" y="0"/>
                <wp:positionH relativeFrom="column">
                  <wp:align>center</wp:align>
                </wp:positionH>
                <wp:positionV relativeFrom="page">
                  <wp:posOffset>914400</wp:posOffset>
                </wp:positionV>
                <wp:extent cx="4772660" cy="3000375"/>
                <wp:effectExtent l="4445" t="0" r="4445" b="0"/>
                <wp:wrapTopAndBottom/>
                <wp:docPr id="1665363443"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2660" cy="3000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EAD960" w14:textId="77777777" w:rsidR="002814C4" w:rsidRDefault="002814C4" w:rsidP="000D1F91">
                            <w:pPr>
                              <w:pStyle w:val="Caption"/>
                              <w:jc w:val="center"/>
                            </w:pPr>
                            <w:bookmarkStart w:id="3" w:name="_Ref255752076"/>
                            <w:r>
                              <w:t xml:space="preserve">Exhibit </w:t>
                            </w:r>
                            <w:fldSimple w:instr=" SEQ Exhibit \* ARABIC ">
                              <w:r w:rsidR="003066CB">
                                <w:rPr>
                                  <w:noProof/>
                                </w:rPr>
                                <w:t>2</w:t>
                              </w:r>
                            </w:fldSimple>
                            <w:bookmarkEnd w:id="3"/>
                            <w:r>
                              <w:t>—Percent of Japan Steel Capacity Using Oxygen Process and Annual Changes in the Percent</w:t>
                            </w:r>
                          </w:p>
                          <w:p w14:paraId="01A20940" w14:textId="77777777" w:rsidR="002814C4" w:rsidRPr="00FF7386" w:rsidRDefault="005F2C8D" w:rsidP="000D1F91">
                            <w:pPr>
                              <w:jc w:val="center"/>
                            </w:pPr>
                            <w:r>
                              <w:rPr>
                                <w:noProof/>
                              </w:rPr>
                              <w:drawing>
                                <wp:inline distT="0" distB="0" distL="0" distR="0" wp14:anchorId="3D6B2E6B" wp14:editId="53E090C4">
                                  <wp:extent cx="4572000" cy="2743200"/>
                                  <wp:effectExtent l="0" t="0" r="0" b="0"/>
                                  <wp:docPr id="23" name="Chart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F39133F" id="_x0000_t202" coordsize="21600,21600" o:spt="202" path="m,l,21600r21600,l21600,xe">
                <v:stroke joinstyle="miter"/>
                <v:path gradientshapeok="t" o:connecttype="rect"/>
              </v:shapetype>
              <v:shape id="Text Box 35" o:spid="_x0000_s1026" type="#_x0000_t202" style="position:absolute;left:0;text-align:left;margin-left:0;margin-top:1in;width:375.8pt;height:236.25pt;z-index:251655680;visibility:visible;mso-wrap-style:square;mso-width-percent:0;mso-height-percent:0;mso-wrap-distance-left:9pt;mso-wrap-distance-top:0;mso-wrap-distance-right:9pt;mso-wrap-distance-bottom:7.2pt;mso-position-horizontal:center;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" stroked="f">
                <v:textbox>
                  <w:txbxContent>
                    <w:p w14:paraId="39EAD960" w14:textId="77777777" w:rsidR="002814C4" w:rsidRDefault="002814C4" w:rsidP="000D1F91">
                      <w:pPr>
                        <w:pStyle w:val="Caption"/>
                        <w:jc w:val="center"/>
                      </w:pPr>
                      <w:bookmarkStart w:id="4" w:name="_Ref255752076"/>
                      <w:r>
                        <w:t xml:space="preserve">Exhibit </w:t>
                      </w:r>
                      <w:fldSimple w:instr=" SEQ Exhibit \* ARABIC ">
                        <w:r w:rsidR="003066CB">
                          <w:rPr>
                            <w:noProof/>
                          </w:rPr>
                          <w:t>2</w:t>
                        </w:r>
                      </w:fldSimple>
                      <w:bookmarkEnd w:id="4"/>
                      <w:r>
                        <w:t>—Percent of Japan Steel Capacity Using Oxygen Process and Annual Changes in the Percent</w:t>
                      </w:r>
                    </w:p>
                    <w:p w14:paraId="01A20940" w14:textId="77777777" w:rsidR="002814C4" w:rsidRPr="00FF7386" w:rsidRDefault="005F2C8D" w:rsidP="000D1F91">
                      <w:pPr>
                        <w:jc w:val="center"/>
                      </w:pPr>
                      <w:r>
                        <w:rPr>
                          <w:noProof/>
                        </w:rPr>
                        <w:drawing>
                          <wp:inline distT="0" distB="0" distL="0" distR="0" wp14:anchorId="3D6B2E6B" wp14:editId="53E090C4">
                            <wp:extent cx="4572000" cy="2743200"/>
                            <wp:effectExtent l="0" t="0" r="0" b="0"/>
                            <wp:docPr id="23" name="Chart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txbxContent>
                </v:textbox>
                <w10:wrap type="topAndBottom" anchory="page"/>
              </v:shape>
            </w:pict>
          </mc:Fallback>
        </mc:AlternateContent>
      </w:r>
      <w:r w:rsidR="00BC11CA">
        <w:t xml:space="preserve">Various statistical programs like SAS, Stata, R, and Matlab have built-in procedures for fitting non-linear models like </w:t>
      </w:r>
      <w:r w:rsidR="00306213">
        <w:t>the Richards curve</w:t>
      </w:r>
      <w:r w:rsidR="00BC11CA">
        <w:t xml:space="preserve">. </w:t>
      </w:r>
      <w:r w:rsidR="00B8024F">
        <w:t xml:space="preserve">Here I shall work with Excel for two reasons. First, everyone has access to it. Secondly, the best way to learn about curve-fitting is to do it “by-hand.” </w:t>
      </w:r>
      <w:r w:rsidR="000D4A3C">
        <w:t xml:space="preserve"> The easiest way to lean this is to follow along using Excel.</w:t>
      </w:r>
    </w:p>
    <w:p w14:paraId="19F2E8B0" w14:textId="77777777" w:rsidR="000D4A3C" w:rsidRDefault="00AA685B" w:rsidP="00875731">
      <w:r>
        <w:t>To begin</w:t>
      </w:r>
      <w:r w:rsidR="002B1DB3">
        <w:t>, the</w:t>
      </w:r>
      <w:r w:rsidR="000D4A3C">
        <w:t xml:space="preserve"> </w:t>
      </w:r>
      <w:r w:rsidR="00B87EDF">
        <w:t>original data</w:t>
      </w:r>
      <w:r w:rsidR="002B1DB3">
        <w:t xml:space="preserve"> consists of </w:t>
      </w:r>
      <w:r w:rsidR="000D4A3C">
        <w:t>two</w:t>
      </w:r>
      <w:r w:rsidR="002B1DB3">
        <w:t xml:space="preserve"> columns: the first contains </w:t>
      </w:r>
      <w:r w:rsidR="000D4A3C">
        <w:t xml:space="preserve">years and the second the percentage of oxygen capacity. It is good practice to label each column with a unique name and use </w:t>
      </w:r>
      <w:r w:rsidR="000D4A3C" w:rsidRPr="000D4A3C">
        <w:rPr>
          <w:i/>
        </w:rPr>
        <w:t>Formulas/CreateFromSelection</w:t>
      </w:r>
      <w:r w:rsidR="000D4A3C">
        <w:t xml:space="preserve"> to assign these names to the columns of data below.</w:t>
      </w:r>
      <w:r w:rsidR="003D60F7">
        <w:t xml:space="preserve"> Here they are labeled </w:t>
      </w:r>
      <w:r w:rsidR="003D60F7" w:rsidRPr="00687614">
        <w:t xml:space="preserve">Year and Yobs. </w:t>
      </w:r>
      <w:r w:rsidR="00A55105" w:rsidRPr="00687614">
        <w:t xml:space="preserve">Add a third column labeled </w:t>
      </w:r>
      <w:r w:rsidR="00687614" w:rsidRPr="00687614">
        <w:t>Yprime</w:t>
      </w:r>
      <w:r w:rsidR="00A55105" w:rsidRPr="00687614">
        <w:t xml:space="preserve"> (for </w:t>
      </w:r>
      <w:r w:rsidR="00A55105" w:rsidRPr="00687614">
        <w:rPr>
          <w:position w:val="-4"/>
        </w:rPr>
        <w:object w:dxaOrig="279" w:dyaOrig="260" w14:anchorId="7BA44607">
          <v:shape id="_x0000_i1044" type="#_x0000_t75" style="width:14.25pt;height:12.75pt" o:ole="">
            <v:imagedata r:id="rId39" o:title=""/>
          </v:shape>
          <o:OLEObject Type="Embed" ProgID="Equation.DSMT4" ShapeID="_x0000_i1044" DrawAspect="Content" ObjectID="_1837602308" r:id="rId44"/>
        </w:object>
      </w:r>
      <w:r w:rsidR="00A55105" w:rsidRPr="00687614">
        <w:t>) and fill it with the year-to-year differences in Yobs</w:t>
      </w:r>
      <w:r w:rsidR="00A55105">
        <w:t xml:space="preserve"> (the will normally be unavailable but here it is zero.)</w:t>
      </w:r>
    </w:p>
    <w:p w14:paraId="16D56934" w14:textId="77777777" w:rsidR="002B1DB3" w:rsidRDefault="00B87EDF" w:rsidP="00875731">
      <w:r>
        <w:t>Above the data, c</w:t>
      </w:r>
      <w:r w:rsidR="00D03642">
        <w:t xml:space="preserve">reate parameter block </w:t>
      </w:r>
      <w:r>
        <w:t xml:space="preserve">with two rows. Put the parameter names in the first row and initial estimates in the second. Use </w:t>
      </w:r>
      <w:r w:rsidRPr="000D4A3C">
        <w:rPr>
          <w:i/>
        </w:rPr>
        <w:t>Formulas/CreateFromSelection</w:t>
      </w:r>
      <w:r>
        <w:rPr>
          <w:i/>
        </w:rPr>
        <w:t xml:space="preserve"> </w:t>
      </w:r>
      <w:r>
        <w:t xml:space="preserve">to name each parameter cell. </w:t>
      </w:r>
      <w:r w:rsidR="00D03642">
        <w:t xml:space="preserve">The four parameters of the </w:t>
      </w:r>
      <w:r w:rsidR="00306213">
        <w:t>Richards</w:t>
      </w:r>
      <w:r w:rsidR="00D03642">
        <w:t xml:space="preserve"> curve are </w:t>
      </w:r>
      <w:r w:rsidR="00D03642" w:rsidRPr="00D03642">
        <w:rPr>
          <w:i/>
        </w:rPr>
        <w:t>K</w:t>
      </w:r>
      <w:r w:rsidR="00D03642">
        <w:t xml:space="preserve">, </w:t>
      </w:r>
      <w:r w:rsidR="00D03642" w:rsidRPr="00D03642">
        <w:rPr>
          <w:i/>
        </w:rPr>
        <w:t>r</w:t>
      </w:r>
      <w:r w:rsidR="00D03642">
        <w:t xml:space="preserve">, </w:t>
      </w:r>
      <w:r w:rsidR="00D03642" w:rsidRPr="00D03642">
        <w:rPr>
          <w:i/>
        </w:rPr>
        <w:t>M</w:t>
      </w:r>
      <w:r w:rsidR="00D03642">
        <w:t xml:space="preserve">, and </w:t>
      </w:r>
      <w:r w:rsidR="00D03642" w:rsidRPr="00D03642">
        <w:rPr>
          <w:i/>
        </w:rPr>
        <w:t>b</w:t>
      </w:r>
      <w:r w:rsidR="00D03642">
        <w:t xml:space="preserve">. Excel doesn’t like single-character parameter names or names that look like cell references. Hence, double character names are used here: </w:t>
      </w:r>
      <w:r w:rsidR="00687614" w:rsidRPr="00687614">
        <w:t>KK</w:t>
      </w:r>
      <w:r w:rsidR="00D03642">
        <w:t xml:space="preserve">, </w:t>
      </w:r>
      <w:r w:rsidR="00687614" w:rsidRPr="00687614">
        <w:t>rr</w:t>
      </w:r>
      <w:r w:rsidR="00D03642">
        <w:t xml:space="preserve">, </w:t>
      </w:r>
      <w:r w:rsidR="00687614" w:rsidRPr="00687614">
        <w:t>MM</w:t>
      </w:r>
      <w:r w:rsidR="00D03642">
        <w:t xml:space="preserve">, and </w:t>
      </w:r>
      <w:r w:rsidR="00687614" w:rsidRPr="00687614">
        <w:t>rr</w:t>
      </w:r>
      <w:r w:rsidR="00D03642">
        <w:t xml:space="preserve">. The whole </w:t>
      </w:r>
      <w:r>
        <w:t>row</w:t>
      </w:r>
      <w:r w:rsidR="00D03642">
        <w:t xml:space="preserve"> of four parameters is labeled </w:t>
      </w:r>
      <w:r w:rsidR="003D60F7" w:rsidRPr="00687614">
        <w:t>param</w:t>
      </w:r>
      <w:r w:rsidR="003D60F7" w:rsidRPr="003D60F7">
        <w:rPr>
          <w:b/>
        </w:rPr>
        <w:t>s</w:t>
      </w:r>
      <w:r w:rsidR="00D03642">
        <w:t xml:space="preserve">. Reasonable initial values for </w:t>
      </w:r>
      <w:r w:rsidR="00687614" w:rsidRPr="00687614">
        <w:t>rr</w:t>
      </w:r>
      <w:r w:rsidR="00D03642">
        <w:t xml:space="preserve"> and </w:t>
      </w:r>
      <w:r w:rsidR="00687614" w:rsidRPr="00687614">
        <w:t>rr</w:t>
      </w:r>
      <w:r w:rsidR="00D03642">
        <w:t xml:space="preserve"> are 0.2 and 1.0. Set the initial guess at the inflection point </w:t>
      </w:r>
      <w:r w:rsidR="00687614" w:rsidRPr="00687614">
        <w:t>MM</w:t>
      </w:r>
      <w:r w:rsidR="00D03642">
        <w:t xml:space="preserve"> at </w:t>
      </w:r>
      <w:r>
        <w:t>1962</w:t>
      </w:r>
      <w:r w:rsidR="00D03642">
        <w:t xml:space="preserve">. Set the initial value of the saturation level </w:t>
      </w:r>
      <w:r w:rsidR="00687614" w:rsidRPr="00687614">
        <w:t>KK</w:t>
      </w:r>
      <w:r w:rsidR="003D60F7">
        <w:t xml:space="preserve"> </w:t>
      </w:r>
      <w:r w:rsidR="00D03642">
        <w:t xml:space="preserve">at </w:t>
      </w:r>
      <w:r>
        <w:t>85. .</w:t>
      </w:r>
    </w:p>
    <w:p w14:paraId="1431AB63" w14:textId="77777777" w:rsidR="00D03642" w:rsidRDefault="00D03642" w:rsidP="00875731">
      <w:r>
        <w:t xml:space="preserve">Using these parameter values, create a new column of </w:t>
      </w:r>
      <w:r w:rsidR="00306213">
        <w:t>Richards</w:t>
      </w:r>
      <w:r w:rsidR="003D60F7">
        <w:t xml:space="preserve"> curve predictions labeled </w:t>
      </w:r>
      <w:r w:rsidR="00687614" w:rsidRPr="00687614">
        <w:t>Yfit</w:t>
      </w:r>
      <w:r w:rsidR="00B87EDF">
        <w:t xml:space="preserve">. </w:t>
      </w:r>
      <w:r>
        <w:t xml:space="preserve"> </w:t>
      </w:r>
      <w:r w:rsidR="00B87EDF">
        <w:t xml:space="preserve">Compute Richards curve values for each year either by using </w:t>
      </w:r>
      <w:r>
        <w:t xml:space="preserve">formula </w:t>
      </w:r>
      <w:r w:rsidR="00BF092B">
        <w:fldChar w:fldCharType="begin"/>
      </w:r>
      <w:r>
        <w:instrText xml:space="preserve"> GOTOBUTTON ZEqnNum731518  \* MERGEFORMAT </w:instrText>
      </w:r>
      <w:fldSimple w:instr=" REF ZEqnNum731518 \* Charformat \! \* MERGEFORMAT ">
        <w:r w:rsidR="003066CB">
          <w:instrText>(3)</w:instrText>
        </w:r>
      </w:fldSimple>
      <w:r w:rsidR="00BF092B">
        <w:fldChar w:fldCharType="end"/>
      </w:r>
      <w:r>
        <w:t xml:space="preserve"> directly or </w:t>
      </w:r>
      <w:r w:rsidR="00B87EDF">
        <w:t>with</w:t>
      </w:r>
      <w:r>
        <w:t xml:space="preserve"> the RICHARDS function provided with ASA.X</w:t>
      </w:r>
      <w:r w:rsidR="00B87EDF">
        <w:t>LA</w:t>
      </w:r>
      <w:r>
        <w:t xml:space="preserve">M. </w:t>
      </w:r>
    </w:p>
    <w:p w14:paraId="5088B0FB" w14:textId="77777777" w:rsidR="002B1DB3" w:rsidRDefault="00D03642" w:rsidP="00875731">
      <w:r>
        <w:t xml:space="preserve">Below the parameter block, create a block of summary statistics. </w:t>
      </w:r>
      <w:r w:rsidR="00A55105">
        <w:t xml:space="preserve">Put these statistics over the </w:t>
      </w:r>
      <w:r w:rsidR="00687614" w:rsidRPr="00687614">
        <w:t>Yfit</w:t>
      </w:r>
      <w:r w:rsidR="00A55105">
        <w:t xml:space="preserve"> column. </w:t>
      </w:r>
      <w:r>
        <w:t>The first item is SSTm—the sum of squares of the data co</w:t>
      </w:r>
      <w:r w:rsidR="00687614" w:rsidRPr="00687614">
        <w:t>rr</w:t>
      </w:r>
      <w:r>
        <w:t xml:space="preserve">ected for the mean. </w:t>
      </w:r>
      <w:r w:rsidR="00AA178A">
        <w:t>The easy way to get this number is to use Excel formula COUNT(</w:t>
      </w:r>
      <w:r w:rsidR="003D60F7">
        <w:t>Yobs</w:t>
      </w:r>
      <w:r w:rsidR="00AA178A">
        <w:t>)*VARP(</w:t>
      </w:r>
      <w:r w:rsidR="003D60F7">
        <w:t>Yobs</w:t>
      </w:r>
      <w:r w:rsidR="00AA178A">
        <w:t>). Below that enter SSE—the sum of squared e</w:t>
      </w:r>
      <w:r w:rsidR="00687614" w:rsidRPr="00687614">
        <w:t>rr</w:t>
      </w:r>
      <w:r w:rsidR="00AA178A">
        <w:t>ors. Here use Excel a</w:t>
      </w:r>
      <w:r w:rsidR="00687614" w:rsidRPr="00687614">
        <w:t>rr</w:t>
      </w:r>
      <w:r w:rsidR="00AA178A">
        <w:t xml:space="preserve">ay formula SUM( </w:t>
      </w:r>
      <w:r w:rsidR="003D60F7">
        <w:t>Yobs-</w:t>
      </w:r>
      <w:r w:rsidR="00687614" w:rsidRPr="00687614">
        <w:t>Yfit</w:t>
      </w:r>
      <w:r w:rsidR="00AA178A">
        <w:t xml:space="preserve">)^2). Below that </w:t>
      </w:r>
      <w:r w:rsidR="003D60F7">
        <w:t>compute</w:t>
      </w:r>
      <w:r w:rsidR="00AA178A">
        <w:t xml:space="preserve"> the R-squared of the fit as </w:t>
      </w:r>
      <w:r w:rsidR="00925890">
        <w:t xml:space="preserve"> </w:t>
      </w:r>
      <w:r w:rsidR="00AA178A">
        <w:t>1</w:t>
      </w:r>
      <w:r w:rsidR="003D60F7">
        <w:t> </w:t>
      </w:r>
      <w:r w:rsidR="00AA178A">
        <w:t>–</w:t>
      </w:r>
      <w:r w:rsidR="003D60F7">
        <w:t> </w:t>
      </w:r>
      <w:r w:rsidR="00AA178A">
        <w:t xml:space="preserve">SSE/SSTm. At this point, the upper portion of the sheet should look like </w:t>
      </w:r>
      <w:r w:rsidR="00BF092B">
        <w:fldChar w:fldCharType="begin"/>
      </w:r>
      <w:r w:rsidR="00AA178A">
        <w:instrText xml:space="preserve"> REF _Ref255766411 \h </w:instrText>
      </w:r>
      <w:r w:rsidR="00BF092B">
        <w:fldChar w:fldCharType="separate"/>
      </w:r>
      <w:r w:rsidR="003066CB">
        <w:t xml:space="preserve">Exhibit </w:t>
      </w:r>
      <w:r w:rsidR="003066CB">
        <w:rPr>
          <w:noProof/>
        </w:rPr>
        <w:t>3</w:t>
      </w:r>
      <w:r w:rsidR="00BF092B">
        <w:fldChar w:fldCharType="end"/>
      </w:r>
      <w:r w:rsidR="00AA178A">
        <w:t>.</w:t>
      </w:r>
    </w:p>
    <w:p w14:paraId="26FA79FB" w14:textId="77777777" w:rsidR="003D60F7" w:rsidRDefault="00E50BF9" w:rsidP="00875731">
      <w:r>
        <w:t xml:space="preserve">To </w:t>
      </w:r>
      <w:r w:rsidR="00107D46">
        <w:t xml:space="preserve">find a “best fit” </w:t>
      </w:r>
      <w:r w:rsidR="00A55105">
        <w:t>use Excel’s</w:t>
      </w:r>
      <w:r>
        <w:t xml:space="preserve"> </w:t>
      </w:r>
      <w:r w:rsidR="00687614" w:rsidRPr="00687614">
        <w:t>Solver</w:t>
      </w:r>
      <w:r>
        <w:t xml:space="preserve"> add-in. (Make sure it is checked off in the add-ins list.)</w:t>
      </w:r>
      <w:r w:rsidR="00B47EE7">
        <w:t xml:space="preserve"> We want </w:t>
      </w:r>
      <w:r w:rsidR="00687614" w:rsidRPr="00687614">
        <w:t>Solver</w:t>
      </w:r>
      <w:r w:rsidR="00B47EE7">
        <w:t xml:space="preserve"> to find the par</w:t>
      </w:r>
      <w:r w:rsidR="003D60F7">
        <w:t>ameter values which minimize the sum of squared e</w:t>
      </w:r>
      <w:r w:rsidR="00687614" w:rsidRPr="00687614">
        <w:t>rr</w:t>
      </w:r>
      <w:r w:rsidR="003D60F7">
        <w:t>ors or SSE.</w:t>
      </w:r>
    </w:p>
    <w:p w14:paraId="72266221" w14:textId="024B4B97" w:rsidR="00BF1D91" w:rsidRDefault="00560AD5" w:rsidP="00875731">
      <w:r>
        <w:rPr>
          <w:b/>
          <w:noProof/>
          <w:u w:val="single"/>
          <w:lang w:eastAsia="zh-TW"/>
        </w:rPr>
        <w:lastRenderedPageBreak/>
        <mc:AlternateContent>
          <mc:Choice Requires="wps">
            <w:drawing>
              <wp:anchor distT="0" distB="182880" distL="114300" distR="114300" simplePos="0" relativeHeight="251656704" behindDoc="0" locked="0" layoutInCell="1" allowOverlap="0" wp14:anchorId="681F7B58" wp14:editId="6071A171">
                <wp:simplePos x="0" y="0"/>
                <wp:positionH relativeFrom="column">
                  <wp:align>center</wp:align>
                </wp:positionH>
                <wp:positionV relativeFrom="page">
                  <wp:posOffset>914400</wp:posOffset>
                </wp:positionV>
                <wp:extent cx="3939540" cy="2914650"/>
                <wp:effectExtent l="9525" t="9525" r="13335" b="9525"/>
                <wp:wrapTopAndBottom/>
                <wp:docPr id="879492283"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9540" cy="2914650"/>
                        </a:xfrm>
                        <a:prstGeom prst="rect">
                          <a:avLst/>
                        </a:prstGeom>
                        <a:solidFill>
                          <a:srgbClr val="FFFFFF"/>
                        </a:solidFill>
                        <a:ln w="9525">
                          <a:solidFill>
                            <a:srgbClr val="000000"/>
                          </a:solidFill>
                          <a:miter lim="800000"/>
                          <a:headEnd/>
                          <a:tailEnd/>
                        </a:ln>
                      </wps:spPr>
                      <wps:txbx>
                        <w:txbxContent>
                          <w:p w14:paraId="629CD2E9" w14:textId="77777777" w:rsidR="002814C4" w:rsidRDefault="002814C4" w:rsidP="00AA178A">
                            <w:pPr>
                              <w:pStyle w:val="Caption"/>
                            </w:pPr>
                            <w:bookmarkStart w:id="5" w:name="_Ref255766411"/>
                            <w:r>
                              <w:t xml:space="preserve">Exhibit </w:t>
                            </w:r>
                            <w:fldSimple w:instr=" SEQ Exhibit \* ARABIC ">
                              <w:r w:rsidR="003066CB">
                                <w:rPr>
                                  <w:noProof/>
                                </w:rPr>
                                <w:t>3</w:t>
                              </w:r>
                            </w:fldSimple>
                            <w:bookmarkEnd w:id="5"/>
                          </w:p>
                          <w:p w14:paraId="355430BA" w14:textId="77777777" w:rsidR="002814C4" w:rsidRDefault="005F2C8D">
                            <w:r>
                              <w:rPr>
                                <w:noProof/>
                              </w:rPr>
                              <w:drawing>
                                <wp:inline distT="0" distB="0" distL="0" distR="0" wp14:anchorId="691E9D7F" wp14:editId="568CF95C">
                                  <wp:extent cx="3705225" cy="2447925"/>
                                  <wp:effectExtent l="1905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a:srcRect/>
                                          <a:stretch>
                                            <a:fillRect/>
                                          </a:stretch>
                                        </pic:blipFill>
                                        <pic:spPr bwMode="auto">
                                          <a:xfrm>
                                            <a:off x="0" y="0"/>
                                            <a:ext cx="3705225" cy="2447925"/>
                                          </a:xfrm>
                                          <a:prstGeom prst="rect">
                                            <a:avLst/>
                                          </a:prstGeom>
                                          <a:noFill/>
                                          <a:ln w="9525">
                                            <a:noFill/>
                                            <a:miter lim="800000"/>
                                            <a:headEnd/>
                                            <a:tailEnd/>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1F7B58" id="Text Box 68" o:spid="_x0000_s1027" type="#_x0000_t202" style="position:absolute;left:0;text-align:left;margin-left:0;margin-top:1in;width:310.2pt;height:229.5pt;z-index:251656704;visibility:visible;mso-wrap-style:square;mso-width-percent:0;mso-height-percent:0;mso-wrap-distance-left:9pt;mso-wrap-distance-top:0;mso-wrap-distance-right:9pt;mso-wrap-distance-bottom:14.4pt;mso-position-horizontal:center;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" o:allowoverlap="f">
                <v:textbox>
                  <w:txbxContent>
                    <w:p w14:paraId="629CD2E9" w14:textId="77777777" w:rsidR="002814C4" w:rsidRDefault="002814C4" w:rsidP="00AA178A">
                      <w:pPr>
                        <w:pStyle w:val="Caption"/>
                      </w:pPr>
                      <w:bookmarkStart w:id="6" w:name="_Ref255766411"/>
                      <w:r>
                        <w:t xml:space="preserve">Exhibit </w:t>
                      </w:r>
                      <w:fldSimple w:instr=" SEQ Exhibit \* ARABIC ">
                        <w:r w:rsidR="003066CB">
                          <w:rPr>
                            <w:noProof/>
                          </w:rPr>
                          <w:t>3</w:t>
                        </w:r>
                      </w:fldSimple>
                      <w:bookmarkEnd w:id="6"/>
                    </w:p>
                    <w:p w14:paraId="355430BA" w14:textId="77777777" w:rsidR="002814C4" w:rsidRDefault="005F2C8D">
                      <w:r>
                        <w:rPr>
                          <w:noProof/>
                        </w:rPr>
                        <w:drawing>
                          <wp:inline distT="0" distB="0" distL="0" distR="0" wp14:anchorId="691E9D7F" wp14:editId="568CF95C">
                            <wp:extent cx="3705225" cy="2447925"/>
                            <wp:effectExtent l="1905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5"/>
                                    <a:srcRect/>
                                    <a:stretch>
                                      <a:fillRect/>
                                    </a:stretch>
                                  </pic:blipFill>
                                  <pic:spPr bwMode="auto">
                                    <a:xfrm>
                                      <a:off x="0" y="0"/>
                                      <a:ext cx="3705225" cy="2447925"/>
                                    </a:xfrm>
                                    <a:prstGeom prst="rect">
                                      <a:avLst/>
                                    </a:prstGeom>
                                    <a:noFill/>
                                    <a:ln w="9525">
                                      <a:noFill/>
                                      <a:miter lim="800000"/>
                                      <a:headEnd/>
                                      <a:tailEnd/>
                                    </a:ln>
                                  </pic:spPr>
                                </pic:pic>
                              </a:graphicData>
                            </a:graphic>
                          </wp:inline>
                        </w:drawing>
                      </w:r>
                    </w:p>
                  </w:txbxContent>
                </v:textbox>
                <w10:wrap type="topAndBottom" anchory="page"/>
              </v:shape>
            </w:pict>
          </mc:Fallback>
        </mc:AlternateContent>
      </w:r>
      <w:r w:rsidR="00BF1D91" w:rsidRPr="00BF1D91">
        <w:rPr>
          <w:b/>
          <w:u w:val="single"/>
        </w:rPr>
        <w:t>Excel Solver</w:t>
      </w:r>
      <w:r w:rsidR="00BF1D91">
        <w:t xml:space="preserve">: </w:t>
      </w:r>
      <w:r w:rsidR="00E50BF9">
        <w:t xml:space="preserve">Invoke </w:t>
      </w:r>
      <w:r w:rsidR="00687614" w:rsidRPr="00687614">
        <w:t>Solver</w:t>
      </w:r>
      <w:r w:rsidR="00B47EE7">
        <w:t xml:space="preserve">, give it the target of the SSE number, specify minimization, and enter PARAMS in the “By Changing Cells” box. </w:t>
      </w:r>
      <w:r w:rsidR="00107D46">
        <w:t xml:space="preserve">Click the “Options” button and then </w:t>
      </w:r>
      <w:r w:rsidR="00107D46" w:rsidRPr="00322FC3">
        <w:rPr>
          <w:u w:val="single"/>
        </w:rPr>
        <w:t>check the “Assume Non-Negative” box.</w:t>
      </w:r>
      <w:r w:rsidR="00107D46">
        <w:t xml:space="preserve"> </w:t>
      </w:r>
      <w:r w:rsidR="001905E2">
        <w:t xml:space="preserve">This will make sure </w:t>
      </w:r>
      <w:r w:rsidR="001905E2" w:rsidRPr="00687614">
        <w:t>Solver</w:t>
      </w:r>
      <w:r w:rsidR="001905E2">
        <w:t xml:space="preserve"> doesn’t try out negative values of </w:t>
      </w:r>
      <w:r w:rsidR="001905E2" w:rsidRPr="00687614">
        <w:t>rr</w:t>
      </w:r>
      <w:r w:rsidR="001905E2">
        <w:t xml:space="preserve"> and bb. </w:t>
      </w:r>
      <w:r w:rsidR="001905E2" w:rsidRPr="001905E2">
        <w:rPr>
          <w:u w:val="single"/>
        </w:rPr>
        <w:t>Also check the “Use Automatic Scaling” box</w:t>
      </w:r>
      <w:r w:rsidR="001B4ECB">
        <w:rPr>
          <w:u w:val="single"/>
        </w:rPr>
        <w:t xml:space="preserve">. </w:t>
      </w:r>
      <w:r w:rsidR="00B47EE7">
        <w:t xml:space="preserve">Click OK </w:t>
      </w:r>
      <w:r w:rsidR="00107D46">
        <w:t xml:space="preserve">then the “Solve” button. </w:t>
      </w:r>
      <w:r w:rsidR="00687614" w:rsidRPr="00687614">
        <w:t>Solver</w:t>
      </w:r>
      <w:r w:rsidR="00107D46">
        <w:t xml:space="preserve"> will report a solution—accept it. </w:t>
      </w:r>
    </w:p>
    <w:p w14:paraId="458F84EC" w14:textId="77777777" w:rsidR="00BF1D91" w:rsidRDefault="00BF1D91" w:rsidP="00875731">
      <w:r w:rsidRPr="00BF1D91">
        <w:rPr>
          <w:b/>
          <w:u w:val="single"/>
        </w:rPr>
        <w:t>Premium Solver</w:t>
      </w:r>
      <w:r>
        <w:t>: Invoke Premium Solver from the Add-Ins menu on the ribbon</w:t>
      </w:r>
      <w:r w:rsidR="001B4ECB">
        <w:t>/</w:t>
      </w:r>
      <w:r>
        <w:t xml:space="preserve">toolbar. </w:t>
      </w:r>
      <w:r w:rsidR="0094049D">
        <w:t xml:space="preserve">Highlight “Objective” and click “Add” and </w:t>
      </w:r>
      <w:r w:rsidR="001B4ECB">
        <w:t xml:space="preserve">then </w:t>
      </w:r>
      <w:r w:rsidR="0094049D">
        <w:t>select the SSE cell to be minimized. Highlight “Varables/Normal</w:t>
      </w:r>
      <w:r w:rsidR="001B4ECB">
        <w:t>,</w:t>
      </w:r>
      <w:r w:rsidR="0094049D">
        <w:t>” click “Add” and type “params” in the range box. Click the “Model” tab and click the “Excel Interpreter” dot. Close the model tab and click the “Options” button. Check the boxes next to “Assume Non-Negative” and “Use Automatic Scaling.” Click “OK” and then “Solve.”</w:t>
      </w:r>
    </w:p>
    <w:p w14:paraId="2DEB322B" w14:textId="77777777" w:rsidR="0094049D" w:rsidRDefault="0094049D" w:rsidP="00875731">
      <w:r w:rsidRPr="0094049D">
        <w:rPr>
          <w:b/>
          <w:u w:val="single"/>
        </w:rPr>
        <w:t>Risk Solver Platform</w:t>
      </w:r>
      <w:r>
        <w:t>: Click the “Risk Solver Platform” entry on the ribbon/toolbar. Click the “Reset All” option to clear any previous work. Select the SSE cell and then click the “Objective/Min</w:t>
      </w:r>
      <w:r w:rsidR="00F026E9">
        <w:t>/Normal</w:t>
      </w:r>
      <w:r>
        <w:t xml:space="preserve">” menu item. Select the “params” cells and click the “Decisions/Normal” menu item. </w:t>
      </w:r>
      <w:r w:rsidR="001B4ECB">
        <w:t xml:space="preserve">On the” Solver Options and Model Specs” window, click the “Platform” tab. Set the “Interpreter” to “Automatic.” In the “Default Bounds” area, set “Decision Vars Lower” to 0. Click the “Engine” tab at the top. Select the “Standard GRG Nonlinear Engine” and set “Use Automatic Scaling” to True. </w:t>
      </w:r>
      <w:r>
        <w:t xml:space="preserve">You can now click the “Optimize/Solve Complete Problem” menu item or click the green arrow on the upper right o the “Solver Options and Model Specs” window. </w:t>
      </w:r>
    </w:p>
    <w:p w14:paraId="32F06CB2" w14:textId="77777777" w:rsidR="00D80A10" w:rsidRDefault="00107D46" w:rsidP="00875731">
      <w:r>
        <w:t>The solution is a pretty good fit with a 99.</w:t>
      </w:r>
      <w:r w:rsidR="00D80A10">
        <w:t>7</w:t>
      </w:r>
      <w:r>
        <w:t>% R-squared</w:t>
      </w:r>
      <w:r w:rsidR="00F026E9">
        <w:t xml:space="preserve"> (SSE = 41.76573.)</w:t>
      </w:r>
      <w:r>
        <w:t xml:space="preserve"> </w:t>
      </w:r>
      <w:r w:rsidR="00D80A10">
        <w:t>The best-fit parameters are:</w:t>
      </w:r>
    </w:p>
    <w:p w14:paraId="4C86B0AB" w14:textId="77777777" w:rsidR="00D80A10" w:rsidRDefault="00D80A10" w:rsidP="00875731"/>
    <w:tbl>
      <w:tblPr>
        <w:tblW w:w="3840" w:type="dxa"/>
        <w:jc w:val="center"/>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68"/>
        <w:gridCol w:w="976"/>
        <w:gridCol w:w="976"/>
        <w:gridCol w:w="968"/>
      </w:tblGrid>
      <w:tr w:rsidR="00D80A10" w14:paraId="52908EB2" w14:textId="77777777" w:rsidTr="00D80A10">
        <w:trPr>
          <w:trHeight w:val="255"/>
          <w:jc w:val="center"/>
        </w:trPr>
        <w:tc>
          <w:tcPr>
            <w:tcW w:w="960" w:type="dxa"/>
            <w:noWrap/>
            <w:vAlign w:val="bottom"/>
            <w:hideMark/>
          </w:tcPr>
          <w:p w14:paraId="66347F50" w14:textId="77777777" w:rsidR="00D80A10" w:rsidRDefault="00687614" w:rsidP="00D80A10">
            <w:pPr>
              <w:jc w:val="center"/>
              <w:rPr>
                <w:rFonts w:ascii="Calibri" w:hAnsi="Calibri"/>
                <w:color w:val="000000"/>
                <w:sz w:val="20"/>
              </w:rPr>
            </w:pPr>
            <w:r w:rsidRPr="00687614">
              <w:rPr>
                <w:rFonts w:ascii="Calibri" w:hAnsi="Calibri"/>
                <w:color w:val="000000"/>
                <w:sz w:val="20"/>
              </w:rPr>
              <w:t>KK</w:t>
            </w:r>
          </w:p>
        </w:tc>
        <w:tc>
          <w:tcPr>
            <w:tcW w:w="960" w:type="dxa"/>
            <w:noWrap/>
            <w:vAlign w:val="bottom"/>
            <w:hideMark/>
          </w:tcPr>
          <w:p w14:paraId="07050F2F" w14:textId="77777777" w:rsidR="00D80A10" w:rsidRDefault="00687614" w:rsidP="00D80A10">
            <w:pPr>
              <w:jc w:val="center"/>
              <w:rPr>
                <w:rFonts w:ascii="Calibri" w:hAnsi="Calibri"/>
                <w:color w:val="000000"/>
                <w:sz w:val="20"/>
              </w:rPr>
            </w:pPr>
            <w:r w:rsidRPr="00687614">
              <w:rPr>
                <w:rFonts w:ascii="Calibri" w:hAnsi="Calibri"/>
                <w:color w:val="000000"/>
                <w:sz w:val="20"/>
              </w:rPr>
              <w:t>rr</w:t>
            </w:r>
          </w:p>
        </w:tc>
        <w:tc>
          <w:tcPr>
            <w:tcW w:w="960" w:type="dxa"/>
            <w:noWrap/>
            <w:vAlign w:val="bottom"/>
            <w:hideMark/>
          </w:tcPr>
          <w:p w14:paraId="68243FDC" w14:textId="77777777" w:rsidR="00D80A10" w:rsidRDefault="000D1F91" w:rsidP="00D80A10">
            <w:pPr>
              <w:jc w:val="center"/>
              <w:rPr>
                <w:rFonts w:ascii="Calibri" w:hAnsi="Calibri"/>
                <w:color w:val="000000"/>
                <w:sz w:val="20"/>
              </w:rPr>
            </w:pPr>
            <w:r>
              <w:rPr>
                <w:rFonts w:ascii="Calibri" w:hAnsi="Calibri"/>
                <w:color w:val="000000"/>
                <w:sz w:val="20"/>
              </w:rPr>
              <w:t>bb</w:t>
            </w:r>
          </w:p>
        </w:tc>
        <w:tc>
          <w:tcPr>
            <w:tcW w:w="960" w:type="dxa"/>
            <w:noWrap/>
            <w:vAlign w:val="bottom"/>
            <w:hideMark/>
          </w:tcPr>
          <w:p w14:paraId="51B2C731" w14:textId="77777777" w:rsidR="00D80A10" w:rsidRDefault="00687614" w:rsidP="00D80A10">
            <w:pPr>
              <w:jc w:val="center"/>
              <w:rPr>
                <w:rFonts w:ascii="Calibri" w:hAnsi="Calibri"/>
                <w:color w:val="000000"/>
                <w:sz w:val="20"/>
              </w:rPr>
            </w:pPr>
            <w:r w:rsidRPr="00687614">
              <w:rPr>
                <w:rFonts w:ascii="Calibri" w:hAnsi="Calibri"/>
                <w:color w:val="000000"/>
                <w:sz w:val="20"/>
              </w:rPr>
              <w:t>MM</w:t>
            </w:r>
          </w:p>
        </w:tc>
      </w:tr>
      <w:tr w:rsidR="00D80A10" w14:paraId="6C64C548" w14:textId="77777777" w:rsidTr="00D80A10">
        <w:trPr>
          <w:trHeight w:val="255"/>
          <w:jc w:val="center"/>
        </w:trPr>
        <w:tc>
          <w:tcPr>
            <w:tcW w:w="0" w:type="auto"/>
            <w:noWrap/>
            <w:vAlign w:val="bottom"/>
            <w:hideMark/>
          </w:tcPr>
          <w:p w14:paraId="0EBF3216" w14:textId="77777777" w:rsidR="00D80A10" w:rsidRDefault="00D80A10" w:rsidP="00F026E9">
            <w:pPr>
              <w:jc w:val="center"/>
              <w:rPr>
                <w:rFonts w:ascii="Calibri" w:hAnsi="Calibri"/>
                <w:color w:val="000000"/>
                <w:sz w:val="20"/>
              </w:rPr>
            </w:pPr>
            <w:bookmarkStart w:id="7" w:name="RANGE!B4:E4"/>
            <w:bookmarkEnd w:id="7"/>
            <w:r>
              <w:rPr>
                <w:rFonts w:ascii="Calibri" w:hAnsi="Calibri"/>
                <w:color w:val="000000"/>
                <w:sz w:val="20"/>
              </w:rPr>
              <w:t>82.</w:t>
            </w:r>
            <w:r w:rsidR="00F026E9">
              <w:rPr>
                <w:rFonts w:ascii="Calibri" w:hAnsi="Calibri"/>
                <w:color w:val="000000"/>
                <w:sz w:val="20"/>
              </w:rPr>
              <w:t>87</w:t>
            </w:r>
          </w:p>
        </w:tc>
        <w:tc>
          <w:tcPr>
            <w:tcW w:w="0" w:type="auto"/>
            <w:noWrap/>
            <w:vAlign w:val="bottom"/>
            <w:hideMark/>
          </w:tcPr>
          <w:p w14:paraId="57F12D4A" w14:textId="77777777" w:rsidR="00D80A10" w:rsidRDefault="00D80A10" w:rsidP="00D80A10">
            <w:pPr>
              <w:jc w:val="center"/>
              <w:rPr>
                <w:rFonts w:ascii="Calibri" w:hAnsi="Calibri"/>
                <w:color w:val="000000"/>
                <w:sz w:val="20"/>
              </w:rPr>
            </w:pPr>
            <w:bookmarkStart w:id="8" w:name="RANGE!C4"/>
            <w:r>
              <w:rPr>
                <w:rFonts w:ascii="Calibri" w:hAnsi="Calibri"/>
                <w:color w:val="000000"/>
                <w:sz w:val="20"/>
              </w:rPr>
              <w:t>0.32</w:t>
            </w:r>
            <w:bookmarkEnd w:id="8"/>
            <w:r w:rsidR="001B4ECB">
              <w:rPr>
                <w:rFonts w:ascii="Calibri" w:hAnsi="Calibri"/>
                <w:color w:val="000000"/>
                <w:sz w:val="20"/>
              </w:rPr>
              <w:t>4</w:t>
            </w:r>
          </w:p>
        </w:tc>
        <w:tc>
          <w:tcPr>
            <w:tcW w:w="0" w:type="auto"/>
            <w:noWrap/>
            <w:vAlign w:val="bottom"/>
            <w:hideMark/>
          </w:tcPr>
          <w:p w14:paraId="5A634BAB" w14:textId="77777777" w:rsidR="00D80A10" w:rsidRDefault="00D80A10" w:rsidP="00D80A10">
            <w:pPr>
              <w:jc w:val="center"/>
              <w:rPr>
                <w:rFonts w:ascii="Calibri" w:hAnsi="Calibri"/>
                <w:color w:val="000000"/>
                <w:sz w:val="20"/>
              </w:rPr>
            </w:pPr>
            <w:bookmarkStart w:id="9" w:name="RANGE!D4"/>
            <w:r>
              <w:rPr>
                <w:rFonts w:ascii="Calibri" w:hAnsi="Calibri"/>
                <w:color w:val="000000"/>
                <w:sz w:val="20"/>
              </w:rPr>
              <w:t>0.1</w:t>
            </w:r>
            <w:bookmarkEnd w:id="9"/>
            <w:r w:rsidR="001B4ECB">
              <w:rPr>
                <w:rFonts w:ascii="Calibri" w:hAnsi="Calibri"/>
                <w:color w:val="000000"/>
                <w:sz w:val="20"/>
              </w:rPr>
              <w:t>1</w:t>
            </w:r>
            <w:r w:rsidR="00F026E9">
              <w:rPr>
                <w:rFonts w:ascii="Calibri" w:hAnsi="Calibri"/>
                <w:color w:val="000000"/>
                <w:sz w:val="20"/>
              </w:rPr>
              <w:t>7</w:t>
            </w:r>
          </w:p>
        </w:tc>
        <w:tc>
          <w:tcPr>
            <w:tcW w:w="0" w:type="auto"/>
            <w:noWrap/>
            <w:vAlign w:val="bottom"/>
            <w:hideMark/>
          </w:tcPr>
          <w:p w14:paraId="2E5ACC85" w14:textId="77777777" w:rsidR="00D80A10" w:rsidRDefault="00D80A10" w:rsidP="00D80A10">
            <w:pPr>
              <w:jc w:val="center"/>
              <w:rPr>
                <w:rFonts w:ascii="Calibri" w:hAnsi="Calibri"/>
                <w:color w:val="000000"/>
                <w:sz w:val="20"/>
              </w:rPr>
            </w:pPr>
            <w:bookmarkStart w:id="10" w:name="RANGE!E4"/>
            <w:r>
              <w:rPr>
                <w:rFonts w:ascii="Calibri" w:hAnsi="Calibri"/>
                <w:color w:val="000000"/>
                <w:sz w:val="20"/>
              </w:rPr>
              <w:t>1962.4</w:t>
            </w:r>
            <w:bookmarkEnd w:id="10"/>
          </w:p>
        </w:tc>
      </w:tr>
    </w:tbl>
    <w:p w14:paraId="70F1597C" w14:textId="77777777" w:rsidR="00B2503A" w:rsidRDefault="00D80A10" w:rsidP="00D80A10">
      <w:r>
        <w:t>The</w:t>
      </w:r>
      <w:r w:rsidR="001B4ECB">
        <w:t>re seems to be</w:t>
      </w:r>
      <w:r>
        <w:t xml:space="preserve"> an inflection point in 1962, as we guessed. The saturation level is forecast to be 82.9%. And, the fitted </w:t>
      </w:r>
      <w:r w:rsidR="00687614" w:rsidRPr="00687614">
        <w:t>rr</w:t>
      </w:r>
      <w:r>
        <w:t xml:space="preserve"> is much smaller than 1.0, reflecting the asymmetry of the new adoptions curve</w:t>
      </w:r>
      <w:r w:rsidR="00B2503A">
        <w:t xml:space="preserve">. </w:t>
      </w:r>
    </w:p>
    <w:p w14:paraId="7602CD79" w14:textId="77777777" w:rsidR="00D80A10" w:rsidRDefault="00B2503A" w:rsidP="00875731">
      <w:r>
        <w:lastRenderedPageBreak/>
        <w:t>Thinking about the new-adoptions data</w:t>
      </w:r>
      <w:r w:rsidR="001B4ECB">
        <w:t xml:space="preserve"> (Y</w:t>
      </w:r>
      <w:r w:rsidR="00687614" w:rsidRPr="00687614">
        <w:t>prime</w:t>
      </w:r>
      <w:r w:rsidR="001B4ECB">
        <w:t xml:space="preserve">) </w:t>
      </w:r>
      <w:r>
        <w:t xml:space="preserve">suggests that we could fit the Richards curve to that instead. To do this, create a new column labeled </w:t>
      </w:r>
      <w:r w:rsidR="00687614" w:rsidRPr="00687614">
        <w:t>Ypfit</w:t>
      </w:r>
      <w:r>
        <w:t xml:space="preserve"> and enter the formula from </w:t>
      </w:r>
      <w:r w:rsidR="00BF092B">
        <w:fldChar w:fldCharType="begin"/>
      </w:r>
      <w:r>
        <w:instrText xml:space="preserve"> GOTOBUTTON ZEqnNum767938  \* MERGEFORMAT </w:instrText>
      </w:r>
      <w:fldSimple w:instr=" REF ZEqnNum767938 \* Charformat \! \* MERGEFORMAT ">
        <w:r w:rsidR="003066CB">
          <w:instrText>(2)</w:instrText>
        </w:r>
      </w:fldSimple>
      <w:r w:rsidR="00BF092B">
        <w:fldChar w:fldCharType="end"/>
      </w:r>
      <w:r>
        <w:t xml:space="preserve"> as (</w:t>
      </w:r>
      <w:r w:rsidR="00687614" w:rsidRPr="00687614">
        <w:t>rr</w:t>
      </w:r>
      <w:r>
        <w:t>/</w:t>
      </w:r>
      <w:r w:rsidR="00687614" w:rsidRPr="00687614">
        <w:t>rr</w:t>
      </w:r>
      <w:r>
        <w:t>)*</w:t>
      </w:r>
      <w:r w:rsidR="00687614" w:rsidRPr="00687614">
        <w:t>Yfit</w:t>
      </w:r>
      <w:r>
        <w:t>*(1-(</w:t>
      </w:r>
      <w:r w:rsidR="00687614" w:rsidRPr="00687614">
        <w:t>Yfit</w:t>
      </w:r>
      <w:r w:rsidRPr="00687614">
        <w:rPr>
          <w:b/>
        </w:rPr>
        <w:t>/</w:t>
      </w:r>
      <w:r w:rsidR="00687614" w:rsidRPr="00687614">
        <w:t>KK</w:t>
      </w:r>
      <w:r>
        <w:t>)^</w:t>
      </w:r>
      <w:r w:rsidR="00687614" w:rsidRPr="00687614">
        <w:t>rr</w:t>
      </w:r>
      <w:r>
        <w:t xml:space="preserve">). Or, use the function RICHARDSPRIME in ASA.XLAM. Above the </w:t>
      </w:r>
      <w:r w:rsidR="00687614" w:rsidRPr="00687614">
        <w:t>Ypfit</w:t>
      </w:r>
      <w:r>
        <w:t xml:space="preserve"> column enter a new block of statistics (SSTm, SSE, and R-squared). This time SSTm=COUNT(</w:t>
      </w:r>
      <w:r w:rsidR="00687614" w:rsidRPr="00687614">
        <w:t>Yprime</w:t>
      </w:r>
      <w:r>
        <w:t>)*VARP(</w:t>
      </w:r>
      <w:r w:rsidR="00687614" w:rsidRPr="00687614">
        <w:t>Yprime</w:t>
      </w:r>
      <w:r>
        <w:t>) and SSE = SUM((</w:t>
      </w:r>
      <w:r w:rsidR="00687614" w:rsidRPr="00687614">
        <w:t>Yprime</w:t>
      </w:r>
      <w:r w:rsidR="00687614">
        <w:rPr>
          <w:b/>
        </w:rPr>
        <w:t>-</w:t>
      </w:r>
      <w:r w:rsidR="00687614" w:rsidRPr="00687614">
        <w:t>Ypfit</w:t>
      </w:r>
      <w:r>
        <w:t>)^2).</w:t>
      </w:r>
      <w:r w:rsidR="00687614">
        <w:t xml:space="preserve"> Now, invoke solver and have it minimize this new SSE.</w:t>
      </w:r>
    </w:p>
    <w:p w14:paraId="64919CA8" w14:textId="62092541" w:rsidR="00687614" w:rsidRDefault="00560AD5" w:rsidP="00875731">
      <w:r>
        <w:rPr>
          <w:noProof/>
          <w:lang w:eastAsia="zh-TW"/>
        </w:rPr>
        <mc:AlternateContent>
          <mc:Choice Requires="wps">
            <w:drawing>
              <wp:anchor distT="0" distB="182880" distL="114300" distR="114300" simplePos="0" relativeHeight="251657728" behindDoc="0" locked="0" layoutInCell="1" allowOverlap="0" wp14:anchorId="1ACBC21A" wp14:editId="09DC4329">
                <wp:simplePos x="0" y="0"/>
                <wp:positionH relativeFrom="column">
                  <wp:posOffset>-92710</wp:posOffset>
                </wp:positionH>
                <wp:positionV relativeFrom="page">
                  <wp:posOffset>4486275</wp:posOffset>
                </wp:positionV>
                <wp:extent cx="5462270" cy="3057525"/>
                <wp:effectExtent l="2540" t="0" r="2540" b="0"/>
                <wp:wrapTopAndBottom/>
                <wp:docPr id="175752255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2270" cy="3057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BC8044" w14:textId="77777777" w:rsidR="002814C4" w:rsidRDefault="002814C4" w:rsidP="008E73B2">
                            <w:pPr>
                              <w:pStyle w:val="Caption"/>
                            </w:pPr>
                            <w:bookmarkStart w:id="11" w:name="_Ref255821189"/>
                            <w:r>
                              <w:t xml:space="preserve">Exhibit </w:t>
                            </w:r>
                            <w:fldSimple w:instr=" SEQ Exhibit \* ARABIC ">
                              <w:r w:rsidR="003066CB">
                                <w:rPr>
                                  <w:noProof/>
                                </w:rPr>
                                <w:t>4</w:t>
                              </w:r>
                            </w:fldSimple>
                            <w:bookmarkEnd w:id="11"/>
                            <w:r>
                              <w:t>—Fits to Y and Yprime</w:t>
                            </w:r>
                          </w:p>
                          <w:p w14:paraId="2F9190D6" w14:textId="77777777" w:rsidR="002814C4" w:rsidRDefault="005F2C8D">
                            <w:r>
                              <w:rPr>
                                <w:noProof/>
                              </w:rPr>
                              <w:drawing>
                                <wp:inline distT="0" distB="0" distL="0" distR="0" wp14:anchorId="794731A9" wp14:editId="3B49082C">
                                  <wp:extent cx="5114925" cy="2876550"/>
                                  <wp:effectExtent l="0" t="0" r="0" b="0"/>
                                  <wp:docPr id="28" name="Chart 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CBC21A" id="Text Box 101" o:spid="_x0000_s1028" type="#_x0000_t202" style="position:absolute;left:0;text-align:left;margin-left:-7.3pt;margin-top:353.25pt;width:430.1pt;height:240.75pt;z-index:251657728;visibility:visible;mso-wrap-style:square;mso-width-percent:0;mso-height-percent:0;mso-wrap-distance-left:9pt;mso-wrap-distance-top:0;mso-wrap-distance-right:9pt;mso-wrap-distance-bottom:14.4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" o:allowoverlap="f" stroked="f">
                <v:textbox>
                  <w:txbxContent>
                    <w:p w14:paraId="59BC8044" w14:textId="77777777" w:rsidR="002814C4" w:rsidRDefault="002814C4" w:rsidP="008E73B2">
                      <w:pPr>
                        <w:pStyle w:val="Caption"/>
                      </w:pPr>
                      <w:bookmarkStart w:id="12" w:name="_Ref255821189"/>
                      <w:r>
                        <w:t xml:space="preserve">Exhibit </w:t>
                      </w:r>
                      <w:fldSimple w:instr=" SEQ Exhibit \* ARABIC ">
                        <w:r w:rsidR="003066CB">
                          <w:rPr>
                            <w:noProof/>
                          </w:rPr>
                          <w:t>4</w:t>
                        </w:r>
                      </w:fldSimple>
                      <w:bookmarkEnd w:id="12"/>
                      <w:r>
                        <w:t>—Fits to Y and Yprime</w:t>
                      </w:r>
                    </w:p>
                    <w:p w14:paraId="2F9190D6" w14:textId="77777777" w:rsidR="002814C4" w:rsidRDefault="005F2C8D">
                      <w:r>
                        <w:rPr>
                          <w:noProof/>
                        </w:rPr>
                        <w:drawing>
                          <wp:inline distT="0" distB="0" distL="0" distR="0" wp14:anchorId="794731A9" wp14:editId="3B49082C">
                            <wp:extent cx="5114925" cy="2876550"/>
                            <wp:effectExtent l="0" t="0" r="0" b="0"/>
                            <wp:docPr id="28" name="Chart 7"/>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xbxContent>
                </v:textbox>
                <w10:wrap type="topAndBottom" anchory="page"/>
              </v:shape>
            </w:pict>
          </mc:Fallback>
        </mc:AlternateContent>
      </w:r>
      <w:r w:rsidR="00687614">
        <w:t>The new solution is slightly different:</w:t>
      </w:r>
    </w:p>
    <w:p w14:paraId="4133C30E" w14:textId="77777777" w:rsidR="00687614" w:rsidRDefault="00687614" w:rsidP="00875731"/>
    <w:tbl>
      <w:tblPr>
        <w:tblW w:w="4860" w:type="dxa"/>
        <w:jc w:val="center"/>
        <w:tblCellMar>
          <w:left w:w="0" w:type="dxa"/>
          <w:right w:w="0" w:type="dxa"/>
        </w:tblCellMar>
        <w:tblLook w:val="04A0" w:firstRow="1" w:lastRow="0" w:firstColumn="1" w:lastColumn="0" w:noHBand="0" w:noVBand="1"/>
      </w:tblPr>
      <w:tblGrid>
        <w:gridCol w:w="1020"/>
        <w:gridCol w:w="976"/>
        <w:gridCol w:w="976"/>
        <w:gridCol w:w="976"/>
        <w:gridCol w:w="976"/>
      </w:tblGrid>
      <w:tr w:rsidR="00687614" w14:paraId="09DE21AB" w14:textId="77777777" w:rsidTr="006F6CAE">
        <w:trPr>
          <w:cantSplit/>
          <w:trHeight w:val="255"/>
          <w:jc w:val="center"/>
        </w:trPr>
        <w:tc>
          <w:tcPr>
            <w:tcW w:w="1020" w:type="dxa"/>
            <w:tcBorders>
              <w:top w:val="nil"/>
              <w:left w:val="nil"/>
              <w:bottom w:val="nil"/>
              <w:right w:val="nil"/>
            </w:tcBorders>
            <w:noWrap/>
            <w:vAlign w:val="bottom"/>
            <w:hideMark/>
          </w:tcPr>
          <w:p w14:paraId="79CECABF" w14:textId="77777777" w:rsidR="00687614" w:rsidRDefault="00687614" w:rsidP="00687614">
            <w:pPr>
              <w:jc w:val="center"/>
              <w:rPr>
                <w:rFonts w:ascii="Calibri" w:hAnsi="Calibri"/>
                <w:b/>
                <w:bCs/>
                <w:i/>
                <w:iCs/>
                <w:color w:val="000000"/>
                <w:sz w:val="20"/>
              </w:rPr>
            </w:pPr>
          </w:p>
        </w:tc>
        <w:tc>
          <w:tcPr>
            <w:tcW w:w="960" w:type="dxa"/>
            <w:tcBorders>
              <w:top w:val="nil"/>
              <w:left w:val="nil"/>
              <w:bottom w:val="nil"/>
              <w:right w:val="nil"/>
            </w:tcBorders>
            <w:noWrap/>
            <w:vAlign w:val="bottom"/>
            <w:hideMark/>
          </w:tcPr>
          <w:p w14:paraId="0D44F95A" w14:textId="77777777" w:rsidR="00687614" w:rsidRDefault="00687614" w:rsidP="00687614">
            <w:pPr>
              <w:jc w:val="center"/>
              <w:rPr>
                <w:rFonts w:ascii="Calibri" w:hAnsi="Calibri"/>
                <w:color w:val="000000"/>
                <w:sz w:val="20"/>
              </w:rPr>
            </w:pPr>
            <w:r>
              <w:rPr>
                <w:rFonts w:ascii="Calibri" w:hAnsi="Calibri"/>
                <w:color w:val="000000"/>
                <w:sz w:val="20"/>
              </w:rPr>
              <w:t>KK</w:t>
            </w:r>
          </w:p>
        </w:tc>
        <w:tc>
          <w:tcPr>
            <w:tcW w:w="960" w:type="dxa"/>
            <w:tcBorders>
              <w:top w:val="nil"/>
              <w:left w:val="nil"/>
              <w:bottom w:val="nil"/>
              <w:right w:val="nil"/>
            </w:tcBorders>
            <w:noWrap/>
            <w:vAlign w:val="bottom"/>
            <w:hideMark/>
          </w:tcPr>
          <w:p w14:paraId="2A1E9DD4" w14:textId="77777777" w:rsidR="00687614" w:rsidRDefault="00687614" w:rsidP="00687614">
            <w:pPr>
              <w:jc w:val="center"/>
              <w:rPr>
                <w:rFonts w:ascii="Calibri" w:hAnsi="Calibri"/>
                <w:color w:val="000000"/>
                <w:sz w:val="20"/>
              </w:rPr>
            </w:pPr>
            <w:r>
              <w:rPr>
                <w:rFonts w:ascii="Calibri" w:hAnsi="Calibri"/>
                <w:color w:val="000000"/>
                <w:sz w:val="20"/>
              </w:rPr>
              <w:t>rr</w:t>
            </w:r>
          </w:p>
        </w:tc>
        <w:tc>
          <w:tcPr>
            <w:tcW w:w="960" w:type="dxa"/>
            <w:tcBorders>
              <w:top w:val="nil"/>
              <w:left w:val="nil"/>
              <w:bottom w:val="nil"/>
              <w:right w:val="nil"/>
            </w:tcBorders>
            <w:noWrap/>
            <w:vAlign w:val="bottom"/>
            <w:hideMark/>
          </w:tcPr>
          <w:p w14:paraId="7399A754" w14:textId="77777777" w:rsidR="00687614" w:rsidRDefault="00687614" w:rsidP="00687614">
            <w:pPr>
              <w:jc w:val="center"/>
              <w:rPr>
                <w:rFonts w:ascii="Calibri" w:hAnsi="Calibri"/>
                <w:color w:val="000000"/>
                <w:sz w:val="20"/>
              </w:rPr>
            </w:pPr>
            <w:r>
              <w:rPr>
                <w:rFonts w:ascii="Calibri" w:hAnsi="Calibri"/>
                <w:color w:val="000000"/>
                <w:sz w:val="20"/>
              </w:rPr>
              <w:t>bb</w:t>
            </w:r>
          </w:p>
        </w:tc>
        <w:tc>
          <w:tcPr>
            <w:tcW w:w="960" w:type="dxa"/>
            <w:tcBorders>
              <w:top w:val="nil"/>
              <w:left w:val="nil"/>
              <w:bottom w:val="nil"/>
              <w:right w:val="nil"/>
            </w:tcBorders>
            <w:noWrap/>
            <w:vAlign w:val="bottom"/>
            <w:hideMark/>
          </w:tcPr>
          <w:p w14:paraId="68B52F22" w14:textId="77777777" w:rsidR="00687614" w:rsidRDefault="00687614" w:rsidP="00687614">
            <w:pPr>
              <w:jc w:val="center"/>
              <w:rPr>
                <w:rFonts w:ascii="Calibri" w:hAnsi="Calibri"/>
                <w:color w:val="000000"/>
                <w:sz w:val="20"/>
              </w:rPr>
            </w:pPr>
            <w:r>
              <w:rPr>
                <w:rFonts w:ascii="Calibri" w:hAnsi="Calibri"/>
                <w:color w:val="000000"/>
                <w:sz w:val="20"/>
              </w:rPr>
              <w:t>MM</w:t>
            </w:r>
          </w:p>
        </w:tc>
      </w:tr>
      <w:tr w:rsidR="00687614" w14:paraId="77FE7498" w14:textId="77777777" w:rsidTr="006F6CAE">
        <w:trPr>
          <w:cantSplit/>
          <w:trHeight w:val="255"/>
          <w:jc w:val="center"/>
        </w:trPr>
        <w:tc>
          <w:tcPr>
            <w:tcW w:w="0" w:type="auto"/>
            <w:tcBorders>
              <w:top w:val="nil"/>
              <w:left w:val="nil"/>
              <w:bottom w:val="nil"/>
              <w:right w:val="nil"/>
            </w:tcBorders>
            <w:noWrap/>
            <w:vAlign w:val="bottom"/>
            <w:hideMark/>
          </w:tcPr>
          <w:p w14:paraId="29BE4955" w14:textId="77777777" w:rsidR="00687614" w:rsidRDefault="00687614" w:rsidP="00687614">
            <w:pPr>
              <w:jc w:val="center"/>
              <w:rPr>
                <w:rFonts w:ascii="Calibri" w:hAnsi="Calibri"/>
                <w:b/>
                <w:bCs/>
                <w:i/>
                <w:iCs/>
                <w:color w:val="000000"/>
                <w:sz w:val="20"/>
              </w:rPr>
            </w:pPr>
            <w:r>
              <w:rPr>
                <w:rFonts w:ascii="Calibri" w:hAnsi="Calibri"/>
                <w:b/>
                <w:bCs/>
                <w:i/>
                <w:iCs/>
                <w:color w:val="000000"/>
                <w:sz w:val="20"/>
              </w:rPr>
              <w:t>Params</w:t>
            </w:r>
          </w:p>
        </w:tc>
        <w:tc>
          <w:tcPr>
            <w:tcW w:w="0" w:type="auto"/>
            <w:tcBorders>
              <w:top w:val="nil"/>
              <w:left w:val="nil"/>
              <w:bottom w:val="nil"/>
              <w:right w:val="nil"/>
            </w:tcBorders>
            <w:noWrap/>
            <w:vAlign w:val="bottom"/>
            <w:hideMark/>
          </w:tcPr>
          <w:p w14:paraId="040FFBCD" w14:textId="77777777" w:rsidR="00687614" w:rsidRDefault="00687614" w:rsidP="00687614">
            <w:pPr>
              <w:jc w:val="center"/>
              <w:rPr>
                <w:rFonts w:ascii="Calibri" w:hAnsi="Calibri"/>
                <w:color w:val="000000"/>
                <w:sz w:val="20"/>
              </w:rPr>
            </w:pPr>
            <w:r>
              <w:rPr>
                <w:rFonts w:ascii="Calibri" w:hAnsi="Calibri"/>
                <w:color w:val="000000"/>
                <w:sz w:val="20"/>
              </w:rPr>
              <w:t>83.7</w:t>
            </w:r>
            <w:r w:rsidR="00F026E9">
              <w:rPr>
                <w:rFonts w:ascii="Calibri" w:hAnsi="Calibri"/>
                <w:color w:val="000000"/>
                <w:sz w:val="20"/>
              </w:rPr>
              <w:t>5</w:t>
            </w:r>
          </w:p>
        </w:tc>
        <w:tc>
          <w:tcPr>
            <w:tcW w:w="0" w:type="auto"/>
            <w:tcBorders>
              <w:top w:val="nil"/>
              <w:left w:val="nil"/>
              <w:bottom w:val="nil"/>
              <w:right w:val="nil"/>
            </w:tcBorders>
            <w:noWrap/>
            <w:vAlign w:val="bottom"/>
            <w:hideMark/>
          </w:tcPr>
          <w:p w14:paraId="743BAA9B" w14:textId="77777777" w:rsidR="00687614" w:rsidRDefault="00687614" w:rsidP="00F026E9">
            <w:pPr>
              <w:jc w:val="center"/>
              <w:rPr>
                <w:rFonts w:ascii="Calibri" w:hAnsi="Calibri"/>
                <w:color w:val="000000"/>
                <w:sz w:val="20"/>
              </w:rPr>
            </w:pPr>
            <w:r>
              <w:rPr>
                <w:rFonts w:ascii="Calibri" w:hAnsi="Calibri"/>
                <w:color w:val="000000"/>
                <w:sz w:val="20"/>
              </w:rPr>
              <w:t>0.3</w:t>
            </w:r>
            <w:r w:rsidR="00F026E9">
              <w:rPr>
                <w:rFonts w:ascii="Calibri" w:hAnsi="Calibri"/>
                <w:color w:val="000000"/>
                <w:sz w:val="20"/>
              </w:rPr>
              <w:t>29</w:t>
            </w:r>
          </w:p>
        </w:tc>
        <w:tc>
          <w:tcPr>
            <w:tcW w:w="0" w:type="auto"/>
            <w:tcBorders>
              <w:top w:val="nil"/>
              <w:left w:val="nil"/>
              <w:bottom w:val="nil"/>
              <w:right w:val="nil"/>
            </w:tcBorders>
            <w:noWrap/>
            <w:vAlign w:val="bottom"/>
            <w:hideMark/>
          </w:tcPr>
          <w:p w14:paraId="300CF2EC" w14:textId="77777777" w:rsidR="00687614" w:rsidRDefault="00687614" w:rsidP="00687614">
            <w:pPr>
              <w:jc w:val="center"/>
              <w:rPr>
                <w:rFonts w:ascii="Calibri" w:hAnsi="Calibri"/>
                <w:color w:val="000000"/>
                <w:sz w:val="20"/>
              </w:rPr>
            </w:pPr>
            <w:r>
              <w:rPr>
                <w:rFonts w:ascii="Calibri" w:hAnsi="Calibri"/>
                <w:color w:val="000000"/>
                <w:sz w:val="20"/>
              </w:rPr>
              <w:t>0.20</w:t>
            </w:r>
            <w:r w:rsidR="00F026E9">
              <w:rPr>
                <w:rFonts w:ascii="Calibri" w:hAnsi="Calibri"/>
                <w:color w:val="000000"/>
                <w:sz w:val="20"/>
              </w:rPr>
              <w:t>3</w:t>
            </w:r>
          </w:p>
        </w:tc>
        <w:tc>
          <w:tcPr>
            <w:tcW w:w="0" w:type="auto"/>
            <w:tcBorders>
              <w:top w:val="nil"/>
              <w:left w:val="nil"/>
              <w:bottom w:val="nil"/>
              <w:right w:val="nil"/>
            </w:tcBorders>
            <w:noWrap/>
            <w:vAlign w:val="bottom"/>
            <w:hideMark/>
          </w:tcPr>
          <w:p w14:paraId="7BD00FE3" w14:textId="77777777" w:rsidR="00687614" w:rsidRDefault="00687614" w:rsidP="00687614">
            <w:pPr>
              <w:jc w:val="center"/>
              <w:rPr>
                <w:rFonts w:ascii="Calibri" w:hAnsi="Calibri"/>
                <w:color w:val="000000"/>
                <w:sz w:val="20"/>
              </w:rPr>
            </w:pPr>
            <w:r>
              <w:rPr>
                <w:rFonts w:ascii="Calibri" w:hAnsi="Calibri"/>
                <w:color w:val="000000"/>
                <w:sz w:val="20"/>
              </w:rPr>
              <w:t>1963.0</w:t>
            </w:r>
          </w:p>
        </w:tc>
      </w:tr>
    </w:tbl>
    <w:p w14:paraId="77CBD23E" w14:textId="77777777" w:rsidR="00687614" w:rsidRDefault="00687614" w:rsidP="00875731"/>
    <w:p w14:paraId="614D8B6F" w14:textId="77777777" w:rsidR="00B2503A" w:rsidRDefault="00BF092B" w:rsidP="00875731">
      <w:r>
        <w:fldChar w:fldCharType="begin"/>
      </w:r>
      <w:r w:rsidR="002814C4">
        <w:instrText xml:space="preserve"> REF _Ref255821189 \h </w:instrText>
      </w:r>
      <w:r>
        <w:fldChar w:fldCharType="separate"/>
      </w:r>
      <w:r w:rsidR="003066CB">
        <w:t xml:space="preserve">Exhibit </w:t>
      </w:r>
      <w:r w:rsidR="003066CB">
        <w:rPr>
          <w:noProof/>
        </w:rPr>
        <w:t>4</w:t>
      </w:r>
      <w:r>
        <w:fldChar w:fldCharType="end"/>
      </w:r>
      <w:r w:rsidR="002814C4">
        <w:t xml:space="preserve"> </w:t>
      </w:r>
      <w:r w:rsidR="008E73B2">
        <w:t xml:space="preserve">shows the difference between the two approaches to fitting the data. </w:t>
      </w:r>
      <w:r w:rsidR="002814C4">
        <w:t xml:space="preserve">They are different because the errors being minimized are different. Do pick an approach it is necessary to examine the errors and decide which one are most significant. Here, fitting </w:t>
      </w:r>
      <w:r w:rsidR="002814C4" w:rsidRPr="00B14BDA">
        <w:rPr>
          <w:i/>
        </w:rPr>
        <w:t>Y</w:t>
      </w:r>
      <w:r w:rsidR="002814C4">
        <w:t xml:space="preserve"> tends to emphasize later errors because </w:t>
      </w:r>
      <w:r w:rsidR="002814C4" w:rsidRPr="00B14BDA">
        <w:rPr>
          <w:i/>
        </w:rPr>
        <w:t>Y</w:t>
      </w:r>
      <w:r w:rsidR="002814C4">
        <w:t xml:space="preserve"> is growing over time. On the other hand, fitting to </w:t>
      </w:r>
      <w:r w:rsidR="002814C4" w:rsidRPr="002814C4">
        <w:rPr>
          <w:position w:val="-4"/>
        </w:rPr>
        <w:object w:dxaOrig="279" w:dyaOrig="260" w14:anchorId="15E21ED6">
          <v:shape id="_x0000_i1045" type="#_x0000_t75" style="width:14.25pt;height:12.75pt" o:ole="">
            <v:imagedata r:id="rId47" o:title=""/>
          </v:shape>
          <o:OLEObject Type="Embed" ProgID="Equation.DSMT4" ShapeID="_x0000_i1045" DrawAspect="Content" ObjectID="_1837602309" r:id="rId48"/>
        </w:object>
      </w:r>
      <w:r w:rsidR="002814C4">
        <w:t xml:space="preserve"> tends to emphasize errors about the time of inflection—in the mid-years of this data. Here I prefer the fit to </w:t>
      </w:r>
      <w:r w:rsidR="002814C4" w:rsidRPr="000D1F91">
        <w:rPr>
          <w:i/>
        </w:rPr>
        <w:t>Y</w:t>
      </w:r>
      <w:r w:rsidR="002814C4">
        <w:t xml:space="preserve"> </w:t>
      </w:r>
      <w:r w:rsidR="00B14BDA">
        <w:t xml:space="preserve"> </w:t>
      </w:r>
      <w:r w:rsidR="002814C4">
        <w:t>because I am more interested in fitting the later data.</w:t>
      </w:r>
    </w:p>
    <w:p w14:paraId="76EB055A" w14:textId="6C6142CD" w:rsidR="002814C4" w:rsidRDefault="00560AD5" w:rsidP="00875731">
      <w:r>
        <w:rPr>
          <w:noProof/>
        </w:rPr>
        <w:lastRenderedPageBreak/>
        <mc:AlternateContent>
          <mc:Choice Requires="wps">
            <w:drawing>
              <wp:anchor distT="0" distB="182880" distL="114300" distR="114300" simplePos="0" relativeHeight="251658752" behindDoc="0" locked="0" layoutInCell="1" allowOverlap="0" wp14:anchorId="1EC5C4D9" wp14:editId="025AB1BD">
                <wp:simplePos x="0" y="0"/>
                <wp:positionH relativeFrom="column">
                  <wp:posOffset>97790</wp:posOffset>
                </wp:positionH>
                <wp:positionV relativeFrom="page">
                  <wp:posOffset>981075</wp:posOffset>
                </wp:positionV>
                <wp:extent cx="4986020" cy="2847975"/>
                <wp:effectExtent l="2540" t="0" r="2540" b="0"/>
                <wp:wrapTopAndBottom/>
                <wp:docPr id="692078618"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20" cy="2847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32B1D3" w14:textId="77777777" w:rsidR="000D1F91" w:rsidRDefault="00AB31F6" w:rsidP="00AB31F6">
                            <w:pPr>
                              <w:pStyle w:val="Caption"/>
                            </w:pPr>
                            <w:bookmarkStart w:id="13" w:name="_Ref255822467"/>
                            <w:r>
                              <w:t xml:space="preserve">Exhibit </w:t>
                            </w:r>
                            <w:fldSimple w:instr=" SEQ Exhibit \* ARABIC ">
                              <w:r w:rsidR="003066CB">
                                <w:rPr>
                                  <w:noProof/>
                                </w:rPr>
                                <w:t>5</w:t>
                              </w:r>
                            </w:fldSimple>
                            <w:bookmarkEnd w:id="13"/>
                            <w:r w:rsidR="000D1F91">
                              <w:t>—</w:t>
                            </w:r>
                            <w:r>
                              <w:t>Forecast versus Actual</w:t>
                            </w:r>
                          </w:p>
                          <w:p w14:paraId="41DCD96C" w14:textId="77777777" w:rsidR="000D1F91" w:rsidRDefault="005F2C8D" w:rsidP="000D1F91">
                            <w:r>
                              <w:rPr>
                                <w:noProof/>
                              </w:rPr>
                              <w:drawing>
                                <wp:inline distT="0" distB="0" distL="0" distR="0" wp14:anchorId="7BCB497C" wp14:editId="40CF2184">
                                  <wp:extent cx="4572762" cy="2347465"/>
                                  <wp:effectExtent l="12192" t="5210" r="6096" b="0"/>
                                  <wp:docPr id="31"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C5C4D9" id="Text Box 102" o:spid="_x0000_s1029" type="#_x0000_t202" style="position:absolute;left:0;text-align:left;margin-left:7.7pt;margin-top:77.25pt;width:392.6pt;height:224.25pt;z-index:251658752;visibility:visible;mso-wrap-style:square;mso-width-percent:0;mso-height-percent:0;mso-wrap-distance-left:9pt;mso-wrap-distance-top:0;mso-wrap-distance-right:9pt;mso-wrap-distance-bottom:14.4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" o:allowoverlap="f" stroked="f">
                <v:textbox>
                  <w:txbxContent>
                    <w:p w14:paraId="6632B1D3" w14:textId="77777777" w:rsidR="000D1F91" w:rsidRDefault="00AB31F6" w:rsidP="00AB31F6">
                      <w:pPr>
                        <w:pStyle w:val="Caption"/>
                      </w:pPr>
                      <w:bookmarkStart w:id="14" w:name="_Ref255822467"/>
                      <w:r>
                        <w:t xml:space="preserve">Exhibit </w:t>
                      </w:r>
                      <w:fldSimple w:instr=" SEQ Exhibit \* ARABIC ">
                        <w:r w:rsidR="003066CB">
                          <w:rPr>
                            <w:noProof/>
                          </w:rPr>
                          <w:t>5</w:t>
                        </w:r>
                      </w:fldSimple>
                      <w:bookmarkEnd w:id="14"/>
                      <w:r w:rsidR="000D1F91">
                        <w:t>—</w:t>
                      </w:r>
                      <w:r>
                        <w:t>Forecast versus Actual</w:t>
                      </w:r>
                    </w:p>
                    <w:p w14:paraId="41DCD96C" w14:textId="77777777" w:rsidR="000D1F91" w:rsidRDefault="005F2C8D" w:rsidP="000D1F91">
                      <w:r>
                        <w:rPr>
                          <w:noProof/>
                        </w:rPr>
                        <w:drawing>
                          <wp:inline distT="0" distB="0" distL="0" distR="0" wp14:anchorId="7BCB497C" wp14:editId="40CF2184">
                            <wp:extent cx="4572762" cy="2347465"/>
                            <wp:effectExtent l="12192" t="5210" r="6096" b="0"/>
                            <wp:docPr id="31" name="Chart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xbxContent>
                </v:textbox>
                <w10:wrap type="topAndBottom" anchory="page"/>
              </v:shape>
            </w:pict>
          </mc:Fallback>
        </mc:AlternateContent>
      </w:r>
      <w:r w:rsidR="002814C4">
        <w:t xml:space="preserve">In cases where the value of </w:t>
      </w:r>
      <w:r w:rsidR="002814C4" w:rsidRPr="00B14BDA">
        <w:rPr>
          <w:i/>
        </w:rPr>
        <w:t>Y</w:t>
      </w:r>
      <w:r w:rsidR="002814C4">
        <w:t xml:space="preserve"> increases dramatically it may be useful to compute logs of </w:t>
      </w:r>
      <w:r w:rsidR="002814C4" w:rsidRPr="00B14BDA">
        <w:rPr>
          <w:i/>
        </w:rPr>
        <w:t>Y</w:t>
      </w:r>
      <w:r w:rsidR="002814C4">
        <w:t xml:space="preserve"> an</w:t>
      </w:r>
      <w:r w:rsidR="000D1F91">
        <w:t xml:space="preserve">d Yfit and minimize the sum of squared errors in logs. This will weight </w:t>
      </w:r>
      <w:r w:rsidR="00B14BDA">
        <w:t>earlier</w:t>
      </w:r>
      <w:r w:rsidR="000D1F91">
        <w:t xml:space="preserve"> observations more heavily than using raw values. On the other hand, one may prefer to weight more recent values more heavily and stick with the raw values. Curve fitting is an exercise in both technique and judgment. </w:t>
      </w:r>
    </w:p>
    <w:p w14:paraId="31393A58" w14:textId="77777777" w:rsidR="000D1F91" w:rsidRDefault="00AB31F6" w:rsidP="00875731">
      <w:r>
        <w:t xml:space="preserve">How well did this fit predict the future? </w:t>
      </w:r>
      <w:r w:rsidR="00BF092B">
        <w:fldChar w:fldCharType="begin"/>
      </w:r>
      <w:r>
        <w:instrText xml:space="preserve"> REF _Ref255822467 \h </w:instrText>
      </w:r>
      <w:r w:rsidR="00BF092B">
        <w:fldChar w:fldCharType="separate"/>
      </w:r>
      <w:r w:rsidR="003066CB">
        <w:t xml:space="preserve">Exhibit </w:t>
      </w:r>
      <w:r w:rsidR="003066CB">
        <w:rPr>
          <w:noProof/>
        </w:rPr>
        <w:t>5</w:t>
      </w:r>
      <w:r w:rsidR="00BF092B">
        <w:fldChar w:fldCharType="end"/>
      </w:r>
      <w:r>
        <w:t xml:space="preserve"> shows the fitted Richards curve extended forward into the future and the actual data through 1980. The predicted saturation level of 83% was quite accurate. However, rather than remaining at the saturation level, the percentage of oxygen capacity began to decrease!</w:t>
      </w:r>
    </w:p>
    <w:p w14:paraId="7B800421" w14:textId="77777777" w:rsidR="00AB31F6" w:rsidRDefault="00E31749" w:rsidP="00875731">
      <w:r>
        <w:t xml:space="preserve">This happened because an even newer technology—the electric arc furnace—began to grow in the late 1960s. Thus, while the basic-oxygen process was displacing the older Bessemer (open hearth) process, the electric-arc furnace was beginning a cycle of displacing both. </w:t>
      </w:r>
    </w:p>
    <w:p w14:paraId="792B4EBC" w14:textId="77777777" w:rsidR="00FF15A8" w:rsidRDefault="00FF15A8" w:rsidP="00875731">
      <w:r>
        <w:t xml:space="preserve">This dynamic of double substitution is illustrated in </w:t>
      </w:r>
      <w:r w:rsidR="00BF092B">
        <w:fldChar w:fldCharType="begin"/>
      </w:r>
      <w:r>
        <w:instrText xml:space="preserve"> REF _Ref255825634 \h </w:instrText>
      </w:r>
      <w:r w:rsidR="00BF092B">
        <w:fldChar w:fldCharType="separate"/>
      </w:r>
      <w:r w:rsidR="003066CB">
        <w:t xml:space="preserve">Exhibit </w:t>
      </w:r>
      <w:r w:rsidR="003066CB">
        <w:rPr>
          <w:noProof/>
        </w:rPr>
        <w:t>6</w:t>
      </w:r>
      <w:r w:rsidR="00BF092B">
        <w:fldChar w:fldCharType="end"/>
      </w:r>
      <w:r>
        <w:t xml:space="preserve">. New technologies and products displace older versions and, in turn, are themselves displaced by newer ones. The complexities arise out of timing and degree. Many factors influence the speed of diffusion of a new technology or product (the </w:t>
      </w:r>
      <w:r w:rsidRPr="00FF15A8">
        <w:rPr>
          <w:position w:val="-6"/>
        </w:rPr>
        <w:object w:dxaOrig="460" w:dyaOrig="279" w14:anchorId="241D68CA">
          <v:shape id="_x0000_i1046" type="#_x0000_t75" style="width:23.25pt;height:14.25pt" o:ole="">
            <v:imagedata r:id="rId50" o:title=""/>
          </v:shape>
          <o:OLEObject Type="Embed" ProgID="Equation.DSMT4" ShapeID="_x0000_i1046" DrawAspect="Content" ObjectID="_1837602310" r:id="rId51"/>
        </w:object>
      </w:r>
      <w:r>
        <w:t>ratio). And other factors influence whether or not substitution is partial or complete. In the case at hand, EAF will probably stabilize at a share of about 40% (because it us used primarily for processing scrap.)</w:t>
      </w:r>
    </w:p>
    <w:p w14:paraId="0D78801B" w14:textId="6E6EA465" w:rsidR="00AB31F6" w:rsidRDefault="00560AD5" w:rsidP="00875731">
      <w:r>
        <w:rPr>
          <w:noProof/>
          <w:lang w:eastAsia="zh-TW"/>
        </w:rPr>
        <w:lastRenderedPageBreak/>
        <mc:AlternateContent>
          <mc:Choice Requires="wps">
            <w:drawing>
              <wp:anchor distT="0" distB="91440" distL="114300" distR="114300" simplePos="0" relativeHeight="251659776" behindDoc="0" locked="0" layoutInCell="1" allowOverlap="0" wp14:anchorId="1749CA74" wp14:editId="7E506CE6">
                <wp:simplePos x="0" y="0"/>
                <wp:positionH relativeFrom="column">
                  <wp:align>center</wp:align>
                </wp:positionH>
                <wp:positionV relativeFrom="paragraph">
                  <wp:posOffset>0</wp:posOffset>
                </wp:positionV>
                <wp:extent cx="3529965" cy="3729355"/>
                <wp:effectExtent l="0" t="0" r="0" b="4445"/>
                <wp:wrapTopAndBottom/>
                <wp:docPr id="172052936"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965" cy="37293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25A9B8" w14:textId="77777777" w:rsidR="00DD0EC9" w:rsidRDefault="00DD0EC9" w:rsidP="00DD0EC9">
                            <w:pPr>
                              <w:pStyle w:val="Caption"/>
                            </w:pPr>
                            <w:bookmarkStart w:id="15" w:name="_Ref255825634"/>
                            <w:r>
                              <w:t xml:space="preserve">Exhibit </w:t>
                            </w:r>
                            <w:fldSimple w:instr=" SEQ Exhibit \* ARABIC ">
                              <w:r w:rsidR="003066CB">
                                <w:rPr>
                                  <w:noProof/>
                                </w:rPr>
                                <w:t>6</w:t>
                              </w:r>
                            </w:fldSimple>
                            <w:bookmarkEnd w:id="15"/>
                            <w:r>
                              <w:t>—Illustration of Double Substitution</w:t>
                            </w:r>
                          </w:p>
                          <w:p w14:paraId="35ECDCFF" w14:textId="77777777" w:rsidR="00DD0EC9" w:rsidRPr="00DD0EC9" w:rsidRDefault="00DD0EC9" w:rsidP="00DD0EC9">
                            <w:r>
                              <w:object w:dxaOrig="6085" w:dyaOrig="6085" w14:anchorId="6545AE60">
                                <v:shape id="_x0000_i1048" type="#_x0000_t75" style="width:249pt;height:249pt" o:ole="">
                                  <v:imagedata r:id="rId52" o:title=""/>
                                </v:shape>
                                <o:OLEObject Type="Embed" ProgID="Visio.Drawing.11" ShapeID="_x0000_i1048" DrawAspect="Content" ObjectID="_1837602316" r:id="rId53"/>
                              </w:objec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49CA74" id="Text Box 104" o:spid="_x0000_s1030" type="#_x0000_t202" style="position:absolute;left:0;text-align:left;margin-left:0;margin-top:0;width:277.95pt;height:293.65pt;z-index:251659776;visibility:visible;mso-wrap-style:square;mso-width-percent:0;mso-height-percent:0;mso-wrap-distance-left:9pt;mso-wrap-distance-top:0;mso-wrap-distance-right:9pt;mso-wrap-distance-bottom:7.2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" o:allowoverlap="f" stroked="f">
                <v:textbox>
                  <w:txbxContent>
                    <w:p w14:paraId="6E25A9B8" w14:textId="77777777" w:rsidR="00DD0EC9" w:rsidRDefault="00DD0EC9" w:rsidP="00DD0EC9">
                      <w:pPr>
                        <w:pStyle w:val="Caption"/>
                      </w:pPr>
                      <w:bookmarkStart w:id="16" w:name="_Ref255825634"/>
                      <w:r>
                        <w:t xml:space="preserve">Exhibit </w:t>
                      </w:r>
                      <w:fldSimple w:instr=" SEQ Exhibit \* ARABIC ">
                        <w:r w:rsidR="003066CB">
                          <w:rPr>
                            <w:noProof/>
                          </w:rPr>
                          <w:t>6</w:t>
                        </w:r>
                      </w:fldSimple>
                      <w:bookmarkEnd w:id="16"/>
                      <w:r>
                        <w:t>—Illustration of Double Substitution</w:t>
                      </w:r>
                    </w:p>
                    <w:p w14:paraId="35ECDCFF" w14:textId="77777777" w:rsidR="00DD0EC9" w:rsidRPr="00DD0EC9" w:rsidRDefault="00DD0EC9" w:rsidP="00DD0EC9">
                      <w:r>
                        <w:object w:dxaOrig="6085" w:dyaOrig="6085" w14:anchorId="6545AE60">
                          <v:shape id="_x0000_i1048" type="#_x0000_t75" style="width:249pt;height:249pt" o:ole="">
                            <v:imagedata r:id="rId52" o:title=""/>
                          </v:shape>
                          <o:OLEObject Type="Embed" ProgID="Visio.Drawing.11" ShapeID="_x0000_i1048" DrawAspect="Content" ObjectID="_1837602316" r:id="rId54"/>
                        </w:object>
                      </w:r>
                    </w:p>
                  </w:txbxContent>
                </v:textbox>
                <w10:wrap type="topAndBottom"/>
              </v:shape>
            </w:pict>
          </mc:Fallback>
        </mc:AlternateContent>
      </w:r>
    </w:p>
    <w:p w14:paraId="62D73E62" w14:textId="77777777" w:rsidR="001905E2" w:rsidRDefault="001B4ECB" w:rsidP="003E6EB0">
      <w:pPr>
        <w:pStyle w:val="Heading2"/>
      </w:pPr>
      <w:r>
        <w:t xml:space="preserve">Regular </w:t>
      </w:r>
      <w:r w:rsidR="001905E2">
        <w:t>Solver Difficulties</w:t>
      </w:r>
    </w:p>
    <w:p w14:paraId="768126BE" w14:textId="77777777" w:rsidR="001905E2" w:rsidRDefault="001B4ECB" w:rsidP="001905E2">
      <w:r>
        <w:t xml:space="preserve">Regular Excel </w:t>
      </w:r>
      <w:r w:rsidR="001905E2">
        <w:t xml:space="preserve">Solver doesn’t always solve. The more variables, the more non-linear the problem, the more likely solver will either pop an error or simply give you the wrong answer. The only way to tell if solver is in trouble is to give it alternative starting values and see if it converges to the same or another answer. </w:t>
      </w:r>
    </w:p>
    <w:p w14:paraId="53B82B80" w14:textId="77777777" w:rsidR="001905E2" w:rsidRDefault="001905E2" w:rsidP="001905E2">
      <w:r>
        <w:t>Here are some steps you can take to help solver.</w:t>
      </w:r>
    </w:p>
    <w:p w14:paraId="5B69BDAB" w14:textId="77777777" w:rsidR="001905E2" w:rsidRDefault="001905E2" w:rsidP="001905E2">
      <w:pPr>
        <w:numPr>
          <w:ilvl w:val="0"/>
          <w:numId w:val="9"/>
        </w:numPr>
      </w:pPr>
      <w:r>
        <w:t>Scale your problem in advance. Try to give solver numbers close to 1.0 to work with.</w:t>
      </w:r>
      <w:r w:rsidR="00E87412">
        <w:t xml:space="preserve"> For example, it is often useful to convert years (e.g., 1998, 1999) into integers such as 1, 2, …</w:t>
      </w:r>
    </w:p>
    <w:p w14:paraId="029E1FBE" w14:textId="77777777" w:rsidR="00E87412" w:rsidRDefault="00E87412" w:rsidP="001905E2">
      <w:pPr>
        <w:numPr>
          <w:ilvl w:val="0"/>
          <w:numId w:val="9"/>
        </w:numPr>
      </w:pPr>
      <w:r>
        <w:t>First f</w:t>
      </w:r>
      <w:r w:rsidR="001905E2">
        <w:t xml:space="preserve">it </w:t>
      </w:r>
      <w:r>
        <w:t>changes and slopes</w:t>
      </w:r>
      <w:r w:rsidR="001905E2">
        <w:t xml:space="preserve">. Here, in the Richards curve problem, it is usually a good idea to first fit </w:t>
      </w:r>
      <w:r w:rsidR="001905E2" w:rsidRPr="001905E2">
        <w:rPr>
          <w:position w:val="-4"/>
        </w:rPr>
        <w:object w:dxaOrig="279" w:dyaOrig="260" w14:anchorId="04E8790B">
          <v:shape id="_x0000_i1049" type="#_x0000_t75" style="width:14.25pt;height:12.75pt" o:ole="">
            <v:imagedata r:id="rId55" o:title=""/>
          </v:shape>
          <o:OLEObject Type="Embed" ProgID="Equation.DSMT4" ShapeID="_x0000_i1049" DrawAspect="Content" ObjectID="_1837602311" r:id="rId56"/>
        </w:object>
      </w:r>
      <w:r w:rsidR="001905E2">
        <w:t>because it has more shape to fit</w:t>
      </w:r>
      <w:r>
        <w:t xml:space="preserve">. </w:t>
      </w:r>
      <w:r w:rsidR="001905E2">
        <w:t xml:space="preserve"> </w:t>
      </w:r>
      <w:r>
        <w:t xml:space="preserve">You can then, if you want, use this solution as starting values to fit Y. </w:t>
      </w:r>
    </w:p>
    <w:p w14:paraId="07346E9B" w14:textId="77777777" w:rsidR="001905E2" w:rsidRDefault="00E87412" w:rsidP="001905E2">
      <w:pPr>
        <w:numPr>
          <w:ilvl w:val="0"/>
          <w:numId w:val="9"/>
        </w:numPr>
      </w:pPr>
      <w:r>
        <w:t xml:space="preserve">Fit by steps. We know that if </w:t>
      </w:r>
      <w:r w:rsidRPr="00E87412">
        <w:rPr>
          <w:position w:val="-6"/>
        </w:rPr>
        <w:object w:dxaOrig="499" w:dyaOrig="279" w14:anchorId="6578579C">
          <v:shape id="_x0000_i1050" type="#_x0000_t75" style="width:24.75pt;height:14.25pt" o:ole="">
            <v:imagedata r:id="rId57" o:title=""/>
          </v:shape>
          <o:OLEObject Type="Embed" ProgID="Equation.DSMT4" ShapeID="_x0000_i1050" DrawAspect="Content" ObjectID="_1837602312" r:id="rId58"/>
        </w:object>
      </w:r>
      <w:r>
        <w:t xml:space="preserve"> the Richards curve is the simpler logistic curve. Set </w:t>
      </w:r>
      <w:r w:rsidRPr="00E87412">
        <w:rPr>
          <w:position w:val="-6"/>
        </w:rPr>
        <w:object w:dxaOrig="499" w:dyaOrig="279" w14:anchorId="54C5F9DA">
          <v:shape id="_x0000_i1051" type="#_x0000_t75" style="width:24.75pt;height:14.25pt" o:ole="">
            <v:imagedata r:id="rId57" o:title=""/>
          </v:shape>
          <o:OLEObject Type="Embed" ProgID="Equation.DSMT4" ShapeID="_x0000_i1051" DrawAspect="Content" ObjectID="_1837602313" r:id="rId59"/>
        </w:object>
      </w:r>
      <w:r>
        <w:t xml:space="preserve"> and only fit for KK, RR, and MM. After you have that solution, include BB in the set of cells to change.</w:t>
      </w:r>
    </w:p>
    <w:p w14:paraId="0183D4BB" w14:textId="77777777" w:rsidR="008E73B2" w:rsidRDefault="003E6EB0" w:rsidP="003E6EB0">
      <w:pPr>
        <w:pStyle w:val="Heading2"/>
      </w:pPr>
      <w:r>
        <w:t>Statistics</w:t>
      </w:r>
    </w:p>
    <w:p w14:paraId="3984B8AE" w14:textId="77777777" w:rsidR="00D80A10" w:rsidRDefault="003E6EB0" w:rsidP="00875731">
      <w:r>
        <w:t>The purpose of curve fitting is to fit a curve closely to data. If the data is too random, it can hardly be “fit” with a curve. Despite this obvious fact, academics have spent a great deal of time trying to generate statistical measures the goodness of a fit. The R-squared we have computed above is just the beginning of such measures.</w:t>
      </w:r>
    </w:p>
    <w:p w14:paraId="33ADC2FB" w14:textId="77777777" w:rsidR="00801C1A" w:rsidRDefault="003E6EB0" w:rsidP="00875731">
      <w:r>
        <w:t xml:space="preserve">Solver does not generate statistical measures, but it is possible to run an Excel macro which will estimate such measures from a Solver solution. The macro </w:t>
      </w:r>
      <w:r w:rsidR="00801C1A">
        <w:t>SSE</w:t>
      </w:r>
      <w:r w:rsidR="001B4ECB">
        <w:t>STATS</w:t>
      </w:r>
      <w:r>
        <w:t xml:space="preserve"> included in ASA.XLAM </w:t>
      </w:r>
      <w:r>
        <w:lastRenderedPageBreak/>
        <w:t>does just this. The macro works by making incremental changes in each parameter and studying the effects on each observation. The result</w:t>
      </w:r>
      <w:r w:rsidR="00801C1A">
        <w:t>s</w:t>
      </w:r>
      <w:r>
        <w:t xml:space="preserve"> are </w:t>
      </w:r>
      <w:r w:rsidR="00801C1A">
        <w:t xml:space="preserve">the </w:t>
      </w:r>
      <w:r>
        <w:t xml:space="preserve">estimated standard error of </w:t>
      </w:r>
      <w:r w:rsidR="00801C1A">
        <w:t>each parameter estimate.</w:t>
      </w:r>
    </w:p>
    <w:p w14:paraId="2C1DF871" w14:textId="77777777" w:rsidR="003E6EB0" w:rsidRDefault="00801C1A" w:rsidP="00875731">
      <w:r>
        <w:t xml:space="preserve">To invoke </w:t>
      </w:r>
      <w:r w:rsidR="003E6EB0">
        <w:t xml:space="preserve">the macro, use </w:t>
      </w:r>
      <w:r w:rsidR="003E6EB0" w:rsidRPr="00801C1A">
        <w:rPr>
          <w:i/>
        </w:rPr>
        <w:t>developer/macros</w:t>
      </w:r>
      <w:r w:rsidR="003E6EB0">
        <w:t xml:space="preserve"> and type </w:t>
      </w:r>
      <w:r w:rsidR="00E87412">
        <w:rPr>
          <w:i/>
        </w:rPr>
        <w:t>ssestat</w:t>
      </w:r>
      <w:r w:rsidR="001B4ECB">
        <w:rPr>
          <w:i/>
        </w:rPr>
        <w:t>s</w:t>
      </w:r>
      <w:r w:rsidR="003E6EB0">
        <w:t xml:space="preserve"> in the box (the macro will not </w:t>
      </w:r>
      <w:r w:rsidR="00E87412">
        <w:t>be</w:t>
      </w:r>
      <w:r w:rsidR="003E6EB0">
        <w:t xml:space="preserve"> on the list below</w:t>
      </w:r>
      <w:r w:rsidR="00E87412">
        <w:t>, but the RUN button will darken if Excel finds it</w:t>
      </w:r>
      <w:r w:rsidR="003E6EB0">
        <w:t xml:space="preserve">). </w:t>
      </w:r>
    </w:p>
    <w:sectPr w:rsidR="003E6EB0" w:rsidSect="00875731">
      <w:headerReference w:type="even" r:id="rId60"/>
      <w:headerReference w:type="default" r:id="rId61"/>
      <w:footerReference w:type="even" r:id="rId62"/>
      <w:footerReference w:type="default" r:id="rId63"/>
      <w:headerReference w:type="first" r:id="rId64"/>
      <w:footerReference w:type="first" r:id="rId65"/>
      <w:pgSz w:w="12240" w:h="15840" w:code="1"/>
      <w:pgMar w:top="1440" w:right="1800" w:bottom="1440" w:left="18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2ABF3" w14:textId="77777777" w:rsidR="002D2ACA" w:rsidRDefault="002D2ACA">
      <w:pPr>
        <w:spacing w:before="0"/>
      </w:pPr>
      <w:r>
        <w:separator/>
      </w:r>
    </w:p>
  </w:endnote>
  <w:endnote w:type="continuationSeparator" w:id="0">
    <w:p w14:paraId="6F574AE1" w14:textId="77777777" w:rsidR="002D2ACA" w:rsidRDefault="002D2ACA">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549B" w14:textId="77777777" w:rsidR="00560AD5" w:rsidRDefault="00560A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90309" w14:textId="77777777" w:rsidR="002814C4" w:rsidRDefault="002814C4">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FBA96" w14:textId="7045D9E4" w:rsidR="00560AD5" w:rsidRDefault="00560AD5" w:rsidP="00560AD5">
    <w:pPr>
      <w:pStyle w:val="Footer"/>
      <w:pBdr>
        <w:bottom w:val="single" w:sz="12" w:space="1" w:color="auto"/>
      </w:pBdr>
    </w:pPr>
  </w:p>
  <w:p w14:paraId="6C64B43F" w14:textId="1B9E5496" w:rsidR="002814C4" w:rsidRPr="00560AD5" w:rsidRDefault="00560AD5" w:rsidP="00560AD5">
    <w:pPr>
      <w:pStyle w:val="Footer"/>
    </w:pPr>
    <w:r w:rsidRPr="00560AD5">
      <w:t>©2010 Richard P. Rumelt. This work is licensed under a Creative Commons Attribution NonCommercial 4.0 International License (CC BY-NC 4.0). You may copy, distribute, and adapt this material for non-commercial purposes, provided appropriate credit is given. Commercial use requires written permission from the author.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5FBDF3" w14:textId="77777777" w:rsidR="002D2ACA" w:rsidRDefault="002D2ACA">
      <w:pPr>
        <w:spacing w:before="0"/>
      </w:pPr>
      <w:r>
        <w:separator/>
      </w:r>
    </w:p>
  </w:footnote>
  <w:footnote w:type="continuationSeparator" w:id="0">
    <w:p w14:paraId="2ACF1491" w14:textId="77777777" w:rsidR="002D2ACA" w:rsidRDefault="002D2ACA">
      <w:pPr>
        <w:spacing w:before="0"/>
      </w:pPr>
      <w:r>
        <w:continuationSeparator/>
      </w:r>
    </w:p>
  </w:footnote>
  <w:footnote w:id="1">
    <w:p w14:paraId="47246976" w14:textId="77777777" w:rsidR="002814C4" w:rsidRDefault="002814C4">
      <w:pPr>
        <w:pStyle w:val="FootnoteText"/>
      </w:pPr>
      <w:r>
        <w:rPr>
          <w:rStyle w:val="FootnoteReference"/>
        </w:rPr>
        <w:footnoteRef/>
      </w:r>
      <w:r>
        <w:t xml:space="preserve"> When </w:t>
      </w:r>
      <w:r w:rsidRPr="00AD14A8">
        <w:rPr>
          <w:position w:val="-6"/>
        </w:rPr>
        <w:object w:dxaOrig="460" w:dyaOrig="260" w14:anchorId="7F3B6CF6">
          <v:shape id="_x0000_i1053" type="#_x0000_t75" style="width:22.5pt;height:13.5pt" o:ole="">
            <v:imagedata r:id="rId1" o:title=""/>
          </v:shape>
          <o:OLEObject Type="Embed" ProgID="Equation.DSMT4" ShapeID="_x0000_i1053" DrawAspect="Content" ObjectID="_1837602314" r:id="rId2"/>
        </w:object>
      </w:r>
      <w:r>
        <w:t xml:space="preserve"> the Richards curve reduces to the logistic curve. When </w:t>
      </w:r>
      <w:r w:rsidRPr="00EE4590">
        <w:rPr>
          <w:i/>
        </w:rPr>
        <w:t>b</w:t>
      </w:r>
      <w:r>
        <w:t xml:space="preserve"> is very small, it approaches the  Gompertz. </w:t>
      </w:r>
    </w:p>
  </w:footnote>
  <w:footnote w:id="2">
    <w:p w14:paraId="5AEE9EA5" w14:textId="77777777" w:rsidR="00EE4590" w:rsidRDefault="00EE4590">
      <w:pPr>
        <w:pStyle w:val="FootnoteText"/>
      </w:pPr>
      <w:r>
        <w:rPr>
          <w:rStyle w:val="FootnoteReference"/>
        </w:rPr>
        <w:footnoteRef/>
      </w:r>
      <w:r>
        <w:t xml:space="preserve"> The Richards curve is defined for  </w:t>
      </w:r>
      <w:r w:rsidRPr="00EE4590">
        <w:rPr>
          <w:position w:val="-6"/>
        </w:rPr>
        <w:object w:dxaOrig="1020" w:dyaOrig="279" w14:anchorId="25D00F62">
          <v:shape id="_x0000_i1055" type="#_x0000_t75" style="width:51pt;height:14.25pt" o:ole="">
            <v:imagedata r:id="rId3" o:title=""/>
          </v:shape>
          <o:OLEObject Type="Embed" ProgID="Equation.DSMT4" ShapeID="_x0000_i1055" DrawAspect="Content" ObjectID="_1837602315" r:id="rId4"/>
        </w:object>
      </w:r>
      <w:r>
        <w:t>, but interpretation is difficult and numerical issues can arise.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60546" w14:textId="77777777" w:rsidR="00560AD5" w:rsidRDefault="00560A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2D68C" w14:textId="57621AC8" w:rsidR="002814C4" w:rsidRDefault="002814C4" w:rsidP="00540062">
    <w:pPr>
      <w:pStyle w:val="Header"/>
      <w:tabs>
        <w:tab w:val="clear" w:pos="4320"/>
        <w:tab w:val="clear" w:pos="8640"/>
        <w:tab w:val="right" w:pos="8550"/>
        <w:tab w:val="right" w:pos="12870"/>
      </w:tabs>
      <w:spacing w:before="0"/>
    </w:pPr>
    <w:r>
      <w:rPr>
        <w:rFonts w:ascii="Arial" w:hAnsi="Arial" w:cs="Arial"/>
        <w:bCs/>
        <w:kern w:val="28"/>
      </w:rPr>
      <w:t>Diffusion and Sigmoid Growth</w:t>
    </w:r>
    <w:r>
      <w:tab/>
    </w:r>
    <w:r w:rsidR="00BF092B">
      <w:rPr>
        <w:rStyle w:val="PageNumber"/>
      </w:rPr>
      <w:fldChar w:fldCharType="begin"/>
    </w:r>
    <w:r>
      <w:rPr>
        <w:rStyle w:val="PageNumber"/>
      </w:rPr>
      <w:instrText xml:space="preserve"> PAGE </w:instrText>
    </w:r>
    <w:r w:rsidR="00BF092B">
      <w:rPr>
        <w:rStyle w:val="PageNumber"/>
      </w:rPr>
      <w:fldChar w:fldCharType="separate"/>
    </w:r>
    <w:r w:rsidR="005F2C8D">
      <w:rPr>
        <w:rStyle w:val="PageNumber"/>
        <w:noProof/>
      </w:rPr>
      <w:t>8</w:t>
    </w:r>
    <w:r w:rsidR="00BF092B">
      <w:rPr>
        <w:rStyle w:val="PageNumber"/>
      </w:rPr>
      <w:fldChar w:fldCharType="end"/>
    </w:r>
    <w:r>
      <w:tab/>
    </w:r>
  </w:p>
  <w:p w14:paraId="286D8750" w14:textId="77777777" w:rsidR="002814C4" w:rsidRDefault="002814C4">
    <w:pPr>
      <w:pStyle w:val="Header"/>
      <w:tabs>
        <w:tab w:val="clear" w:pos="4320"/>
      </w:tabs>
      <w:spacing w:befor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F37BF" w14:textId="749E8F2D" w:rsidR="002814C4" w:rsidRDefault="002814C4">
    <w:pPr>
      <w:pStyle w:val="Header"/>
      <w:tabs>
        <w:tab w:val="clear" w:pos="4320"/>
      </w:tabs>
      <w:spacing w:before="0"/>
      <w:rPr>
        <w:rFonts w:ascii="Arial" w:hAnsi="Arial" w:cs="Arial"/>
      </w:rPr>
    </w:pPr>
    <w:r>
      <w:rPr>
        <w:rFonts w:ascii="Arial" w:hAnsi="Arial" w:cs="Aria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C49"/>
    <w:multiLevelType w:val="hybridMultilevel"/>
    <w:tmpl w:val="901636BE"/>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15:restartNumberingAfterBreak="0">
    <w:nsid w:val="1A5733F2"/>
    <w:multiLevelType w:val="hybridMultilevel"/>
    <w:tmpl w:val="33709A9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D2725A3"/>
    <w:multiLevelType w:val="hybridMultilevel"/>
    <w:tmpl w:val="388CE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6920B1"/>
    <w:multiLevelType w:val="hybridMultilevel"/>
    <w:tmpl w:val="AE9878C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5583F32"/>
    <w:multiLevelType w:val="hybridMultilevel"/>
    <w:tmpl w:val="632C0DBC"/>
    <w:lvl w:ilvl="0" w:tplc="C9C2A30A">
      <w:numFmt w:val="decimal"/>
      <w:lvlText w:val="%1"/>
      <w:lvlJc w:val="left"/>
      <w:pPr>
        <w:tabs>
          <w:tab w:val="num" w:pos="2880"/>
        </w:tabs>
        <w:ind w:left="2880" w:hanging="144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15:restartNumberingAfterBreak="0">
    <w:nsid w:val="368E154D"/>
    <w:multiLevelType w:val="hybridMultilevel"/>
    <w:tmpl w:val="5204FD06"/>
    <w:lvl w:ilvl="0" w:tplc="C9C2A30A">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3A091914"/>
    <w:multiLevelType w:val="hybridMultilevel"/>
    <w:tmpl w:val="81A64A52"/>
    <w:lvl w:ilvl="0" w:tplc="060AFEE6">
      <w:start w:val="1"/>
      <w:numFmt w:val="decimal"/>
      <w:lvlText w:val="%1."/>
      <w:lvlJc w:val="left"/>
      <w:pPr>
        <w:tabs>
          <w:tab w:val="num" w:pos="2160"/>
        </w:tabs>
        <w:ind w:left="2160" w:hanging="144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409733F2"/>
    <w:multiLevelType w:val="hybridMultilevel"/>
    <w:tmpl w:val="C43E1922"/>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6B001FB5"/>
    <w:multiLevelType w:val="hybridMultilevel"/>
    <w:tmpl w:val="4FC8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5964727">
    <w:abstractNumId w:val="5"/>
  </w:num>
  <w:num w:numId="2" w16cid:durableId="72317480">
    <w:abstractNumId w:val="4"/>
  </w:num>
  <w:num w:numId="3" w16cid:durableId="556480437">
    <w:abstractNumId w:val="1"/>
  </w:num>
  <w:num w:numId="4" w16cid:durableId="1675647678">
    <w:abstractNumId w:val="0"/>
  </w:num>
  <w:num w:numId="5" w16cid:durableId="1766607516">
    <w:abstractNumId w:val="6"/>
  </w:num>
  <w:num w:numId="6" w16cid:durableId="284316367">
    <w:abstractNumId w:val="7"/>
  </w:num>
  <w:num w:numId="7" w16cid:durableId="1491869540">
    <w:abstractNumId w:val="3"/>
  </w:num>
  <w:num w:numId="8" w16cid:durableId="2008360027">
    <w:abstractNumId w:val="8"/>
  </w:num>
  <w:num w:numId="9" w16cid:durableId="118455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fill="f" fillcolor="window" stroke="f">
      <v:fill color="window"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DB3"/>
    <w:rsid w:val="00023194"/>
    <w:rsid w:val="000326BF"/>
    <w:rsid w:val="00041777"/>
    <w:rsid w:val="00045720"/>
    <w:rsid w:val="00062DF2"/>
    <w:rsid w:val="00083236"/>
    <w:rsid w:val="00091270"/>
    <w:rsid w:val="000A18D1"/>
    <w:rsid w:val="000C53C0"/>
    <w:rsid w:val="000C6175"/>
    <w:rsid w:val="000D1F91"/>
    <w:rsid w:val="000D4A3C"/>
    <w:rsid w:val="000E769F"/>
    <w:rsid w:val="000E7900"/>
    <w:rsid w:val="000F24D5"/>
    <w:rsid w:val="000F3728"/>
    <w:rsid w:val="00107D46"/>
    <w:rsid w:val="00115C62"/>
    <w:rsid w:val="001905E2"/>
    <w:rsid w:val="00191F62"/>
    <w:rsid w:val="001A0593"/>
    <w:rsid w:val="001B4ECB"/>
    <w:rsid w:val="001E3FF2"/>
    <w:rsid w:val="001E5680"/>
    <w:rsid w:val="001E6BBC"/>
    <w:rsid w:val="00203603"/>
    <w:rsid w:val="002103F5"/>
    <w:rsid w:val="00212C6A"/>
    <w:rsid w:val="00244B6A"/>
    <w:rsid w:val="00252EF3"/>
    <w:rsid w:val="00267FB8"/>
    <w:rsid w:val="002814C4"/>
    <w:rsid w:val="002B1DB3"/>
    <w:rsid w:val="002C1671"/>
    <w:rsid w:val="002C3D47"/>
    <w:rsid w:val="002D2ACA"/>
    <w:rsid w:val="002D525C"/>
    <w:rsid w:val="003040F9"/>
    <w:rsid w:val="00306213"/>
    <w:rsid w:val="003066CB"/>
    <w:rsid w:val="00322FC3"/>
    <w:rsid w:val="003611F6"/>
    <w:rsid w:val="00363CA6"/>
    <w:rsid w:val="003C10C0"/>
    <w:rsid w:val="003D60F7"/>
    <w:rsid w:val="003E6AE0"/>
    <w:rsid w:val="003E6EB0"/>
    <w:rsid w:val="003F789C"/>
    <w:rsid w:val="004077EF"/>
    <w:rsid w:val="004337EE"/>
    <w:rsid w:val="004435C8"/>
    <w:rsid w:val="00450A3F"/>
    <w:rsid w:val="004B77A6"/>
    <w:rsid w:val="004C5F4F"/>
    <w:rsid w:val="004C7B82"/>
    <w:rsid w:val="004F00CC"/>
    <w:rsid w:val="005144C0"/>
    <w:rsid w:val="00540062"/>
    <w:rsid w:val="00560AD5"/>
    <w:rsid w:val="00562F28"/>
    <w:rsid w:val="00565897"/>
    <w:rsid w:val="00581020"/>
    <w:rsid w:val="005E65CD"/>
    <w:rsid w:val="005F2C8D"/>
    <w:rsid w:val="0060214A"/>
    <w:rsid w:val="00602F58"/>
    <w:rsid w:val="006032BC"/>
    <w:rsid w:val="00641475"/>
    <w:rsid w:val="00687614"/>
    <w:rsid w:val="00687D90"/>
    <w:rsid w:val="006A3042"/>
    <w:rsid w:val="006A3FC4"/>
    <w:rsid w:val="006B6826"/>
    <w:rsid w:val="006B7BA9"/>
    <w:rsid w:val="006C01DF"/>
    <w:rsid w:val="006D147B"/>
    <w:rsid w:val="006E5BD8"/>
    <w:rsid w:val="006F6CAE"/>
    <w:rsid w:val="00727633"/>
    <w:rsid w:val="00761252"/>
    <w:rsid w:val="0076309B"/>
    <w:rsid w:val="007A38C0"/>
    <w:rsid w:val="007A73C9"/>
    <w:rsid w:val="007A7670"/>
    <w:rsid w:val="007B4525"/>
    <w:rsid w:val="007F4683"/>
    <w:rsid w:val="00801C1A"/>
    <w:rsid w:val="00804A83"/>
    <w:rsid w:val="00815692"/>
    <w:rsid w:val="00835D04"/>
    <w:rsid w:val="00843CDC"/>
    <w:rsid w:val="0085007D"/>
    <w:rsid w:val="00875731"/>
    <w:rsid w:val="008768AE"/>
    <w:rsid w:val="00895FEA"/>
    <w:rsid w:val="008C7E7F"/>
    <w:rsid w:val="008D11E8"/>
    <w:rsid w:val="008E5234"/>
    <w:rsid w:val="008E73B2"/>
    <w:rsid w:val="008F4FAE"/>
    <w:rsid w:val="00906B97"/>
    <w:rsid w:val="00925890"/>
    <w:rsid w:val="009263DD"/>
    <w:rsid w:val="0094049D"/>
    <w:rsid w:val="00941887"/>
    <w:rsid w:val="00961107"/>
    <w:rsid w:val="0096583C"/>
    <w:rsid w:val="00982612"/>
    <w:rsid w:val="00997006"/>
    <w:rsid w:val="009B08A7"/>
    <w:rsid w:val="009B2487"/>
    <w:rsid w:val="009B3DD5"/>
    <w:rsid w:val="009B6C53"/>
    <w:rsid w:val="009C7F50"/>
    <w:rsid w:val="00A121BD"/>
    <w:rsid w:val="00A226B4"/>
    <w:rsid w:val="00A428F4"/>
    <w:rsid w:val="00A55105"/>
    <w:rsid w:val="00A8001D"/>
    <w:rsid w:val="00A84397"/>
    <w:rsid w:val="00AA178A"/>
    <w:rsid w:val="00AA685B"/>
    <w:rsid w:val="00AB31F6"/>
    <w:rsid w:val="00AC2515"/>
    <w:rsid w:val="00AD14A8"/>
    <w:rsid w:val="00AE5F34"/>
    <w:rsid w:val="00AF7DB3"/>
    <w:rsid w:val="00B14BDA"/>
    <w:rsid w:val="00B237D8"/>
    <w:rsid w:val="00B2503A"/>
    <w:rsid w:val="00B27616"/>
    <w:rsid w:val="00B31A23"/>
    <w:rsid w:val="00B36A3F"/>
    <w:rsid w:val="00B47EE7"/>
    <w:rsid w:val="00B50108"/>
    <w:rsid w:val="00B8024F"/>
    <w:rsid w:val="00B85839"/>
    <w:rsid w:val="00B87EDF"/>
    <w:rsid w:val="00B91EA9"/>
    <w:rsid w:val="00BC11CA"/>
    <w:rsid w:val="00BC1EEE"/>
    <w:rsid w:val="00BC7E06"/>
    <w:rsid w:val="00BD23D6"/>
    <w:rsid w:val="00BE0FE9"/>
    <w:rsid w:val="00BF092B"/>
    <w:rsid w:val="00BF1D91"/>
    <w:rsid w:val="00C002CA"/>
    <w:rsid w:val="00C02FF6"/>
    <w:rsid w:val="00C14459"/>
    <w:rsid w:val="00C367A7"/>
    <w:rsid w:val="00CA4694"/>
    <w:rsid w:val="00CA50B2"/>
    <w:rsid w:val="00CD55B6"/>
    <w:rsid w:val="00D03642"/>
    <w:rsid w:val="00D127D6"/>
    <w:rsid w:val="00D80A10"/>
    <w:rsid w:val="00DC52D5"/>
    <w:rsid w:val="00DD0EC9"/>
    <w:rsid w:val="00DD1D36"/>
    <w:rsid w:val="00DF51F6"/>
    <w:rsid w:val="00E06C8C"/>
    <w:rsid w:val="00E11737"/>
    <w:rsid w:val="00E2128C"/>
    <w:rsid w:val="00E31749"/>
    <w:rsid w:val="00E505D6"/>
    <w:rsid w:val="00E50BF9"/>
    <w:rsid w:val="00E62F74"/>
    <w:rsid w:val="00E87412"/>
    <w:rsid w:val="00EB0300"/>
    <w:rsid w:val="00ED6A5C"/>
    <w:rsid w:val="00EE42FC"/>
    <w:rsid w:val="00EE4590"/>
    <w:rsid w:val="00F0008F"/>
    <w:rsid w:val="00F026E9"/>
    <w:rsid w:val="00F15636"/>
    <w:rsid w:val="00F313B2"/>
    <w:rsid w:val="00FB4C0D"/>
    <w:rsid w:val="00FF15A8"/>
    <w:rsid w:val="00FF2C8B"/>
    <w:rsid w:val="00FF7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indow" stroke="f">
      <v:fill color="window" on="f"/>
      <v:stroke on="f"/>
    </o:shapedefaults>
    <o:shapelayout v:ext="edit">
      <o:idmap v:ext="edit" data="2"/>
    </o:shapelayout>
  </w:shapeDefaults>
  <w:decimalSymbol w:val="."/>
  <w:listSeparator w:val=","/>
  <w14:docId w14:val="73722738"/>
  <w15:docId w15:val="{7D28CF11-D6CE-46CC-B0B4-794EE152D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26B4"/>
    <w:pPr>
      <w:spacing w:before="120"/>
      <w:jc w:val="both"/>
    </w:pPr>
    <w:rPr>
      <w:sz w:val="22"/>
    </w:rPr>
  </w:style>
  <w:style w:type="paragraph" w:styleId="Heading1">
    <w:name w:val="heading 1"/>
    <w:basedOn w:val="Normal"/>
    <w:next w:val="Normal"/>
    <w:qFormat/>
    <w:rsid w:val="00CD55B6"/>
    <w:pPr>
      <w:keepNext/>
      <w:spacing w:before="240" w:after="60"/>
      <w:outlineLvl w:val="0"/>
    </w:pPr>
    <w:rPr>
      <w:rFonts w:ascii="Arial" w:hAnsi="Arial"/>
      <w:b/>
      <w:kern w:val="28"/>
      <w:sz w:val="28"/>
    </w:rPr>
  </w:style>
  <w:style w:type="paragraph" w:styleId="Heading2">
    <w:name w:val="heading 2"/>
    <w:basedOn w:val="Heading3"/>
    <w:next w:val="Normal"/>
    <w:qFormat/>
    <w:rsid w:val="003040F9"/>
    <w:pPr>
      <w:jc w:val="center"/>
      <w:outlineLvl w:val="1"/>
    </w:pPr>
    <w:rPr>
      <w:rFonts w:ascii="Arial" w:hAnsi="Arial"/>
      <w:i w:val="0"/>
      <w:u w:val="none"/>
    </w:rPr>
  </w:style>
  <w:style w:type="paragraph" w:styleId="Heading3">
    <w:name w:val="heading 3"/>
    <w:basedOn w:val="Normal"/>
    <w:next w:val="Normal"/>
    <w:qFormat/>
    <w:rsid w:val="003040F9"/>
    <w:pPr>
      <w:keepNext/>
      <w:spacing w:after="60"/>
      <w:jc w:val="left"/>
      <w:outlineLvl w:val="2"/>
    </w:pPr>
    <w:rPr>
      <w:rFonts w:ascii="Palatino Linotype" w:hAnsi="Palatino Linotype" w:cs="Arial"/>
      <w:b/>
      <w:bCs/>
      <w:i/>
      <w:kern w:val="24"/>
      <w:szCs w:val="22"/>
      <w:u w:val="single"/>
    </w:rPr>
  </w:style>
  <w:style w:type="paragraph" w:styleId="Heading4">
    <w:name w:val="heading 4"/>
    <w:basedOn w:val="Normal"/>
    <w:next w:val="Normal"/>
    <w:qFormat/>
    <w:rsid w:val="00CD55B6"/>
    <w:pPr>
      <w:keepNext/>
      <w:ind w:hanging="10"/>
      <w:outlineLvl w:val="3"/>
    </w:pPr>
    <w:rPr>
      <w:rFonts w:ascii="Arial" w:hAnsi="Arial" w:cs="Arial"/>
      <w:b/>
      <w:bCs/>
      <w:sz w:val="20"/>
    </w:rPr>
  </w:style>
  <w:style w:type="paragraph" w:styleId="Heading5">
    <w:name w:val="heading 5"/>
    <w:basedOn w:val="Normal"/>
    <w:next w:val="Normal"/>
    <w:qFormat/>
    <w:rsid w:val="00CD55B6"/>
    <w:pPr>
      <w:keepNext/>
      <w:jc w:val="center"/>
      <w:outlineLvl w:val="4"/>
    </w:pPr>
    <w:rPr>
      <w:b/>
      <w:bCs/>
    </w:rPr>
  </w:style>
  <w:style w:type="paragraph" w:styleId="Heading7">
    <w:name w:val="heading 7"/>
    <w:basedOn w:val="Normal"/>
    <w:next w:val="Normal"/>
    <w:qFormat/>
    <w:rsid w:val="00CD55B6"/>
    <w:pPr>
      <w:keepNext/>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dent">
    <w:name w:val="nodent"/>
    <w:basedOn w:val="Normal"/>
    <w:rsid w:val="00CD55B6"/>
  </w:style>
  <w:style w:type="paragraph" w:customStyle="1" w:styleId="MTDisplayEquation">
    <w:name w:val="MTDisplayEquation"/>
    <w:basedOn w:val="Normal"/>
    <w:rsid w:val="00CD55B6"/>
    <w:pPr>
      <w:tabs>
        <w:tab w:val="center" w:pos="4320"/>
        <w:tab w:val="right" w:pos="8640"/>
      </w:tabs>
    </w:pPr>
  </w:style>
  <w:style w:type="paragraph" w:styleId="FootnoteText">
    <w:name w:val="footnote text"/>
    <w:basedOn w:val="Normal"/>
    <w:semiHidden/>
    <w:rsid w:val="00CD55B6"/>
    <w:pPr>
      <w:ind w:firstLine="180"/>
    </w:pPr>
    <w:rPr>
      <w:sz w:val="20"/>
    </w:rPr>
  </w:style>
  <w:style w:type="character" w:styleId="FootnoteReference">
    <w:name w:val="footnote reference"/>
    <w:basedOn w:val="DefaultParagraphFont"/>
    <w:semiHidden/>
    <w:rsid w:val="00CD55B6"/>
    <w:rPr>
      <w:vertAlign w:val="superscript"/>
    </w:rPr>
  </w:style>
  <w:style w:type="paragraph" w:customStyle="1" w:styleId="item">
    <w:name w:val="item"/>
    <w:basedOn w:val="nodent"/>
    <w:rsid w:val="00CD55B6"/>
    <w:pPr>
      <w:tabs>
        <w:tab w:val="left" w:pos="1080"/>
      </w:tabs>
      <w:ind w:left="1080" w:hanging="360"/>
    </w:pPr>
  </w:style>
  <w:style w:type="character" w:customStyle="1" w:styleId="MTEquationSection">
    <w:name w:val="MTEquationSection"/>
    <w:basedOn w:val="DefaultParagraphFont"/>
    <w:rsid w:val="00CD55B6"/>
    <w:rPr>
      <w:vanish/>
      <w:color w:val="FF0000"/>
    </w:rPr>
  </w:style>
  <w:style w:type="paragraph" w:styleId="Header">
    <w:name w:val="header"/>
    <w:basedOn w:val="Normal"/>
    <w:rsid w:val="00CD55B6"/>
    <w:pPr>
      <w:tabs>
        <w:tab w:val="center" w:pos="4320"/>
        <w:tab w:val="right" w:pos="8640"/>
      </w:tabs>
    </w:pPr>
  </w:style>
  <w:style w:type="paragraph" w:styleId="Footer">
    <w:name w:val="footer"/>
    <w:basedOn w:val="Normal"/>
    <w:rsid w:val="00CD55B6"/>
    <w:pPr>
      <w:tabs>
        <w:tab w:val="center" w:pos="4320"/>
        <w:tab w:val="right" w:pos="8640"/>
      </w:tabs>
    </w:pPr>
  </w:style>
  <w:style w:type="character" w:styleId="PageNumber">
    <w:name w:val="page number"/>
    <w:basedOn w:val="DefaultParagraphFont"/>
    <w:rsid w:val="00CD55B6"/>
  </w:style>
  <w:style w:type="character" w:styleId="Hyperlink">
    <w:name w:val="Hyperlink"/>
    <w:basedOn w:val="DefaultParagraphFont"/>
    <w:rsid w:val="00CD55B6"/>
    <w:rPr>
      <w:color w:val="0000FF"/>
      <w:u w:val="single"/>
    </w:rPr>
  </w:style>
  <w:style w:type="paragraph" w:styleId="BodyText">
    <w:name w:val="Body Text"/>
    <w:basedOn w:val="Normal"/>
    <w:rsid w:val="00CD55B6"/>
    <w:rPr>
      <w:sz w:val="24"/>
      <w:szCs w:val="24"/>
    </w:rPr>
  </w:style>
  <w:style w:type="paragraph" w:customStyle="1" w:styleId="Exhibit">
    <w:name w:val="Exhibit"/>
    <w:basedOn w:val="Normal"/>
    <w:rsid w:val="00CD55B6"/>
    <w:pPr>
      <w:spacing w:after="120"/>
      <w:jc w:val="center"/>
    </w:pPr>
    <w:rPr>
      <w:b/>
      <w:bCs/>
    </w:rPr>
  </w:style>
  <w:style w:type="paragraph" w:styleId="Title">
    <w:name w:val="Title"/>
    <w:basedOn w:val="Normal"/>
    <w:qFormat/>
    <w:rsid w:val="00CD55B6"/>
    <w:pPr>
      <w:spacing w:before="240" w:after="60"/>
      <w:jc w:val="center"/>
      <w:outlineLvl w:val="0"/>
    </w:pPr>
    <w:rPr>
      <w:rFonts w:ascii="Arial" w:hAnsi="Arial" w:cs="Arial"/>
      <w:b/>
      <w:bCs/>
      <w:kern w:val="28"/>
      <w:sz w:val="32"/>
      <w:szCs w:val="32"/>
    </w:rPr>
  </w:style>
  <w:style w:type="paragraph" w:customStyle="1" w:styleId="Tabletext">
    <w:name w:val="Table_text"/>
    <w:basedOn w:val="Normal"/>
    <w:rsid w:val="00CD55B6"/>
    <w:pPr>
      <w:ind w:left="142"/>
    </w:pPr>
    <w:rPr>
      <w:rFonts w:ascii="Arial" w:hAnsi="Arial"/>
      <w:sz w:val="20"/>
    </w:rPr>
  </w:style>
  <w:style w:type="character" w:styleId="FollowedHyperlink">
    <w:name w:val="FollowedHyperlink"/>
    <w:basedOn w:val="DefaultParagraphFont"/>
    <w:rsid w:val="00CD55B6"/>
    <w:rPr>
      <w:color w:val="800080"/>
      <w:u w:val="single"/>
    </w:rPr>
  </w:style>
  <w:style w:type="paragraph" w:customStyle="1" w:styleId="AGSM">
    <w:name w:val="AGSM"/>
    <w:basedOn w:val="Heading1"/>
    <w:rsid w:val="00CD55B6"/>
    <w:pPr>
      <w:framePr w:hSpace="180" w:wrap="notBeside" w:vAnchor="text" w:hAnchor="margin" w:y="-324"/>
      <w:spacing w:before="120" w:after="0"/>
    </w:pPr>
    <w:rPr>
      <w:rFonts w:ascii="Arial Black" w:hAnsi="Arial Black" w:cs="Arial"/>
      <w:sz w:val="24"/>
    </w:rPr>
  </w:style>
  <w:style w:type="paragraph" w:customStyle="1" w:styleId="IDNumber">
    <w:name w:val="ID_Number"/>
    <w:basedOn w:val="Heading1"/>
    <w:rsid w:val="00CD55B6"/>
    <w:pPr>
      <w:framePr w:hSpace="180" w:wrap="notBeside" w:vAnchor="text" w:hAnchor="margin" w:y="-324"/>
      <w:spacing w:before="120" w:after="0"/>
      <w:jc w:val="right"/>
    </w:pPr>
    <w:rPr>
      <w:rFonts w:cs="Arial"/>
      <w:b w:val="0"/>
      <w:bCs/>
      <w:sz w:val="22"/>
    </w:rPr>
  </w:style>
  <w:style w:type="paragraph" w:customStyle="1" w:styleId="Copyright">
    <w:name w:val="Copyright"/>
    <w:basedOn w:val="Heading4"/>
    <w:rsid w:val="00CD55B6"/>
    <w:rPr>
      <w:b w:val="0"/>
      <w:bCs w:val="0"/>
      <w:sz w:val="18"/>
    </w:rPr>
  </w:style>
  <w:style w:type="paragraph" w:customStyle="1" w:styleId="TableInTitle">
    <w:name w:val="Table_In_Title"/>
    <w:basedOn w:val="Tabletext"/>
    <w:rsid w:val="00CD55B6"/>
    <w:pPr>
      <w:jc w:val="center"/>
    </w:pPr>
    <w:rPr>
      <w:rFonts w:cs="Arial"/>
      <w:b/>
      <w:bCs/>
    </w:rPr>
  </w:style>
  <w:style w:type="paragraph" w:styleId="BodyText2">
    <w:name w:val="Body Text 2"/>
    <w:basedOn w:val="Normal"/>
    <w:rsid w:val="00CD55B6"/>
    <w:pPr>
      <w:tabs>
        <w:tab w:val="left" w:pos="3150"/>
      </w:tabs>
      <w:jc w:val="left"/>
    </w:pPr>
  </w:style>
  <w:style w:type="character" w:customStyle="1" w:styleId="ExcelFunction">
    <w:name w:val="Excel Function"/>
    <w:basedOn w:val="DefaultParagraphFont"/>
    <w:rsid w:val="00CD55B6"/>
    <w:rPr>
      <w:rFonts w:ascii="Arial" w:hAnsi="Arial"/>
      <w:b/>
      <w:smallCaps/>
      <w:sz w:val="20"/>
    </w:rPr>
  </w:style>
  <w:style w:type="table" w:styleId="TableGrid">
    <w:name w:val="Table Grid"/>
    <w:basedOn w:val="TableNormal"/>
    <w:uiPriority w:val="59"/>
    <w:rsid w:val="00FF2C8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tyle10ptPatternClearGray-10">
    <w:name w:val="Style 10 pt Pattern: Clear (Gray-10%)"/>
    <w:basedOn w:val="DefaultParagraphFont"/>
    <w:rsid w:val="00DC52D5"/>
    <w:rPr>
      <w:sz w:val="20"/>
      <w:bdr w:val="none" w:sz="0" w:space="0" w:color="auto"/>
      <w:shd w:val="clear" w:color="auto" w:fill="auto"/>
    </w:rPr>
  </w:style>
  <w:style w:type="paragraph" w:styleId="Caption">
    <w:name w:val="caption"/>
    <w:basedOn w:val="Normal"/>
    <w:next w:val="Normal"/>
    <w:uiPriority w:val="35"/>
    <w:unhideWhenUsed/>
    <w:qFormat/>
    <w:rsid w:val="0085007D"/>
    <w:rPr>
      <w:b/>
      <w:bC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0439">
      <w:bodyDiv w:val="1"/>
      <w:marLeft w:val="0"/>
      <w:marRight w:val="0"/>
      <w:marTop w:val="0"/>
      <w:marBottom w:val="0"/>
      <w:divBdr>
        <w:top w:val="none" w:sz="0" w:space="0" w:color="auto"/>
        <w:left w:val="none" w:sz="0" w:space="0" w:color="auto"/>
        <w:bottom w:val="none" w:sz="0" w:space="0" w:color="auto"/>
        <w:right w:val="none" w:sz="0" w:space="0" w:color="auto"/>
      </w:divBdr>
    </w:div>
    <w:div w:id="114296576">
      <w:bodyDiv w:val="1"/>
      <w:marLeft w:val="0"/>
      <w:marRight w:val="0"/>
      <w:marTop w:val="0"/>
      <w:marBottom w:val="0"/>
      <w:divBdr>
        <w:top w:val="none" w:sz="0" w:space="0" w:color="auto"/>
        <w:left w:val="none" w:sz="0" w:space="0" w:color="auto"/>
        <w:bottom w:val="none" w:sz="0" w:space="0" w:color="auto"/>
        <w:right w:val="none" w:sz="0" w:space="0" w:color="auto"/>
      </w:divBdr>
    </w:div>
    <w:div w:id="197164125">
      <w:bodyDiv w:val="1"/>
      <w:marLeft w:val="0"/>
      <w:marRight w:val="0"/>
      <w:marTop w:val="0"/>
      <w:marBottom w:val="0"/>
      <w:divBdr>
        <w:top w:val="none" w:sz="0" w:space="0" w:color="auto"/>
        <w:left w:val="none" w:sz="0" w:space="0" w:color="auto"/>
        <w:bottom w:val="none" w:sz="0" w:space="0" w:color="auto"/>
        <w:right w:val="none" w:sz="0" w:space="0" w:color="auto"/>
      </w:divBdr>
    </w:div>
    <w:div w:id="223761810">
      <w:bodyDiv w:val="1"/>
      <w:marLeft w:val="0"/>
      <w:marRight w:val="0"/>
      <w:marTop w:val="0"/>
      <w:marBottom w:val="0"/>
      <w:divBdr>
        <w:top w:val="none" w:sz="0" w:space="0" w:color="auto"/>
        <w:left w:val="none" w:sz="0" w:space="0" w:color="auto"/>
        <w:bottom w:val="none" w:sz="0" w:space="0" w:color="auto"/>
        <w:right w:val="none" w:sz="0" w:space="0" w:color="auto"/>
      </w:divBdr>
    </w:div>
    <w:div w:id="435491322">
      <w:bodyDiv w:val="1"/>
      <w:marLeft w:val="0"/>
      <w:marRight w:val="0"/>
      <w:marTop w:val="0"/>
      <w:marBottom w:val="0"/>
      <w:divBdr>
        <w:top w:val="none" w:sz="0" w:space="0" w:color="auto"/>
        <w:left w:val="none" w:sz="0" w:space="0" w:color="auto"/>
        <w:bottom w:val="none" w:sz="0" w:space="0" w:color="auto"/>
        <w:right w:val="none" w:sz="0" w:space="0" w:color="auto"/>
      </w:divBdr>
    </w:div>
    <w:div w:id="519701876">
      <w:bodyDiv w:val="1"/>
      <w:marLeft w:val="0"/>
      <w:marRight w:val="0"/>
      <w:marTop w:val="0"/>
      <w:marBottom w:val="0"/>
      <w:divBdr>
        <w:top w:val="none" w:sz="0" w:space="0" w:color="auto"/>
        <w:left w:val="none" w:sz="0" w:space="0" w:color="auto"/>
        <w:bottom w:val="none" w:sz="0" w:space="0" w:color="auto"/>
        <w:right w:val="none" w:sz="0" w:space="0" w:color="auto"/>
      </w:divBdr>
    </w:div>
    <w:div w:id="661586225">
      <w:bodyDiv w:val="1"/>
      <w:marLeft w:val="0"/>
      <w:marRight w:val="0"/>
      <w:marTop w:val="0"/>
      <w:marBottom w:val="0"/>
      <w:divBdr>
        <w:top w:val="none" w:sz="0" w:space="0" w:color="auto"/>
        <w:left w:val="none" w:sz="0" w:space="0" w:color="auto"/>
        <w:bottom w:val="none" w:sz="0" w:space="0" w:color="auto"/>
        <w:right w:val="none" w:sz="0" w:space="0" w:color="auto"/>
      </w:divBdr>
    </w:div>
    <w:div w:id="810513929">
      <w:bodyDiv w:val="1"/>
      <w:marLeft w:val="0"/>
      <w:marRight w:val="0"/>
      <w:marTop w:val="0"/>
      <w:marBottom w:val="0"/>
      <w:divBdr>
        <w:top w:val="none" w:sz="0" w:space="0" w:color="auto"/>
        <w:left w:val="none" w:sz="0" w:space="0" w:color="auto"/>
        <w:bottom w:val="none" w:sz="0" w:space="0" w:color="auto"/>
        <w:right w:val="none" w:sz="0" w:space="0" w:color="auto"/>
      </w:divBdr>
    </w:div>
    <w:div w:id="888150037">
      <w:bodyDiv w:val="1"/>
      <w:marLeft w:val="0"/>
      <w:marRight w:val="0"/>
      <w:marTop w:val="0"/>
      <w:marBottom w:val="0"/>
      <w:divBdr>
        <w:top w:val="none" w:sz="0" w:space="0" w:color="auto"/>
        <w:left w:val="none" w:sz="0" w:space="0" w:color="auto"/>
        <w:bottom w:val="none" w:sz="0" w:space="0" w:color="auto"/>
        <w:right w:val="none" w:sz="0" w:space="0" w:color="auto"/>
      </w:divBdr>
    </w:div>
    <w:div w:id="1275864460">
      <w:bodyDiv w:val="1"/>
      <w:marLeft w:val="0"/>
      <w:marRight w:val="0"/>
      <w:marTop w:val="0"/>
      <w:marBottom w:val="0"/>
      <w:divBdr>
        <w:top w:val="none" w:sz="0" w:space="0" w:color="auto"/>
        <w:left w:val="none" w:sz="0" w:space="0" w:color="auto"/>
        <w:bottom w:val="none" w:sz="0" w:space="0" w:color="auto"/>
        <w:right w:val="none" w:sz="0" w:space="0" w:color="auto"/>
      </w:divBdr>
    </w:div>
    <w:div w:id="1553077021">
      <w:bodyDiv w:val="1"/>
      <w:marLeft w:val="0"/>
      <w:marRight w:val="0"/>
      <w:marTop w:val="0"/>
      <w:marBottom w:val="0"/>
      <w:divBdr>
        <w:top w:val="none" w:sz="0" w:space="0" w:color="auto"/>
        <w:left w:val="none" w:sz="0" w:space="0" w:color="auto"/>
        <w:bottom w:val="none" w:sz="0" w:space="0" w:color="auto"/>
        <w:right w:val="none" w:sz="0" w:space="0" w:color="auto"/>
      </w:divBdr>
    </w:div>
    <w:div w:id="1889411756">
      <w:bodyDiv w:val="1"/>
      <w:marLeft w:val="0"/>
      <w:marRight w:val="0"/>
      <w:marTop w:val="0"/>
      <w:marBottom w:val="0"/>
      <w:divBdr>
        <w:top w:val="none" w:sz="0" w:space="0" w:color="auto"/>
        <w:left w:val="none" w:sz="0" w:space="0" w:color="auto"/>
        <w:bottom w:val="none" w:sz="0" w:space="0" w:color="auto"/>
        <w:right w:val="none" w:sz="0" w:space="0" w:color="auto"/>
      </w:divBdr>
    </w:div>
    <w:div w:id="2059745839">
      <w:bodyDiv w:val="1"/>
      <w:marLeft w:val="0"/>
      <w:marRight w:val="0"/>
      <w:marTop w:val="0"/>
      <w:marBottom w:val="0"/>
      <w:divBdr>
        <w:top w:val="none" w:sz="0" w:space="0" w:color="auto"/>
        <w:left w:val="none" w:sz="0" w:space="0" w:color="auto"/>
        <w:bottom w:val="none" w:sz="0" w:space="0" w:color="auto"/>
        <w:right w:val="none" w:sz="0" w:space="0" w:color="auto"/>
      </w:divBdr>
    </w:div>
    <w:div w:id="209828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6.wmf"/><Relationship Id="rId34" Type="http://schemas.openxmlformats.org/officeDocument/2006/relationships/oleObject" Target="embeddings/oleObject15.bin"/><Relationship Id="rId42" Type="http://schemas.openxmlformats.org/officeDocument/2006/relationships/oleObject" Target="embeddings/oleObject21.bin"/><Relationship Id="rId47" Type="http://schemas.openxmlformats.org/officeDocument/2006/relationships/image" Target="media/image19.wmf"/><Relationship Id="rId50" Type="http://schemas.openxmlformats.org/officeDocument/2006/relationships/image" Target="media/image20.wmf"/><Relationship Id="rId55" Type="http://schemas.openxmlformats.org/officeDocument/2006/relationships/image" Target="media/image22.wmf"/><Relationship Id="rId63" Type="http://schemas.openxmlformats.org/officeDocument/2006/relationships/footer" Target="footer2.xml"/><Relationship Id="rId7" Type="http://schemas.openxmlformats.org/officeDocument/2006/relationships/chart" Target="charts/chart1.xml"/><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1.wmf"/><Relationship Id="rId11" Type="http://schemas.openxmlformats.org/officeDocument/2006/relationships/image" Target="media/image2.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6.wmf"/><Relationship Id="rId40" Type="http://schemas.openxmlformats.org/officeDocument/2006/relationships/oleObject" Target="embeddings/oleObject19.bin"/><Relationship Id="rId45" Type="http://schemas.openxmlformats.org/officeDocument/2006/relationships/image" Target="media/image18.png"/><Relationship Id="rId53" Type="http://schemas.openxmlformats.org/officeDocument/2006/relationships/oleObject" Target="embeddings/Microsoft_Visio_2003-2010_Drawing.vsd"/><Relationship Id="rId58" Type="http://schemas.openxmlformats.org/officeDocument/2006/relationships/oleObject" Target="embeddings/oleObject26.bin"/><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header" Target="header2.xml"/><Relationship Id="rId19" Type="http://schemas.openxmlformats.org/officeDocument/2006/relationships/image" Target="media/image5.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0.wmf"/><Relationship Id="rId30" Type="http://schemas.openxmlformats.org/officeDocument/2006/relationships/oleObject" Target="embeddings/oleObject13.bin"/><Relationship Id="rId35" Type="http://schemas.openxmlformats.org/officeDocument/2006/relationships/image" Target="media/image15.wmf"/><Relationship Id="rId43" Type="http://schemas.openxmlformats.org/officeDocument/2006/relationships/chart" Target="charts/chart3.xml"/><Relationship Id="rId48" Type="http://schemas.openxmlformats.org/officeDocument/2006/relationships/oleObject" Target="embeddings/oleObject23.bin"/><Relationship Id="rId56" Type="http://schemas.openxmlformats.org/officeDocument/2006/relationships/oleObject" Target="embeddings/oleObject25.bin"/><Relationship Id="rId64" Type="http://schemas.openxmlformats.org/officeDocument/2006/relationships/header" Target="header3.xml"/><Relationship Id="rId8" Type="http://schemas.openxmlformats.org/officeDocument/2006/relationships/chart" Target="charts/chart2.xml"/><Relationship Id="rId51" Type="http://schemas.openxmlformats.org/officeDocument/2006/relationships/oleObject" Target="embeddings/oleObject24.bin"/><Relationship Id="rId3"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image" Target="media/image4.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8.bin"/><Relationship Id="rId46" Type="http://schemas.openxmlformats.org/officeDocument/2006/relationships/chart" Target="charts/chart4.xml"/><Relationship Id="rId59" Type="http://schemas.openxmlformats.org/officeDocument/2006/relationships/oleObject" Target="embeddings/oleObject27.bin"/><Relationship Id="rId67" Type="http://schemas.openxmlformats.org/officeDocument/2006/relationships/theme" Target="theme/theme1.xml"/><Relationship Id="rId20" Type="http://schemas.openxmlformats.org/officeDocument/2006/relationships/oleObject" Target="embeddings/oleObject7.bin"/><Relationship Id="rId41" Type="http://schemas.openxmlformats.org/officeDocument/2006/relationships/oleObject" Target="embeddings/oleObject20.bin"/><Relationship Id="rId54" Type="http://schemas.openxmlformats.org/officeDocument/2006/relationships/oleObject" Target="embeddings/Microsoft_Visio_2003-2010_Drawing1.vsd"/><Relationship Id="rId62"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wmf"/><Relationship Id="rId23" Type="http://schemas.openxmlformats.org/officeDocument/2006/relationships/image" Target="media/image8.wmf"/><Relationship Id="rId28" Type="http://schemas.openxmlformats.org/officeDocument/2006/relationships/oleObject" Target="embeddings/oleObject12.bin"/><Relationship Id="rId36" Type="http://schemas.openxmlformats.org/officeDocument/2006/relationships/oleObject" Target="embeddings/oleObject17.bin"/><Relationship Id="rId49" Type="http://schemas.openxmlformats.org/officeDocument/2006/relationships/chart" Target="charts/chart5.xml"/><Relationship Id="rId57" Type="http://schemas.openxmlformats.org/officeDocument/2006/relationships/image" Target="media/image23.wmf"/><Relationship Id="rId10" Type="http://schemas.openxmlformats.org/officeDocument/2006/relationships/oleObject" Target="embeddings/oleObject1.bin"/><Relationship Id="rId31" Type="http://schemas.openxmlformats.org/officeDocument/2006/relationships/image" Target="media/image12.wmf"/><Relationship Id="rId44" Type="http://schemas.openxmlformats.org/officeDocument/2006/relationships/oleObject" Target="embeddings/oleObject22.bin"/><Relationship Id="rId52" Type="http://schemas.openxmlformats.org/officeDocument/2006/relationships/image" Target="media/image21.emf"/><Relationship Id="rId60" Type="http://schemas.openxmlformats.org/officeDocument/2006/relationships/header" Target="header1.xml"/><Relationship Id="rId65"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oleObject" Target="embeddings/oleObject6.bin"/><Relationship Id="rId39" Type="http://schemas.openxmlformats.org/officeDocument/2006/relationships/image" Target="media/image17.wmf"/></Relationships>
</file>

<file path=word/_rels/footnotes.xml.rels><?xml version="1.0" encoding="UTF-8" standalone="yes"?>
<Relationships xmlns="http://schemas.openxmlformats.org/package/2006/relationships"><Relationship Id="rId3" Type="http://schemas.openxmlformats.org/officeDocument/2006/relationships/image" Target="media/image14.wmf"/><Relationship Id="rId2" Type="http://schemas.openxmlformats.org/officeDocument/2006/relationships/oleObject" Target="embeddings/oleObject9.bin"/><Relationship Id="rId1" Type="http://schemas.openxmlformats.org/officeDocument/2006/relationships/image" Target="media/image7.wmf"/><Relationship Id="rId4" Type="http://schemas.openxmlformats.org/officeDocument/2006/relationships/oleObject" Target="embeddings/oleObject16.bin"/></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Numbers%20101.dot"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Book2"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Book2"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Documents%20and%20Settings\Administrator\My%20Documents\_Courses\ASA\steel.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Documents%20and%20Settings\Administrator\My%20Documents\_Courses\ASA\steel.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Documents%20and%20Settings\Administrator\My%20Documents\_Courses\ASA\ste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689107611548559"/>
          <c:y val="3.7511665208515635E-2"/>
          <c:w val="0.83569925634295794"/>
          <c:h val="0.70005358705161858"/>
        </c:manualLayout>
      </c:layout>
      <c:scatterChart>
        <c:scatterStyle val="smoothMarker"/>
        <c:varyColors val="0"/>
        <c:ser>
          <c:idx val="0"/>
          <c:order val="0"/>
          <c:marker>
            <c:symbol val="none"/>
          </c:marker>
          <c:xVal>
            <c:numRef>
              <c:f>Sheet1!$B$13:$B$37</c:f>
              <c:numCache>
                <c:formatCode>General</c:formatCode>
                <c:ptCount val="2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numCache>
            </c:numRef>
          </c:xVal>
          <c:yVal>
            <c:numRef>
              <c:f>Sheet1!$C$13:$C$37</c:f>
              <c:numCache>
                <c:formatCode>0.00</c:formatCode>
                <c:ptCount val="25"/>
                <c:pt idx="0">
                  <c:v>4.5157710400772855</c:v>
                </c:pt>
                <c:pt idx="1">
                  <c:v>5.7945333086475674</c:v>
                </c:pt>
                <c:pt idx="2">
                  <c:v>7.4322380487774495</c:v>
                </c:pt>
                <c:pt idx="3">
                  <c:v>9.5261297725328813</c:v>
                </c:pt>
                <c:pt idx="4">
                  <c:v>12.195946899855754</c:v>
                </c:pt>
                <c:pt idx="5">
                  <c:v>15.584895790239726</c:v>
                </c:pt>
                <c:pt idx="6">
                  <c:v>19.855584221941712</c:v>
                </c:pt>
                <c:pt idx="7">
                  <c:v>25.17517394836381</c:v>
                </c:pt>
                <c:pt idx="8">
                  <c:v>31.680840374499493</c:v>
                </c:pt>
                <c:pt idx="9">
                  <c:v>39.416037788819345</c:v>
                </c:pt>
                <c:pt idx="10">
                  <c:v>48.238629501562194</c:v>
                </c:pt>
                <c:pt idx="11">
                  <c:v>57.735026918962582</c:v>
                </c:pt>
                <c:pt idx="12">
                  <c:v>67.220738011242162</c:v>
                </c:pt>
                <c:pt idx="13">
                  <c:v>75.902363913505951</c:v>
                </c:pt>
                <c:pt idx="14">
                  <c:v>83.152778308137528</c:v>
                </c:pt>
                <c:pt idx="15">
                  <c:v>88.712233776497712</c:v>
                </c:pt>
                <c:pt idx="16">
                  <c:v>92.681232117273296</c:v>
                </c:pt>
                <c:pt idx="17">
                  <c:v>95.364720862210987</c:v>
                </c:pt>
                <c:pt idx="18">
                  <c:v>97.110504896587358</c:v>
                </c:pt>
                <c:pt idx="19">
                  <c:v>98.21726711591522</c:v>
                </c:pt>
                <c:pt idx="20">
                  <c:v>98.907275609555114</c:v>
                </c:pt>
                <c:pt idx="21">
                  <c:v>99.332939704927085</c:v>
                </c:pt>
                <c:pt idx="22">
                  <c:v>99.593811168411818</c:v>
                </c:pt>
                <c:pt idx="23">
                  <c:v>99.753042623134263</c:v>
                </c:pt>
                <c:pt idx="24">
                  <c:v>99.849994282775526</c:v>
                </c:pt>
              </c:numCache>
            </c:numRef>
          </c:yVal>
          <c:smooth val="1"/>
          <c:extLst>
            <c:ext xmlns:c16="http://schemas.microsoft.com/office/drawing/2014/chart" uri="{C3380CC4-5D6E-409C-BE32-E72D297353CC}">
              <c16:uniqueId val="{00000000-12B2-4066-BA93-3C92F504D0B9}"/>
            </c:ext>
          </c:extLst>
        </c:ser>
        <c:dLbls>
          <c:showLegendKey val="0"/>
          <c:showVal val="0"/>
          <c:showCatName val="0"/>
          <c:showSerName val="0"/>
          <c:showPercent val="0"/>
          <c:showBubbleSize val="0"/>
        </c:dLbls>
        <c:axId val="43784832"/>
        <c:axId val="43815680"/>
      </c:scatterChart>
      <c:valAx>
        <c:axId val="43784832"/>
        <c:scaling>
          <c:orientation val="minMax"/>
        </c:scaling>
        <c:delete val="0"/>
        <c:axPos val="b"/>
        <c:title>
          <c:tx>
            <c:rich>
              <a:bodyPr/>
              <a:lstStyle/>
              <a:p>
                <a:pPr>
                  <a:defRPr/>
                </a:pPr>
                <a:r>
                  <a:rPr lang="en-US"/>
                  <a:t>Year</a:t>
                </a:r>
              </a:p>
            </c:rich>
          </c:tx>
          <c:overlay val="0"/>
        </c:title>
        <c:numFmt formatCode="General" sourceLinked="1"/>
        <c:majorTickMark val="out"/>
        <c:minorTickMark val="none"/>
        <c:tickLblPos val="nextTo"/>
        <c:crossAx val="43815680"/>
        <c:crosses val="autoZero"/>
        <c:crossBetween val="midCat"/>
      </c:valAx>
      <c:valAx>
        <c:axId val="43815680"/>
        <c:scaling>
          <c:orientation val="minMax"/>
        </c:scaling>
        <c:delete val="0"/>
        <c:axPos val="l"/>
        <c:numFmt formatCode="0.0" sourceLinked="0"/>
        <c:majorTickMark val="out"/>
        <c:minorTickMark val="none"/>
        <c:tickLblPos val="nextTo"/>
        <c:crossAx val="43784832"/>
        <c:crosses val="autoZero"/>
        <c:crossBetween val="midCat"/>
      </c:valAx>
      <c:spPr>
        <a:noFill/>
      </c:spPr>
    </c:plotArea>
    <c:plotVisOnly val="1"/>
    <c:dispBlanksAs val="gap"/>
    <c:showDLblsOverMax val="0"/>
  </c:chart>
  <c:spPr>
    <a:noFill/>
    <a:ln>
      <a:solidFill>
        <a:schemeClr val="accent1"/>
      </a:solidFill>
    </a:ln>
  </c:sp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1"/>
          <c:order val="0"/>
          <c:marker>
            <c:symbol val="none"/>
          </c:marker>
          <c:xVal>
            <c:numRef>
              <c:f>Sheet1!$B$13:$B$37</c:f>
              <c:numCache>
                <c:formatCode>General</c:formatCode>
                <c:ptCount val="2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numCache>
            </c:numRef>
          </c:xVal>
          <c:yVal>
            <c:numRef>
              <c:f>Sheet1!$D$13:$D$37</c:f>
              <c:numCache>
                <c:formatCode>0.00</c:formatCode>
                <c:ptCount val="25"/>
                <c:pt idx="0">
                  <c:v>1.1266405987092121</c:v>
                </c:pt>
                <c:pt idx="1">
                  <c:v>1.4437693066284074</c:v>
                </c:pt>
                <c:pt idx="2">
                  <c:v>1.8477959328834719</c:v>
                </c:pt>
                <c:pt idx="3">
                  <c:v>2.3599207153193058</c:v>
                </c:pt>
                <c:pt idx="4">
                  <c:v>3.0036357546912402</c:v>
                </c:pt>
                <c:pt idx="5">
                  <c:v>3.8015889627621542</c:v>
                </c:pt>
                <c:pt idx="6">
                  <c:v>4.7681973202498362</c:v>
                </c:pt>
                <c:pt idx="7">
                  <c:v>5.8948995377917397</c:v>
                </c:pt>
                <c:pt idx="8">
                  <c:v>7.125277894746449</c:v>
                </c:pt>
                <c:pt idx="9">
                  <c:v>8.3230668554053171</c:v>
                </c:pt>
                <c:pt idx="10">
                  <c:v>9.2534168592669612</c:v>
                </c:pt>
                <c:pt idx="11">
                  <c:v>9.6225044864937637</c:v>
                </c:pt>
                <c:pt idx="12">
                  <c:v>9.2115474195078288</c:v>
                </c:pt>
                <c:pt idx="13">
                  <c:v>8.0434326173236581</c:v>
                </c:pt>
                <c:pt idx="14">
                  <c:v>6.4144374564854365</c:v>
                </c:pt>
                <c:pt idx="15">
                  <c:v>4.7242360063543281</c:v>
                </c:pt>
                <c:pt idx="16">
                  <c:v>3.2674518450024514</c:v>
                </c:pt>
                <c:pt idx="17">
                  <c:v>2.1589857922377993</c:v>
                </c:pt>
                <c:pt idx="18">
                  <c:v>1.3827318100707147</c:v>
                </c:pt>
                <c:pt idx="19">
                  <c:v>0.86767206223524262</c:v>
                </c:pt>
                <c:pt idx="20">
                  <c:v>0.53743946486730565</c:v>
                </c:pt>
                <c:pt idx="21">
                  <c:v>0.33020029729309053</c:v>
                </c:pt>
                <c:pt idx="22">
                  <c:v>0.20185867096322838</c:v>
                </c:pt>
                <c:pt idx="23">
                  <c:v>0.12302165537352173</c:v>
                </c:pt>
                <c:pt idx="24">
                  <c:v>7.4834180132886688E-2</c:v>
                </c:pt>
              </c:numCache>
            </c:numRef>
          </c:yVal>
          <c:smooth val="1"/>
          <c:extLst>
            <c:ext xmlns:c16="http://schemas.microsoft.com/office/drawing/2014/chart" uri="{C3380CC4-5D6E-409C-BE32-E72D297353CC}">
              <c16:uniqueId val="{00000000-4FCE-4E7C-9EC4-831E9F59E5D1}"/>
            </c:ext>
          </c:extLst>
        </c:ser>
        <c:ser>
          <c:idx val="2"/>
          <c:order val="1"/>
          <c:marker>
            <c:symbol val="none"/>
          </c:marker>
          <c:xVal>
            <c:numRef>
              <c:f>Sheet1!$B$13:$B$37</c:f>
              <c:numCache>
                <c:formatCode>General</c:formatCode>
                <c:ptCount val="25"/>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numCache>
            </c:numRef>
          </c:xVal>
          <c:yVal>
            <c:numRef>
              <c:f>Sheet1!$E$13:$E$37</c:f>
              <c:numCache>
                <c:formatCode>0.00</c:formatCode>
                <c:ptCount val="25"/>
                <c:pt idx="0">
                  <c:v>24.949019529783985</c:v>
                </c:pt>
                <c:pt idx="1">
                  <c:v>24.916058459337435</c:v>
                </c:pt>
                <c:pt idx="2">
                  <c:v>24.861904593965754</c:v>
                </c:pt>
                <c:pt idx="3">
                  <c:v>24.773132128892154</c:v>
                </c:pt>
                <c:pt idx="4">
                  <c:v>24.628147198039741</c:v>
                </c:pt>
                <c:pt idx="5">
                  <c:v>24.39277755801843</c:v>
                </c:pt>
                <c:pt idx="6">
                  <c:v>24.014389438013456</c:v>
                </c:pt>
                <c:pt idx="7">
                  <c:v>23.415526541674044</c:v>
                </c:pt>
                <c:pt idx="8">
                  <c:v>22.490810882913703</c:v>
                </c:pt>
                <c:pt idx="9">
                  <c:v>21.115939912575904</c:v>
                </c:pt>
                <c:pt idx="10">
                  <c:v>19.182586559527525</c:v>
                </c:pt>
                <c:pt idx="11">
                  <c:v>16.666666666666664</c:v>
                </c:pt>
                <c:pt idx="12">
                  <c:v>13.703430953059851</c:v>
                </c:pt>
                <c:pt idx="13">
                  <c:v>10.59707788085427</c:v>
                </c:pt>
                <c:pt idx="14">
                  <c:v>7.7140386490943067</c:v>
                </c:pt>
                <c:pt idx="15">
                  <c:v>5.32534894596004</c:v>
                </c:pt>
                <c:pt idx="16">
                  <c:v>3.5254730330602522</c:v>
                </c:pt>
                <c:pt idx="17">
                  <c:v>2.2639250371814543</c:v>
                </c:pt>
                <c:pt idx="18">
                  <c:v>1.4238745968247002</c:v>
                </c:pt>
                <c:pt idx="19">
                  <c:v>0.88342110070240831</c:v>
                </c:pt>
                <c:pt idx="20">
                  <c:v>0.54337707873877161</c:v>
                </c:pt>
                <c:pt idx="21">
                  <c:v>0.33241772394330144</c:v>
                </c:pt>
                <c:pt idx="22">
                  <c:v>0.20268194237680892</c:v>
                </c:pt>
                <c:pt idx="23">
                  <c:v>0.12332621856788463</c:v>
                </c:pt>
                <c:pt idx="24">
                  <c:v>7.4946604324238664E-2</c:v>
                </c:pt>
              </c:numCache>
            </c:numRef>
          </c:yVal>
          <c:smooth val="1"/>
          <c:extLst>
            <c:ext xmlns:c16="http://schemas.microsoft.com/office/drawing/2014/chart" uri="{C3380CC4-5D6E-409C-BE32-E72D297353CC}">
              <c16:uniqueId val="{00000001-4FCE-4E7C-9EC4-831E9F59E5D1}"/>
            </c:ext>
          </c:extLst>
        </c:ser>
        <c:dLbls>
          <c:showLegendKey val="0"/>
          <c:showVal val="0"/>
          <c:showCatName val="0"/>
          <c:showSerName val="0"/>
          <c:showPercent val="0"/>
          <c:showBubbleSize val="0"/>
        </c:dLbls>
        <c:axId val="46199168"/>
        <c:axId val="46201088"/>
      </c:scatterChart>
      <c:valAx>
        <c:axId val="46199168"/>
        <c:scaling>
          <c:orientation val="minMax"/>
        </c:scaling>
        <c:delete val="0"/>
        <c:axPos val="b"/>
        <c:title>
          <c:tx>
            <c:rich>
              <a:bodyPr/>
              <a:lstStyle/>
              <a:p>
                <a:pPr>
                  <a:defRPr/>
                </a:pPr>
                <a:r>
                  <a:rPr lang="en-US"/>
                  <a:t>Year</a:t>
                </a:r>
              </a:p>
            </c:rich>
          </c:tx>
          <c:overlay val="0"/>
        </c:title>
        <c:numFmt formatCode="General" sourceLinked="1"/>
        <c:majorTickMark val="out"/>
        <c:minorTickMark val="none"/>
        <c:tickLblPos val="nextTo"/>
        <c:crossAx val="46201088"/>
        <c:crosses val="autoZero"/>
        <c:crossBetween val="midCat"/>
      </c:valAx>
      <c:valAx>
        <c:axId val="46201088"/>
        <c:scaling>
          <c:orientation val="minMax"/>
        </c:scaling>
        <c:delete val="0"/>
        <c:axPos val="l"/>
        <c:numFmt formatCode="0.0" sourceLinked="0"/>
        <c:majorTickMark val="out"/>
        <c:minorTickMark val="none"/>
        <c:tickLblPos val="nextTo"/>
        <c:crossAx val="46199168"/>
        <c:crosses val="autoZero"/>
        <c:crossBetween val="midCat"/>
      </c:valAx>
      <c:spPr>
        <a:noFill/>
      </c:spPr>
    </c:plotArea>
    <c:plotVisOnly val="1"/>
    <c:dispBlanksAs val="gap"/>
    <c:showDLblsOverMax val="0"/>
  </c:chart>
  <c:spPr>
    <a:noFill/>
    <a:ln>
      <a:solidFill>
        <a:schemeClr val="accent1"/>
      </a:solidFill>
    </a:ln>
  </c:sp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1"/>
          <c:order val="0"/>
          <c:invertIfNegative val="0"/>
          <c:cat>
            <c:numRef>
              <c:f>Sheet1!$A$44:$A$60</c:f>
              <c:numCache>
                <c:formatCode>General</c:formatCode>
                <c:ptCount val="17"/>
                <c:pt idx="0">
                  <c:v>57</c:v>
                </c:pt>
                <c:pt idx="1">
                  <c:v>58</c:v>
                </c:pt>
                <c:pt idx="2">
                  <c:v>59</c:v>
                </c:pt>
                <c:pt idx="3">
                  <c:v>60</c:v>
                </c:pt>
                <c:pt idx="4">
                  <c:v>61</c:v>
                </c:pt>
                <c:pt idx="5">
                  <c:v>62</c:v>
                </c:pt>
                <c:pt idx="6">
                  <c:v>63</c:v>
                </c:pt>
                <c:pt idx="7">
                  <c:v>64</c:v>
                </c:pt>
                <c:pt idx="8">
                  <c:v>65</c:v>
                </c:pt>
                <c:pt idx="9">
                  <c:v>66</c:v>
                </c:pt>
                <c:pt idx="10">
                  <c:v>67</c:v>
                </c:pt>
                <c:pt idx="11">
                  <c:v>68</c:v>
                </c:pt>
                <c:pt idx="12">
                  <c:v>69</c:v>
                </c:pt>
                <c:pt idx="13">
                  <c:v>70</c:v>
                </c:pt>
                <c:pt idx="14">
                  <c:v>71</c:v>
                </c:pt>
                <c:pt idx="15">
                  <c:v>72</c:v>
                </c:pt>
                <c:pt idx="16">
                  <c:v>73</c:v>
                </c:pt>
              </c:numCache>
            </c:numRef>
          </c:cat>
          <c:val>
            <c:numRef>
              <c:f>Sheet1!$B$11:$B$27</c:f>
              <c:numCache>
                <c:formatCode>General</c:formatCode>
                <c:ptCount val="17"/>
                <c:pt idx="0">
                  <c:v>0</c:v>
                </c:pt>
                <c:pt idx="1">
                  <c:v>3</c:v>
                </c:pt>
                <c:pt idx="2">
                  <c:v>7.2</c:v>
                </c:pt>
                <c:pt idx="3">
                  <c:v>11.8</c:v>
                </c:pt>
                <c:pt idx="4">
                  <c:v>18.899999999999999</c:v>
                </c:pt>
                <c:pt idx="5">
                  <c:v>30.6</c:v>
                </c:pt>
                <c:pt idx="6">
                  <c:v>38</c:v>
                </c:pt>
                <c:pt idx="7">
                  <c:v>44.1</c:v>
                </c:pt>
                <c:pt idx="8">
                  <c:v>55</c:v>
                </c:pt>
                <c:pt idx="9">
                  <c:v>62.3</c:v>
                </c:pt>
                <c:pt idx="10">
                  <c:v>66.8</c:v>
                </c:pt>
                <c:pt idx="11">
                  <c:v>73.599999999999994</c:v>
                </c:pt>
                <c:pt idx="12">
                  <c:v>70.900000000000006</c:v>
                </c:pt>
                <c:pt idx="13">
                  <c:v>73.8</c:v>
                </c:pt>
                <c:pt idx="14">
                  <c:v>79.900000000000006</c:v>
                </c:pt>
                <c:pt idx="15">
                  <c:v>79.400000000000006</c:v>
                </c:pt>
                <c:pt idx="16">
                  <c:v>80.400000000000006</c:v>
                </c:pt>
              </c:numCache>
            </c:numRef>
          </c:val>
          <c:extLst>
            <c:ext xmlns:c16="http://schemas.microsoft.com/office/drawing/2014/chart" uri="{C3380CC4-5D6E-409C-BE32-E72D297353CC}">
              <c16:uniqueId val="{00000000-A8A2-473D-BBAE-A330FE81DE23}"/>
            </c:ext>
          </c:extLst>
        </c:ser>
        <c:ser>
          <c:idx val="2"/>
          <c:order val="1"/>
          <c:spPr>
            <a:solidFill>
              <a:sysClr val="windowText" lastClr="000000"/>
            </a:solidFill>
          </c:spPr>
          <c:invertIfNegative val="0"/>
          <c:cat>
            <c:numRef>
              <c:f>Sheet1!$A$44:$A$60</c:f>
              <c:numCache>
                <c:formatCode>General</c:formatCode>
                <c:ptCount val="17"/>
                <c:pt idx="0">
                  <c:v>57</c:v>
                </c:pt>
                <c:pt idx="1">
                  <c:v>58</c:v>
                </c:pt>
                <c:pt idx="2">
                  <c:v>59</c:v>
                </c:pt>
                <c:pt idx="3">
                  <c:v>60</c:v>
                </c:pt>
                <c:pt idx="4">
                  <c:v>61</c:v>
                </c:pt>
                <c:pt idx="5">
                  <c:v>62</c:v>
                </c:pt>
                <c:pt idx="6">
                  <c:v>63</c:v>
                </c:pt>
                <c:pt idx="7">
                  <c:v>64</c:v>
                </c:pt>
                <c:pt idx="8">
                  <c:v>65</c:v>
                </c:pt>
                <c:pt idx="9">
                  <c:v>66</c:v>
                </c:pt>
                <c:pt idx="10">
                  <c:v>67</c:v>
                </c:pt>
                <c:pt idx="11">
                  <c:v>68</c:v>
                </c:pt>
                <c:pt idx="12">
                  <c:v>69</c:v>
                </c:pt>
                <c:pt idx="13">
                  <c:v>70</c:v>
                </c:pt>
                <c:pt idx="14">
                  <c:v>71</c:v>
                </c:pt>
                <c:pt idx="15">
                  <c:v>72</c:v>
                </c:pt>
                <c:pt idx="16">
                  <c:v>73</c:v>
                </c:pt>
              </c:numCache>
            </c:numRef>
          </c:cat>
          <c:val>
            <c:numRef>
              <c:f>Sheet1!$C$11:$C$27</c:f>
              <c:numCache>
                <c:formatCode>General</c:formatCode>
                <c:ptCount val="17"/>
                <c:pt idx="0">
                  <c:v>0</c:v>
                </c:pt>
                <c:pt idx="1">
                  <c:v>3</c:v>
                </c:pt>
                <c:pt idx="2">
                  <c:v>4.2</c:v>
                </c:pt>
                <c:pt idx="3">
                  <c:v>4.6000000000000005</c:v>
                </c:pt>
                <c:pt idx="4">
                  <c:v>7.0999999999999979</c:v>
                </c:pt>
                <c:pt idx="5">
                  <c:v>11.700000000000003</c:v>
                </c:pt>
                <c:pt idx="6">
                  <c:v>7.3999999999999986</c:v>
                </c:pt>
                <c:pt idx="7">
                  <c:v>6.1000000000000005</c:v>
                </c:pt>
                <c:pt idx="8">
                  <c:v>10.900000000000002</c:v>
                </c:pt>
                <c:pt idx="9">
                  <c:v>7.2999999999999972</c:v>
                </c:pt>
                <c:pt idx="10">
                  <c:v>4.5</c:v>
                </c:pt>
                <c:pt idx="11">
                  <c:v>6.7999999999999972</c:v>
                </c:pt>
                <c:pt idx="12">
                  <c:v>-2.6999999999999877</c:v>
                </c:pt>
                <c:pt idx="13">
                  <c:v>2.8999999999999906</c:v>
                </c:pt>
                <c:pt idx="14">
                  <c:v>6.1000000000000085</c:v>
                </c:pt>
                <c:pt idx="15">
                  <c:v>-0.5</c:v>
                </c:pt>
                <c:pt idx="16">
                  <c:v>1</c:v>
                </c:pt>
              </c:numCache>
            </c:numRef>
          </c:val>
          <c:extLst>
            <c:ext xmlns:c16="http://schemas.microsoft.com/office/drawing/2014/chart" uri="{C3380CC4-5D6E-409C-BE32-E72D297353CC}">
              <c16:uniqueId val="{00000001-A8A2-473D-BBAE-A330FE81DE23}"/>
            </c:ext>
          </c:extLst>
        </c:ser>
        <c:dLbls>
          <c:showLegendKey val="0"/>
          <c:showVal val="0"/>
          <c:showCatName val="0"/>
          <c:showSerName val="0"/>
          <c:showPercent val="0"/>
          <c:showBubbleSize val="0"/>
        </c:dLbls>
        <c:gapWidth val="150"/>
        <c:axId val="124283904"/>
        <c:axId val="124290176"/>
      </c:barChart>
      <c:catAx>
        <c:axId val="124283904"/>
        <c:scaling>
          <c:orientation val="minMax"/>
        </c:scaling>
        <c:delete val="0"/>
        <c:axPos val="b"/>
        <c:title>
          <c:tx>
            <c:rich>
              <a:bodyPr/>
              <a:lstStyle/>
              <a:p>
                <a:pPr>
                  <a:defRPr/>
                </a:pPr>
                <a:r>
                  <a:rPr lang="en-US"/>
                  <a:t>Year</a:t>
                </a:r>
              </a:p>
            </c:rich>
          </c:tx>
          <c:overlay val="0"/>
        </c:title>
        <c:numFmt formatCode="General" sourceLinked="1"/>
        <c:majorTickMark val="out"/>
        <c:minorTickMark val="none"/>
        <c:tickLblPos val="nextTo"/>
        <c:crossAx val="124290176"/>
        <c:crosses val="autoZero"/>
        <c:auto val="1"/>
        <c:lblAlgn val="ctr"/>
        <c:lblOffset val="100"/>
        <c:noMultiLvlLbl val="0"/>
      </c:catAx>
      <c:valAx>
        <c:axId val="124290176"/>
        <c:scaling>
          <c:orientation val="minMax"/>
        </c:scaling>
        <c:delete val="0"/>
        <c:axPos val="l"/>
        <c:numFmt formatCode="General" sourceLinked="1"/>
        <c:majorTickMark val="out"/>
        <c:minorTickMark val="none"/>
        <c:tickLblPos val="nextTo"/>
        <c:crossAx val="124283904"/>
        <c:crosses val="autoZero"/>
        <c:crossBetween val="between"/>
      </c:valAx>
    </c:plotArea>
    <c:plotVisOnly val="1"/>
    <c:dispBlanksAs val="gap"/>
    <c:showDLblsOverMax val="0"/>
  </c:chart>
  <c:spPr>
    <a:solidFill>
      <a:sysClr val="window" lastClr="FFFFFF"/>
    </a:solidFill>
    <a:ln>
      <a:no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8.4488407699037621E-2"/>
          <c:y val="3.2882035578886019E-2"/>
          <c:w val="0.87695124130989133"/>
          <c:h val="0.89719889180519163"/>
        </c:manualLayout>
      </c:layout>
      <c:scatterChart>
        <c:scatterStyle val="smoothMarker"/>
        <c:varyColors val="0"/>
        <c:ser>
          <c:idx val="2"/>
          <c:order val="1"/>
          <c:tx>
            <c:strRef>
              <c:f>Sheet1!$M$10</c:f>
              <c:strCache>
                <c:ptCount val="1"/>
                <c:pt idx="0">
                  <c:v>Richards</c:v>
                </c:pt>
              </c:strCache>
            </c:strRef>
          </c:tx>
          <c:spPr>
            <a:ln>
              <a:solidFill>
                <a:sysClr val="windowText" lastClr="000000"/>
              </a:solidFill>
              <a:prstDash val="sysDash"/>
            </a:ln>
          </c:spPr>
          <c:marker>
            <c:symbol val="none"/>
          </c:marker>
          <c:xVal>
            <c:numRef>
              <c:f>Sheet1!$J$11:$J$27</c:f>
              <c:numCache>
                <c:formatCode>General</c:formatCode>
                <c:ptCount val="17"/>
                <c:pt idx="0">
                  <c:v>1957</c:v>
                </c:pt>
                <c:pt idx="1">
                  <c:v>1958</c:v>
                </c:pt>
                <c:pt idx="2">
                  <c:v>1959</c:v>
                </c:pt>
                <c:pt idx="3">
                  <c:v>1960</c:v>
                </c:pt>
                <c:pt idx="4">
                  <c:v>1961</c:v>
                </c:pt>
                <c:pt idx="5">
                  <c:v>1962</c:v>
                </c:pt>
                <c:pt idx="6">
                  <c:v>1963</c:v>
                </c:pt>
                <c:pt idx="7">
                  <c:v>1964</c:v>
                </c:pt>
                <c:pt idx="8">
                  <c:v>1965</c:v>
                </c:pt>
                <c:pt idx="9">
                  <c:v>1966</c:v>
                </c:pt>
                <c:pt idx="10">
                  <c:v>1967</c:v>
                </c:pt>
                <c:pt idx="11">
                  <c:v>1968</c:v>
                </c:pt>
                <c:pt idx="12">
                  <c:v>1969</c:v>
                </c:pt>
                <c:pt idx="13">
                  <c:v>1970</c:v>
                </c:pt>
                <c:pt idx="14">
                  <c:v>1971</c:v>
                </c:pt>
                <c:pt idx="15">
                  <c:v>1972</c:v>
                </c:pt>
                <c:pt idx="16">
                  <c:v>1973</c:v>
                </c:pt>
              </c:numCache>
            </c:numRef>
          </c:xVal>
          <c:yVal>
            <c:numRef>
              <c:f>Sheet1!$M$11:$M$27</c:f>
              <c:numCache>
                <c:formatCode>General</c:formatCode>
                <c:ptCount val="17"/>
                <c:pt idx="0">
                  <c:v>1.1633353225648786</c:v>
                </c:pt>
                <c:pt idx="1">
                  <c:v>2.5840856097111837</c:v>
                </c:pt>
                <c:pt idx="2">
                  <c:v>4.6017369080556172</c:v>
                </c:pt>
                <c:pt idx="3">
                  <c:v>6.759291271523753</c:v>
                </c:pt>
                <c:pt idx="4">
                  <c:v>8.4490276135375719</c:v>
                </c:pt>
                <c:pt idx="5">
                  <c:v>9.2662841005062351</c:v>
                </c:pt>
                <c:pt idx="6">
                  <c:v>9.1658634133383536</c:v>
                </c:pt>
                <c:pt idx="7">
                  <c:v>8.371554227507886</c:v>
                </c:pt>
                <c:pt idx="8">
                  <c:v>7.1964589997591926</c:v>
                </c:pt>
                <c:pt idx="9">
                  <c:v>5.9112659495415194</c:v>
                </c:pt>
                <c:pt idx="10">
                  <c:v>4.6941828744885878</c:v>
                </c:pt>
                <c:pt idx="11">
                  <c:v>3.6358174103436456</c:v>
                </c:pt>
                <c:pt idx="12">
                  <c:v>2.7649427711209595</c:v>
                </c:pt>
                <c:pt idx="13">
                  <c:v>2.0746697831267071</c:v>
                </c:pt>
                <c:pt idx="14">
                  <c:v>1.5415779942338745</c:v>
                </c:pt>
                <c:pt idx="15">
                  <c:v>1.1373414673315345</c:v>
                </c:pt>
                <c:pt idx="16">
                  <c:v>0.83477485829234221</c:v>
                </c:pt>
              </c:numCache>
            </c:numRef>
          </c:yVal>
          <c:smooth val="1"/>
          <c:extLst>
            <c:ext xmlns:c16="http://schemas.microsoft.com/office/drawing/2014/chart" uri="{C3380CC4-5D6E-409C-BE32-E72D297353CC}">
              <c16:uniqueId val="{00000000-AED7-42A5-A145-9BB7F0274346}"/>
            </c:ext>
          </c:extLst>
        </c:ser>
        <c:ser>
          <c:idx val="1"/>
          <c:order val="2"/>
          <c:marker>
            <c:symbol val="none"/>
          </c:marker>
          <c:xVal>
            <c:numRef>
              <c:f>Sheet1!$A$11:$A$27</c:f>
              <c:numCache>
                <c:formatCode>0.00</c:formatCode>
                <c:ptCount val="17"/>
                <c:pt idx="0">
                  <c:v>1957</c:v>
                </c:pt>
                <c:pt idx="1">
                  <c:v>1958</c:v>
                </c:pt>
                <c:pt idx="2">
                  <c:v>1959</c:v>
                </c:pt>
                <c:pt idx="3">
                  <c:v>1960</c:v>
                </c:pt>
                <c:pt idx="4">
                  <c:v>1961</c:v>
                </c:pt>
                <c:pt idx="5">
                  <c:v>1962</c:v>
                </c:pt>
                <c:pt idx="6">
                  <c:v>1963</c:v>
                </c:pt>
                <c:pt idx="7">
                  <c:v>1964</c:v>
                </c:pt>
                <c:pt idx="8">
                  <c:v>1965</c:v>
                </c:pt>
                <c:pt idx="9">
                  <c:v>1966</c:v>
                </c:pt>
                <c:pt idx="10">
                  <c:v>1967</c:v>
                </c:pt>
                <c:pt idx="11">
                  <c:v>1968</c:v>
                </c:pt>
                <c:pt idx="12">
                  <c:v>1969</c:v>
                </c:pt>
                <c:pt idx="13">
                  <c:v>1970</c:v>
                </c:pt>
                <c:pt idx="14">
                  <c:v>1971</c:v>
                </c:pt>
                <c:pt idx="15">
                  <c:v>1972</c:v>
                </c:pt>
                <c:pt idx="16">
                  <c:v>1973</c:v>
                </c:pt>
              </c:numCache>
            </c:numRef>
          </c:xVal>
          <c:yVal>
            <c:numRef>
              <c:f>Sheet1!$N$11:$N$27</c:f>
              <c:numCache>
                <c:formatCode>0.000</c:formatCode>
                <c:ptCount val="17"/>
                <c:pt idx="0">
                  <c:v>0.98537810225441169</c:v>
                </c:pt>
                <c:pt idx="1">
                  <c:v>2.0746045880091817</c:v>
                </c:pt>
                <c:pt idx="2">
                  <c:v>3.722405252462218</c:v>
                </c:pt>
                <c:pt idx="3">
                  <c:v>5.710574820607631</c:v>
                </c:pt>
                <c:pt idx="4">
                  <c:v>7.5731888409656447</c:v>
                </c:pt>
                <c:pt idx="5">
                  <c:v>8.8278668192303389</c:v>
                </c:pt>
                <c:pt idx="6">
                  <c:v>9.2240359908436123</c:v>
                </c:pt>
                <c:pt idx="7">
                  <c:v>8.8135670636242569</c:v>
                </c:pt>
                <c:pt idx="8">
                  <c:v>7.844914694572676</c:v>
                </c:pt>
                <c:pt idx="9">
                  <c:v>6.6098070690913708</c:v>
                </c:pt>
                <c:pt idx="10">
                  <c:v>5.3417359199998851</c:v>
                </c:pt>
                <c:pt idx="11">
                  <c:v>4.1842394921148278</c:v>
                </c:pt>
                <c:pt idx="12">
                  <c:v>3.2026169821679682</c:v>
                </c:pt>
                <c:pt idx="13">
                  <c:v>2.4099620212938793</c:v>
                </c:pt>
                <c:pt idx="14">
                  <c:v>1.7911034118044338</c:v>
                </c:pt>
                <c:pt idx="15">
                  <c:v>1.3191866461078177</c:v>
                </c:pt>
                <c:pt idx="16">
                  <c:v>0.96526208411523906</c:v>
                </c:pt>
              </c:numCache>
            </c:numRef>
          </c:yVal>
          <c:smooth val="1"/>
          <c:extLst>
            <c:ext xmlns:c16="http://schemas.microsoft.com/office/drawing/2014/chart" uri="{C3380CC4-5D6E-409C-BE32-E72D297353CC}">
              <c16:uniqueId val="{00000001-AED7-42A5-A145-9BB7F0274346}"/>
            </c:ext>
          </c:extLst>
        </c:ser>
        <c:dLbls>
          <c:showLegendKey val="0"/>
          <c:showVal val="0"/>
          <c:showCatName val="0"/>
          <c:showSerName val="0"/>
          <c:showPercent val="0"/>
          <c:showBubbleSize val="0"/>
        </c:dLbls>
        <c:axId val="124311424"/>
        <c:axId val="124312960"/>
      </c:scatterChart>
      <c:scatterChart>
        <c:scatterStyle val="lineMarker"/>
        <c:varyColors val="0"/>
        <c:ser>
          <c:idx val="0"/>
          <c:order val="0"/>
          <c:tx>
            <c:strRef>
              <c:f>Sheet1!$K$10</c:f>
              <c:strCache>
                <c:ptCount val="1"/>
                <c:pt idx="0">
                  <c:v>Yprime</c:v>
                </c:pt>
              </c:strCache>
            </c:strRef>
          </c:tx>
          <c:spPr>
            <a:ln w="28575">
              <a:noFill/>
            </a:ln>
          </c:spPr>
          <c:xVal>
            <c:numRef>
              <c:f>Sheet1!$J$11:$J$27</c:f>
              <c:numCache>
                <c:formatCode>General</c:formatCode>
                <c:ptCount val="17"/>
                <c:pt idx="0">
                  <c:v>1957</c:v>
                </c:pt>
                <c:pt idx="1">
                  <c:v>1958</c:v>
                </c:pt>
                <c:pt idx="2">
                  <c:v>1959</c:v>
                </c:pt>
                <c:pt idx="3">
                  <c:v>1960</c:v>
                </c:pt>
                <c:pt idx="4">
                  <c:v>1961</c:v>
                </c:pt>
                <c:pt idx="5">
                  <c:v>1962</c:v>
                </c:pt>
                <c:pt idx="6">
                  <c:v>1963</c:v>
                </c:pt>
                <c:pt idx="7">
                  <c:v>1964</c:v>
                </c:pt>
                <c:pt idx="8">
                  <c:v>1965</c:v>
                </c:pt>
                <c:pt idx="9">
                  <c:v>1966</c:v>
                </c:pt>
                <c:pt idx="10">
                  <c:v>1967</c:v>
                </c:pt>
                <c:pt idx="11">
                  <c:v>1968</c:v>
                </c:pt>
                <c:pt idx="12">
                  <c:v>1969</c:v>
                </c:pt>
                <c:pt idx="13">
                  <c:v>1970</c:v>
                </c:pt>
                <c:pt idx="14">
                  <c:v>1971</c:v>
                </c:pt>
                <c:pt idx="15">
                  <c:v>1972</c:v>
                </c:pt>
                <c:pt idx="16">
                  <c:v>1973</c:v>
                </c:pt>
              </c:numCache>
            </c:numRef>
          </c:xVal>
          <c:yVal>
            <c:numRef>
              <c:f>Sheet1!$K$11:$K$27</c:f>
              <c:numCache>
                <c:formatCode>General</c:formatCode>
                <c:ptCount val="17"/>
                <c:pt idx="0">
                  <c:v>#N/A</c:v>
                </c:pt>
                <c:pt idx="1">
                  <c:v>3</c:v>
                </c:pt>
                <c:pt idx="2">
                  <c:v>4.2</c:v>
                </c:pt>
                <c:pt idx="3">
                  <c:v>4.6000000000000005</c:v>
                </c:pt>
                <c:pt idx="4">
                  <c:v>7.0999999999999979</c:v>
                </c:pt>
                <c:pt idx="5">
                  <c:v>11.700000000000003</c:v>
                </c:pt>
                <c:pt idx="6">
                  <c:v>7.3999999999999986</c:v>
                </c:pt>
                <c:pt idx="7">
                  <c:v>6.1000000000000005</c:v>
                </c:pt>
                <c:pt idx="8">
                  <c:v>10.900000000000002</c:v>
                </c:pt>
                <c:pt idx="9">
                  <c:v>7.2999999999999972</c:v>
                </c:pt>
                <c:pt idx="10">
                  <c:v>4.5</c:v>
                </c:pt>
                <c:pt idx="11">
                  <c:v>6.7999999999999972</c:v>
                </c:pt>
                <c:pt idx="12">
                  <c:v>-2.6999999999999877</c:v>
                </c:pt>
                <c:pt idx="13">
                  <c:v>2.8999999999999906</c:v>
                </c:pt>
                <c:pt idx="14">
                  <c:v>6.1000000000000085</c:v>
                </c:pt>
                <c:pt idx="15">
                  <c:v>-0.5</c:v>
                </c:pt>
                <c:pt idx="16">
                  <c:v>1</c:v>
                </c:pt>
              </c:numCache>
            </c:numRef>
          </c:yVal>
          <c:smooth val="0"/>
          <c:extLst>
            <c:ext xmlns:c16="http://schemas.microsoft.com/office/drawing/2014/chart" uri="{C3380CC4-5D6E-409C-BE32-E72D297353CC}">
              <c16:uniqueId val="{00000002-AED7-42A5-A145-9BB7F0274346}"/>
            </c:ext>
          </c:extLst>
        </c:ser>
        <c:dLbls>
          <c:showLegendKey val="0"/>
          <c:showVal val="0"/>
          <c:showCatName val="0"/>
          <c:showSerName val="0"/>
          <c:showPercent val="0"/>
          <c:showBubbleSize val="0"/>
        </c:dLbls>
        <c:axId val="124311424"/>
        <c:axId val="124312960"/>
      </c:scatterChart>
      <c:valAx>
        <c:axId val="124311424"/>
        <c:scaling>
          <c:orientation val="minMax"/>
        </c:scaling>
        <c:delete val="0"/>
        <c:axPos val="b"/>
        <c:numFmt formatCode="General" sourceLinked="1"/>
        <c:majorTickMark val="out"/>
        <c:minorTickMark val="none"/>
        <c:tickLblPos val="nextTo"/>
        <c:crossAx val="124312960"/>
        <c:crosses val="autoZero"/>
        <c:crossBetween val="midCat"/>
      </c:valAx>
      <c:valAx>
        <c:axId val="124312960"/>
        <c:scaling>
          <c:orientation val="minMax"/>
        </c:scaling>
        <c:delete val="0"/>
        <c:axPos val="l"/>
        <c:numFmt formatCode="General" sourceLinked="1"/>
        <c:majorTickMark val="out"/>
        <c:minorTickMark val="none"/>
        <c:tickLblPos val="nextTo"/>
        <c:crossAx val="124311424"/>
        <c:crosses val="autoZero"/>
        <c:crossBetween val="midCat"/>
      </c:valAx>
      <c:spPr>
        <a:noFill/>
        <a:ln>
          <a:noFill/>
        </a:ln>
      </c:spPr>
    </c:plotArea>
    <c:plotVisOnly val="1"/>
    <c:dispBlanksAs val="gap"/>
    <c:showDLblsOverMax val="0"/>
  </c:chart>
  <c:spPr>
    <a:solidFill>
      <a:schemeClr val="bg1"/>
    </a:solidFill>
    <a:ln>
      <a:noFill/>
    </a:ln>
  </c:sp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1"/>
          <c:order val="1"/>
          <c:marker>
            <c:symbol val="none"/>
          </c:marker>
          <c:xVal>
            <c:numRef>
              <c:f>Sheet1!$A$11:$A$34</c:f>
              <c:numCache>
                <c:formatCode>0.00</c:formatCode>
                <c:ptCount val="24"/>
                <c:pt idx="0">
                  <c:v>1957</c:v>
                </c:pt>
                <c:pt idx="1">
                  <c:v>1958</c:v>
                </c:pt>
                <c:pt idx="2">
                  <c:v>1959</c:v>
                </c:pt>
                <c:pt idx="3">
                  <c:v>1960</c:v>
                </c:pt>
                <c:pt idx="4">
                  <c:v>1961</c:v>
                </c:pt>
                <c:pt idx="5">
                  <c:v>1962</c:v>
                </c:pt>
                <c:pt idx="6">
                  <c:v>1963</c:v>
                </c:pt>
                <c:pt idx="7">
                  <c:v>1964</c:v>
                </c:pt>
                <c:pt idx="8">
                  <c:v>1965</c:v>
                </c:pt>
                <c:pt idx="9">
                  <c:v>1966</c:v>
                </c:pt>
                <c:pt idx="10">
                  <c:v>1967</c:v>
                </c:pt>
                <c:pt idx="11">
                  <c:v>1968</c:v>
                </c:pt>
                <c:pt idx="12">
                  <c:v>1969</c:v>
                </c:pt>
                <c:pt idx="13">
                  <c:v>1970</c:v>
                </c:pt>
                <c:pt idx="14">
                  <c:v>1971</c:v>
                </c:pt>
                <c:pt idx="15">
                  <c:v>1972</c:v>
                </c:pt>
                <c:pt idx="16">
                  <c:v>1973</c:v>
                </c:pt>
                <c:pt idx="17">
                  <c:v>1974</c:v>
                </c:pt>
                <c:pt idx="18">
                  <c:v>1975</c:v>
                </c:pt>
                <c:pt idx="19">
                  <c:v>1976</c:v>
                </c:pt>
                <c:pt idx="20">
                  <c:v>1977</c:v>
                </c:pt>
                <c:pt idx="21">
                  <c:v>1978</c:v>
                </c:pt>
                <c:pt idx="22">
                  <c:v>1979</c:v>
                </c:pt>
                <c:pt idx="23">
                  <c:v>1980</c:v>
                </c:pt>
              </c:numCache>
            </c:numRef>
          </c:xVal>
          <c:yVal>
            <c:numRef>
              <c:f>Sheet1!$D$11:$D$34</c:f>
              <c:numCache>
                <c:formatCode>General</c:formatCode>
                <c:ptCount val="24"/>
                <c:pt idx="0">
                  <c:v>1.1475089152907427</c:v>
                </c:pt>
                <c:pt idx="1">
                  <c:v>3.0607837385788685</c:v>
                </c:pt>
                <c:pt idx="2">
                  <c:v>6.7049946308840784</c:v>
                </c:pt>
                <c:pt idx="3">
                  <c:v>12.40976894876327</c:v>
                </c:pt>
                <c:pt idx="4">
                  <c:v>19.975808222896692</c:v>
                </c:pt>
                <c:pt idx="5">
                  <c:v>28.734101058334186</c:v>
                </c:pt>
                <c:pt idx="6">
                  <c:v>37.826710064135561</c:v>
                </c:pt>
                <c:pt idx="7">
                  <c:v>46.493907901223196</c:v>
                </c:pt>
                <c:pt idx="8">
                  <c:v>54.228879776667171</c:v>
                </c:pt>
                <c:pt idx="9">
                  <c:v>60.79397609014616</c:v>
                </c:pt>
                <c:pt idx="10">
                  <c:v>66.159071177297278</c:v>
                </c:pt>
                <c:pt idx="11">
                  <c:v>70.420911762420985</c:v>
                </c:pt>
                <c:pt idx="12">
                  <c:v>73.735613783042751</c:v>
                </c:pt>
                <c:pt idx="13">
                  <c:v>76.273600247781118</c:v>
                </c:pt>
                <c:pt idx="14">
                  <c:v>78.194501112300387</c:v>
                </c:pt>
                <c:pt idx="15">
                  <c:v>79.635989203998008</c:v>
                </c:pt>
                <c:pt idx="16">
                  <c:v>80.710932719904051</c:v>
                </c:pt>
                <c:pt idx="17">
                  <c:v>81.508838117953871</c:v>
                </c:pt>
                <c:pt idx="18">
                  <c:v>82.099095178101081</c:v>
                </c:pt>
                <c:pt idx="19">
                  <c:v>82.53465444273715</c:v>
                </c:pt>
                <c:pt idx="20">
                  <c:v>82.855471908823489</c:v>
                </c:pt>
                <c:pt idx="21">
                  <c:v>83.091457400343643</c:v>
                </c:pt>
                <c:pt idx="22">
                  <c:v>83.264871615731138</c:v>
                </c:pt>
                <c:pt idx="23">
                  <c:v>83.392213220608696</c:v>
                </c:pt>
              </c:numCache>
            </c:numRef>
          </c:yVal>
          <c:smooth val="1"/>
          <c:extLst>
            <c:ext xmlns:c16="http://schemas.microsoft.com/office/drawing/2014/chart" uri="{C3380CC4-5D6E-409C-BE32-E72D297353CC}">
              <c16:uniqueId val="{00000000-5C8C-41F3-B242-4DE643854C61}"/>
            </c:ext>
          </c:extLst>
        </c:ser>
        <c:dLbls>
          <c:showLegendKey val="0"/>
          <c:showVal val="0"/>
          <c:showCatName val="0"/>
          <c:showSerName val="0"/>
          <c:showPercent val="0"/>
          <c:showBubbleSize val="0"/>
        </c:dLbls>
        <c:axId val="59634432"/>
        <c:axId val="59635968"/>
      </c:scatterChart>
      <c:scatterChart>
        <c:scatterStyle val="lineMarker"/>
        <c:varyColors val="0"/>
        <c:ser>
          <c:idx val="0"/>
          <c:order val="0"/>
          <c:spPr>
            <a:ln w="28575">
              <a:noFill/>
            </a:ln>
          </c:spPr>
          <c:xVal>
            <c:numRef>
              <c:f>Sheet1!$A$11:$A$34</c:f>
              <c:numCache>
                <c:formatCode>0.00</c:formatCode>
                <c:ptCount val="24"/>
                <c:pt idx="0">
                  <c:v>1957</c:v>
                </c:pt>
                <c:pt idx="1">
                  <c:v>1958</c:v>
                </c:pt>
                <c:pt idx="2">
                  <c:v>1959</c:v>
                </c:pt>
                <c:pt idx="3">
                  <c:v>1960</c:v>
                </c:pt>
                <c:pt idx="4">
                  <c:v>1961</c:v>
                </c:pt>
                <c:pt idx="5">
                  <c:v>1962</c:v>
                </c:pt>
                <c:pt idx="6">
                  <c:v>1963</c:v>
                </c:pt>
                <c:pt idx="7">
                  <c:v>1964</c:v>
                </c:pt>
                <c:pt idx="8">
                  <c:v>1965</c:v>
                </c:pt>
                <c:pt idx="9">
                  <c:v>1966</c:v>
                </c:pt>
                <c:pt idx="10">
                  <c:v>1967</c:v>
                </c:pt>
                <c:pt idx="11">
                  <c:v>1968</c:v>
                </c:pt>
                <c:pt idx="12">
                  <c:v>1969</c:v>
                </c:pt>
                <c:pt idx="13">
                  <c:v>1970</c:v>
                </c:pt>
                <c:pt idx="14">
                  <c:v>1971</c:v>
                </c:pt>
                <c:pt idx="15">
                  <c:v>1972</c:v>
                </c:pt>
                <c:pt idx="16">
                  <c:v>1973</c:v>
                </c:pt>
                <c:pt idx="17">
                  <c:v>1974</c:v>
                </c:pt>
                <c:pt idx="18">
                  <c:v>1975</c:v>
                </c:pt>
                <c:pt idx="19">
                  <c:v>1976</c:v>
                </c:pt>
                <c:pt idx="20">
                  <c:v>1977</c:v>
                </c:pt>
                <c:pt idx="21">
                  <c:v>1978</c:v>
                </c:pt>
                <c:pt idx="22">
                  <c:v>1979</c:v>
                </c:pt>
                <c:pt idx="23">
                  <c:v>1980</c:v>
                </c:pt>
              </c:numCache>
            </c:numRef>
          </c:xVal>
          <c:yVal>
            <c:numRef>
              <c:f>Sheet1!$B$11:$B$34</c:f>
              <c:numCache>
                <c:formatCode>General</c:formatCode>
                <c:ptCount val="24"/>
                <c:pt idx="0">
                  <c:v>0</c:v>
                </c:pt>
                <c:pt idx="1">
                  <c:v>3</c:v>
                </c:pt>
                <c:pt idx="2">
                  <c:v>7.2</c:v>
                </c:pt>
                <c:pt idx="3">
                  <c:v>11.8</c:v>
                </c:pt>
                <c:pt idx="4">
                  <c:v>18.899999999999999</c:v>
                </c:pt>
                <c:pt idx="5">
                  <c:v>30.6</c:v>
                </c:pt>
                <c:pt idx="6">
                  <c:v>38</c:v>
                </c:pt>
                <c:pt idx="7">
                  <c:v>44.1</c:v>
                </c:pt>
                <c:pt idx="8">
                  <c:v>55</c:v>
                </c:pt>
                <c:pt idx="9">
                  <c:v>62.3</c:v>
                </c:pt>
                <c:pt idx="10">
                  <c:v>66.8</c:v>
                </c:pt>
                <c:pt idx="11">
                  <c:v>73.599999999999994</c:v>
                </c:pt>
                <c:pt idx="12">
                  <c:v>70.900000000000006</c:v>
                </c:pt>
                <c:pt idx="13">
                  <c:v>73.8</c:v>
                </c:pt>
                <c:pt idx="14">
                  <c:v>79.900000000000006</c:v>
                </c:pt>
                <c:pt idx="15">
                  <c:v>79.400000000000006</c:v>
                </c:pt>
                <c:pt idx="16">
                  <c:v>80.400000000000006</c:v>
                </c:pt>
                <c:pt idx="17">
                  <c:v>82.7</c:v>
                </c:pt>
                <c:pt idx="18">
                  <c:v>82.3</c:v>
                </c:pt>
                <c:pt idx="19">
                  <c:v>80.900000000000006</c:v>
                </c:pt>
                <c:pt idx="20">
                  <c:v>80.5</c:v>
                </c:pt>
                <c:pt idx="21">
                  <c:v>78.099999999999994</c:v>
                </c:pt>
                <c:pt idx="22">
                  <c:v>76.400000000000006</c:v>
                </c:pt>
                <c:pt idx="23">
                  <c:v>75.5</c:v>
                </c:pt>
              </c:numCache>
            </c:numRef>
          </c:yVal>
          <c:smooth val="0"/>
          <c:extLst>
            <c:ext xmlns:c16="http://schemas.microsoft.com/office/drawing/2014/chart" uri="{C3380CC4-5D6E-409C-BE32-E72D297353CC}">
              <c16:uniqueId val="{00000001-5C8C-41F3-B242-4DE643854C61}"/>
            </c:ext>
          </c:extLst>
        </c:ser>
        <c:dLbls>
          <c:showLegendKey val="0"/>
          <c:showVal val="0"/>
          <c:showCatName val="0"/>
          <c:showSerName val="0"/>
          <c:showPercent val="0"/>
          <c:showBubbleSize val="0"/>
        </c:dLbls>
        <c:axId val="59634432"/>
        <c:axId val="59635968"/>
      </c:scatterChart>
      <c:valAx>
        <c:axId val="59634432"/>
        <c:scaling>
          <c:orientation val="minMax"/>
        </c:scaling>
        <c:delete val="0"/>
        <c:axPos val="b"/>
        <c:numFmt formatCode="0" sourceLinked="0"/>
        <c:majorTickMark val="out"/>
        <c:minorTickMark val="out"/>
        <c:tickLblPos val="nextTo"/>
        <c:crossAx val="59635968"/>
        <c:crosses val="autoZero"/>
        <c:crossBetween val="midCat"/>
      </c:valAx>
      <c:valAx>
        <c:axId val="59635968"/>
        <c:scaling>
          <c:orientation val="minMax"/>
        </c:scaling>
        <c:delete val="0"/>
        <c:axPos val="l"/>
        <c:numFmt formatCode="General" sourceLinked="1"/>
        <c:majorTickMark val="out"/>
        <c:minorTickMark val="none"/>
        <c:tickLblPos val="nextTo"/>
        <c:crossAx val="59634432"/>
        <c:crosses val="autoZero"/>
        <c:crossBetween val="midCat"/>
      </c:valAx>
      <c:spPr>
        <a:noFill/>
        <a:ln w="25400">
          <a:noFill/>
        </a:ln>
      </c:spPr>
    </c:plotArea>
    <c:plotVisOnly val="1"/>
    <c:dispBlanksAs val="gap"/>
    <c:showDLblsOverMax val="0"/>
  </c:chart>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0.48333</cdr:x>
      <cdr:y>0.42361</cdr:y>
    </cdr:from>
    <cdr:to>
      <cdr:x>0.84792</cdr:x>
      <cdr:y>0.52083</cdr:y>
    </cdr:to>
    <cdr:sp macro="" textlink="">
      <cdr:nvSpPr>
        <cdr:cNvPr id="2" name="TextBox 1"/>
        <cdr:cNvSpPr txBox="1"/>
      </cdr:nvSpPr>
      <cdr:spPr>
        <a:xfrm xmlns:a="http://schemas.openxmlformats.org/drawingml/2006/main">
          <a:off x="2209799" y="1162050"/>
          <a:ext cx="1666875" cy="2667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Number of adoptors (Y)</a:t>
          </a:r>
        </a:p>
      </cdr:txBody>
    </cdr:sp>
  </cdr:relSizeAnchor>
</c:userShapes>
</file>

<file path=word/drawings/drawing2.xml><?xml version="1.0" encoding="utf-8"?>
<c:userShapes xmlns:c="http://schemas.openxmlformats.org/drawingml/2006/chart">
  <cdr:relSizeAnchor xmlns:cdr="http://schemas.openxmlformats.org/drawingml/2006/chartDrawing">
    <cdr:from>
      <cdr:x>0.13542</cdr:x>
      <cdr:y>0.47222</cdr:y>
    </cdr:from>
    <cdr:to>
      <cdr:x>0.47708</cdr:x>
      <cdr:y>0.72222</cdr:y>
    </cdr:to>
    <cdr:sp macro="" textlink="">
      <cdr:nvSpPr>
        <cdr:cNvPr id="2" name="TextBox 1"/>
        <cdr:cNvSpPr txBox="1"/>
      </cdr:nvSpPr>
      <cdr:spPr>
        <a:xfrm xmlns:a="http://schemas.openxmlformats.org/drawingml/2006/main">
          <a:off x="619125" y="1295400"/>
          <a:ext cx="1562100" cy="6858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 Number of new adoptors (Y')</a:t>
          </a:r>
        </a:p>
      </cdr:txBody>
    </cdr:sp>
  </cdr:relSizeAnchor>
  <cdr:relSizeAnchor xmlns:cdr="http://schemas.openxmlformats.org/drawingml/2006/chartDrawing">
    <cdr:from>
      <cdr:x>0.43958</cdr:x>
      <cdr:y>0.13194</cdr:y>
    </cdr:from>
    <cdr:to>
      <cdr:x>0.74583</cdr:x>
      <cdr:y>0.36806</cdr:y>
    </cdr:to>
    <cdr:sp macro="" textlink="">
      <cdr:nvSpPr>
        <cdr:cNvPr id="3" name="TextBox 2"/>
        <cdr:cNvSpPr txBox="1"/>
      </cdr:nvSpPr>
      <cdr:spPr>
        <a:xfrm xmlns:a="http://schemas.openxmlformats.org/drawingml/2006/main">
          <a:off x="2009775" y="361950"/>
          <a:ext cx="1400175" cy="6477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Rate</a:t>
          </a:r>
          <a:r>
            <a:rPr lang="en-US" sz="1100" baseline="0"/>
            <a:t> of growth (G) of adoptors (%)</a:t>
          </a:r>
          <a:endParaRPr lang="en-US" sz="1100"/>
        </a:p>
      </cdr:txBody>
    </cdr:sp>
  </cdr:relSizeAnchor>
</c:userShapes>
</file>

<file path=word/drawings/drawing3.xml><?xml version="1.0" encoding="utf-8"?>
<c:userShapes xmlns:c="http://schemas.openxmlformats.org/drawingml/2006/chart">
  <cdr:relSizeAnchor xmlns:cdr="http://schemas.openxmlformats.org/drawingml/2006/chartDrawing">
    <cdr:from>
      <cdr:x>0.10215</cdr:x>
      <cdr:y>0.26549</cdr:y>
    </cdr:from>
    <cdr:to>
      <cdr:x>0.27599</cdr:x>
      <cdr:y>0.34218</cdr:y>
    </cdr:to>
    <cdr:sp macro="" textlink="">
      <cdr:nvSpPr>
        <cdr:cNvPr id="2" name="TextBox 1"/>
        <cdr:cNvSpPr txBox="1"/>
      </cdr:nvSpPr>
      <cdr:spPr>
        <a:xfrm xmlns:a="http://schemas.openxmlformats.org/drawingml/2006/main">
          <a:off x="542925" y="857250"/>
          <a:ext cx="923925" cy="2476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Ypfit Fit to Y</a:t>
          </a:r>
        </a:p>
      </cdr:txBody>
    </cdr:sp>
  </cdr:relSizeAnchor>
  <cdr:relSizeAnchor xmlns:cdr="http://schemas.openxmlformats.org/drawingml/2006/chartDrawing">
    <cdr:from>
      <cdr:x>0.62545</cdr:x>
      <cdr:y>0.20354</cdr:y>
    </cdr:from>
    <cdr:to>
      <cdr:x>0.82258</cdr:x>
      <cdr:y>0.28909</cdr:y>
    </cdr:to>
    <cdr:sp macro="" textlink="">
      <cdr:nvSpPr>
        <cdr:cNvPr id="3" name="TextBox 1"/>
        <cdr:cNvSpPr txBox="1"/>
      </cdr:nvSpPr>
      <cdr:spPr>
        <a:xfrm xmlns:a="http://schemas.openxmlformats.org/drawingml/2006/main">
          <a:off x="3324225" y="657224"/>
          <a:ext cx="1047750" cy="27622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r>
            <a:rPr lang="en-US" sz="1100"/>
            <a:t>Ypfit Fit to Y'</a:t>
          </a:r>
        </a:p>
      </cdr:txBody>
    </cdr:sp>
  </cdr:relSizeAnchor>
  <cdr:relSizeAnchor xmlns:cdr="http://schemas.openxmlformats.org/drawingml/2006/chartDrawing">
    <cdr:from>
      <cdr:x>0.21147</cdr:x>
      <cdr:y>0.34218</cdr:y>
    </cdr:from>
    <cdr:to>
      <cdr:x>0.27599</cdr:x>
      <cdr:y>0.37168</cdr:y>
    </cdr:to>
    <cdr:sp macro="" textlink="">
      <cdr:nvSpPr>
        <cdr:cNvPr id="5" name="Straight Arrow Connector 4"/>
        <cdr:cNvSpPr/>
      </cdr:nvSpPr>
      <cdr:spPr>
        <a:xfrm xmlns:a="http://schemas.openxmlformats.org/drawingml/2006/main">
          <a:off x="1123950" y="1104900"/>
          <a:ext cx="342900" cy="95250"/>
        </a:xfrm>
        <a:prstGeom xmlns:a="http://schemas.openxmlformats.org/drawingml/2006/main" prst="straightConnector1">
          <a:avLst/>
        </a:prstGeom>
        <a:ln xmlns:a="http://schemas.openxmlformats.org/drawingml/2006/main">
          <a:tailEnd type="arrow"/>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0.60932</cdr:x>
      <cdr:y>0.28319</cdr:y>
    </cdr:from>
    <cdr:to>
      <cdr:x>0.65054</cdr:x>
      <cdr:y>0.42183</cdr:y>
    </cdr:to>
    <cdr:sp macro="" textlink="">
      <cdr:nvSpPr>
        <cdr:cNvPr id="7" name="Straight Arrow Connector 6"/>
        <cdr:cNvSpPr/>
      </cdr:nvSpPr>
      <cdr:spPr>
        <a:xfrm xmlns:a="http://schemas.openxmlformats.org/drawingml/2006/main" rot="5400000">
          <a:off x="3124201" y="1028700"/>
          <a:ext cx="447675" cy="219075"/>
        </a:xfrm>
        <a:prstGeom xmlns:a="http://schemas.openxmlformats.org/drawingml/2006/main" prst="straightConnector1">
          <a:avLst/>
        </a:prstGeom>
        <a:ln xmlns:a="http://schemas.openxmlformats.org/drawingml/2006/main">
          <a:tailEnd type="arrow"/>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0.11649</cdr:x>
      <cdr:y>0.0649</cdr:y>
    </cdr:from>
    <cdr:to>
      <cdr:x>0.30108</cdr:x>
      <cdr:y>0.17109</cdr:y>
    </cdr:to>
    <cdr:sp macro="" textlink="">
      <cdr:nvSpPr>
        <cdr:cNvPr id="8" name="TextBox 7"/>
        <cdr:cNvSpPr txBox="1"/>
      </cdr:nvSpPr>
      <cdr:spPr>
        <a:xfrm xmlns:a="http://schemas.openxmlformats.org/drawingml/2006/main">
          <a:off x="619125" y="209550"/>
          <a:ext cx="981075" cy="3429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Yprime obs</a:t>
          </a:r>
        </a:p>
      </cdr:txBody>
    </cdr:sp>
  </cdr:relSizeAnchor>
  <cdr:relSizeAnchor xmlns:cdr="http://schemas.openxmlformats.org/drawingml/2006/chartDrawing">
    <cdr:from>
      <cdr:x>0.29749</cdr:x>
      <cdr:y>0.12389</cdr:y>
    </cdr:from>
    <cdr:to>
      <cdr:x>0.35663</cdr:x>
      <cdr:y>0.15044</cdr:y>
    </cdr:to>
    <cdr:sp macro="" textlink="">
      <cdr:nvSpPr>
        <cdr:cNvPr id="10" name="Straight Arrow Connector 9"/>
        <cdr:cNvSpPr/>
      </cdr:nvSpPr>
      <cdr:spPr>
        <a:xfrm xmlns:a="http://schemas.openxmlformats.org/drawingml/2006/main">
          <a:off x="1581150" y="400051"/>
          <a:ext cx="314325" cy="85724"/>
        </a:xfrm>
        <a:prstGeom xmlns:a="http://schemas.openxmlformats.org/drawingml/2006/main" prst="straightConnector1">
          <a:avLst/>
        </a:prstGeom>
        <a:ln xmlns:a="http://schemas.openxmlformats.org/drawingml/2006/main">
          <a:tailEnd type="arrow"/>
        </a:ln>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a:lstStyle xmlns:a="http://schemas.openxmlformats.org/drawingml/2006/main"/>
        <a:p xmlns:a="http://schemas.openxmlformats.org/drawingml/2006/main">
          <a:endParaRPr lang="en-US"/>
        </a:p>
      </cdr:txBody>
    </cdr:sp>
  </cdr:relSizeAnchor>
</c:userShapes>
</file>

<file path=word/drawings/drawing4.xml><?xml version="1.0" encoding="utf-8"?>
<c:userShapes xmlns:c="http://schemas.openxmlformats.org/drawingml/2006/chart">
  <cdr:relSizeAnchor xmlns:cdr="http://schemas.openxmlformats.org/drawingml/2006/chartDrawing">
    <cdr:from>
      <cdr:x>0.59774</cdr:x>
      <cdr:y>0.05584</cdr:y>
    </cdr:from>
    <cdr:to>
      <cdr:x>0.59809</cdr:x>
      <cdr:y>0.84751</cdr:y>
    </cdr:to>
    <cdr:sp macro="" textlink="">
      <cdr:nvSpPr>
        <cdr:cNvPr id="3" name="Straight Connector 2"/>
        <cdr:cNvSpPr/>
      </cdr:nvSpPr>
      <cdr:spPr>
        <a:xfrm xmlns:a="http://schemas.openxmlformats.org/drawingml/2006/main" rot="5400000" flipH="1" flipV="1">
          <a:off x="2732881" y="153194"/>
          <a:ext cx="1588" cy="2171700"/>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a:lstStyle xmlns:a="http://schemas.openxmlformats.org/drawingml/2006/main"/>
        <a:p xmlns:a="http://schemas.openxmlformats.org/drawingml/2006/main">
          <a:endParaRPr lang="en-US"/>
        </a:p>
      </cdr:txBody>
    </cdr:sp>
  </cdr:relSizeAnchor>
  <cdr:relSizeAnchor xmlns:cdr="http://schemas.openxmlformats.org/drawingml/2006/chartDrawing">
    <cdr:from>
      <cdr:x>0.79167</cdr:x>
      <cdr:y>0.05903</cdr:y>
    </cdr:from>
    <cdr:to>
      <cdr:x>1</cdr:x>
      <cdr:y>0.14236</cdr:y>
    </cdr:to>
    <cdr:sp macro="" textlink="">
      <cdr:nvSpPr>
        <cdr:cNvPr id="4" name="TextBox 3"/>
        <cdr:cNvSpPr txBox="1"/>
      </cdr:nvSpPr>
      <cdr:spPr>
        <a:xfrm xmlns:a="http://schemas.openxmlformats.org/drawingml/2006/main">
          <a:off x="3867150" y="161925"/>
          <a:ext cx="952500" cy="2286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Forecast</a:t>
          </a:r>
        </a:p>
      </cdr:txBody>
    </cdr:sp>
  </cdr:relSizeAnchor>
  <cdr:relSizeAnchor xmlns:cdr="http://schemas.openxmlformats.org/drawingml/2006/chartDrawing">
    <cdr:from>
      <cdr:x>0.73333</cdr:x>
      <cdr:y>0.20833</cdr:y>
    </cdr:from>
    <cdr:to>
      <cdr:x>0.93333</cdr:x>
      <cdr:y>0.3125</cdr:y>
    </cdr:to>
    <cdr:sp macro="" textlink="">
      <cdr:nvSpPr>
        <cdr:cNvPr id="6" name="TextBox 5"/>
        <cdr:cNvSpPr txBox="1"/>
      </cdr:nvSpPr>
      <cdr:spPr>
        <a:xfrm xmlns:a="http://schemas.openxmlformats.org/drawingml/2006/main">
          <a:off x="3352800" y="571500"/>
          <a:ext cx="914400" cy="285750"/>
        </a:xfrm>
        <a:prstGeom xmlns:a="http://schemas.openxmlformats.org/drawingml/2006/main" prst="rect">
          <a:avLst/>
        </a:prstGeom>
      </cdr:spPr>
      <cdr:txBody>
        <a:bodyPr xmlns:a="http://schemas.openxmlformats.org/drawingml/2006/main" wrap="none" rtlCol="0"/>
        <a:lstStyle xmlns:a="http://schemas.openxmlformats.org/drawingml/2006/main"/>
        <a:p xmlns:a="http://schemas.openxmlformats.org/drawingml/2006/main">
          <a:r>
            <a:rPr lang="en-US" sz="1100"/>
            <a:t>Yobs</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Numbers 101.dot</Template>
  <TotalTime>2</TotalTime>
  <Pages>8</Pages>
  <Words>2208</Words>
  <Characters>10666</Characters>
  <Application>Microsoft Office Word</Application>
  <DocSecurity>0</DocSecurity>
  <Lines>197</Lines>
  <Paragraphs>82</Paragraphs>
  <ScaleCrop>false</ScaleCrop>
  <HeadingPairs>
    <vt:vector size="2" baseType="variant">
      <vt:variant>
        <vt:lpstr>Title</vt:lpstr>
      </vt:variant>
      <vt:variant>
        <vt:i4>1</vt:i4>
      </vt:variant>
    </vt:vector>
  </HeadingPairs>
  <TitlesOfParts>
    <vt:vector size="1" baseType="lpstr">
      <vt:lpstr>Margins, Markups, and Break-Evens</vt:lpstr>
    </vt:vector>
  </TitlesOfParts>
  <Company>The Anderson School at UCLA</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Margins, Markups, and Break-Evens</dc:title>
  <dc:creator>Richard P. Rumelt</dc:creator>
  <cp:lastModifiedBy>Richard Rumelt</cp:lastModifiedBy>
  <cp:revision>2</cp:revision>
  <cp:lastPrinted>2010-03-17T03:23:00Z</cp:lastPrinted>
  <dcterms:created xsi:type="dcterms:W3CDTF">2026-04-13T22:15:00Z</dcterms:created>
  <dcterms:modified xsi:type="dcterms:W3CDTF">2026-04-13T22:15:00Z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