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B1916" w14:textId="77777777" w:rsidR="00B31A23" w:rsidRDefault="00B31A23" w:rsidP="000E5E5B"/>
    <w:p w14:paraId="60FE5C19" w14:textId="0D484FC0" w:rsidR="00C3558D" w:rsidRDefault="00C3558D" w:rsidP="00C3558D">
      <w:pPr>
        <w:pStyle w:val="Heading1"/>
        <w:jc w:val="center"/>
      </w:pPr>
      <w:r>
        <w:t>Valuation Models</w:t>
      </w:r>
    </w:p>
    <w:p w14:paraId="60F38D3A" w14:textId="77DF4D5D" w:rsidR="00E52F93" w:rsidRPr="00E52F93" w:rsidRDefault="00E52F93" w:rsidP="00E52F93">
      <w:pPr>
        <w:jc w:val="center"/>
        <w:rPr>
          <w:sz w:val="28"/>
          <w:szCs w:val="28"/>
        </w:rPr>
      </w:pPr>
      <w:r w:rsidRPr="00E52F93">
        <w:rPr>
          <w:sz w:val="28"/>
          <w:szCs w:val="28"/>
        </w:rPr>
        <w:t>Richared P. Rumelt</w:t>
      </w:r>
    </w:p>
    <w:p w14:paraId="192015A2" w14:textId="77777777" w:rsidR="00C3558D" w:rsidRDefault="00C3558D" w:rsidP="000E5E5B"/>
    <w:p w14:paraId="7EEAA690" w14:textId="77777777" w:rsidR="00C3558D" w:rsidRDefault="00C3558D" w:rsidP="00C3558D">
      <w:pPr>
        <w:pStyle w:val="display"/>
      </w:pPr>
      <w:r>
        <w:t xml:space="preserve">The direct approach to valuation is to forecast the </w:t>
      </w:r>
      <w:proofErr w:type="gramStart"/>
      <w:r>
        <w:t>future expected</w:t>
      </w:r>
      <w:proofErr w:type="gramEnd"/>
      <w:r>
        <w:t xml:space="preserve"> levels of free cash flow (FCF) and then to discount these values at the weighted average cost of capital.    However, in many cases we prefer to work with a </w:t>
      </w:r>
      <w:r>
        <w:rPr>
          <w:u w:val="single"/>
        </w:rPr>
        <w:t>model</w:t>
      </w:r>
      <w:r>
        <w:t xml:space="preserve"> in which the choice of a few parameters implies the whole future pattern of cash </w:t>
      </w:r>
      <w:proofErr w:type="gramStart"/>
      <w:r>
        <w:t>flows</w:t>
      </w:r>
      <w:proofErr w:type="gramEnd"/>
      <w:r>
        <w:t>.  We shall describe several examples, ranging from the simple to the complex.</w:t>
      </w:r>
    </w:p>
    <w:p w14:paraId="0B04E3CB" w14:textId="77777777" w:rsidR="00C3558D" w:rsidRDefault="00C3558D" w:rsidP="00C3558D">
      <w:pPr>
        <w:pStyle w:val="Heading3"/>
      </w:pPr>
      <w:r>
        <w:t>The Perpetuity Model</w:t>
      </w:r>
    </w:p>
    <w:p w14:paraId="55A3916D" w14:textId="77777777" w:rsidR="00C3558D" w:rsidRDefault="00C3558D" w:rsidP="00C3558D">
      <w:pPr>
        <w:pStyle w:val="display"/>
      </w:pPr>
      <w:r>
        <w:t>The simplest valuation model is the perpetuity model where NOPLAT is expected to remain constant forever. Since there is no growth, there is no net reinvestment in the firm, so NOPLAT is the (potential) free cash flow and, hence, the dividend payment, were the business a freestanding firm.  In this case the value of the firm is</w:t>
      </w:r>
    </w:p>
    <w:p w14:paraId="7F0EE2A7" w14:textId="77777777" w:rsidR="00C3558D" w:rsidRDefault="00C3558D" w:rsidP="00C3558D">
      <w:pPr>
        <w:pStyle w:val="MTDisplayEquation"/>
      </w:pPr>
      <w:r>
        <w:tab/>
      </w:r>
      <w:r w:rsidRPr="00076F0C">
        <w:rPr>
          <w:position w:val="-24"/>
        </w:rPr>
        <w:object w:dxaOrig="700" w:dyaOrig="620" w14:anchorId="7CE686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25pt;height:30.75pt" o:ole="" fillcolor="window">
            <v:imagedata r:id="rId8" o:title=""/>
          </v:shape>
          <o:OLEObject Type="Embed" ProgID="Equation.DSMT4" ShapeID="_x0000_i1025" DrawAspect="Content" ObjectID="_1837605989" r:id="rId9"/>
        </w:objec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r>
        <w:instrText>(</w:instrText>
      </w:r>
      <w:fldSimple w:instr=" SEQ MTEqn \c \* Arabic \* MERGEFORMAT ">
        <w:r w:rsidR="00B51895">
          <w:rPr>
            <w:noProof/>
          </w:rPr>
          <w:instrText>1</w:instrText>
        </w:r>
      </w:fldSimple>
      <w:r>
        <w:instrText>)</w:instrText>
      </w:r>
      <w:r w:rsidR="000E7505">
        <w:fldChar w:fldCharType="end"/>
      </w:r>
    </w:p>
    <w:p w14:paraId="791A1B9F" w14:textId="77777777" w:rsidR="00C3558D" w:rsidRDefault="00C3558D" w:rsidP="00C3558D">
      <w:pPr>
        <w:pStyle w:val="display"/>
        <w:tabs>
          <w:tab w:val="clear" w:pos="5760"/>
        </w:tabs>
      </w:pPr>
      <w:r>
        <w:t xml:space="preserve">where </w:t>
      </w:r>
      <w:r w:rsidRPr="00076F0C">
        <w:rPr>
          <w:position w:val="-12"/>
        </w:rPr>
        <w:object w:dxaOrig="240" w:dyaOrig="360" w14:anchorId="32C5473D">
          <v:shape id="_x0000_i1026" type="#_x0000_t75" style="width:12pt;height:18pt" o:ole="" fillcolor="window">
            <v:imagedata r:id="rId10" o:title=""/>
          </v:shape>
          <o:OLEObject Type="Embed" ProgID="Equation.DSMT4" ShapeID="_x0000_i1026" DrawAspect="Content" ObjectID="_1837605990" r:id="rId11"/>
        </w:object>
      </w:r>
      <w:r>
        <w:rPr>
          <w:i/>
          <w:position w:val="-6"/>
        </w:rPr>
        <w:t xml:space="preserve">  </w:t>
      </w:r>
      <w:r>
        <w:t xml:space="preserve">is the value of NOPLAT for the coming year and every year thereafter.  Here, because there is no </w:t>
      </w:r>
      <w:proofErr w:type="gramStart"/>
      <w:r>
        <w:t>growth,  the</w:t>
      </w:r>
      <w:proofErr w:type="gramEnd"/>
      <w:r>
        <w:t xml:space="preserve"> instantaneous and period values are identical.</w:t>
      </w:r>
    </w:p>
    <w:p w14:paraId="79A2A5CF" w14:textId="77777777" w:rsidR="00C3558D" w:rsidRPr="00C3558D" w:rsidRDefault="00C3558D" w:rsidP="00C3558D">
      <w:pPr>
        <w:pStyle w:val="Heading3"/>
      </w:pPr>
      <w:r w:rsidRPr="00C3558D">
        <w:t>The Constant Growth Model</w:t>
      </w:r>
    </w:p>
    <w:p w14:paraId="6FBFEA8F" w14:textId="77777777" w:rsidR="00C3558D" w:rsidRDefault="00C3558D" w:rsidP="00C3558D">
      <w:pPr>
        <w:pStyle w:val="display"/>
      </w:pPr>
      <w:r>
        <w:t xml:space="preserve">Suppose the firm's NOPLAT is expected to grow at a constant instantaneous </w:t>
      </w:r>
      <w:proofErr w:type="gramStart"/>
      <w:r>
        <w:t xml:space="preserve">rate  </w:t>
      </w:r>
      <w:r>
        <w:rPr>
          <w:i/>
        </w:rPr>
        <w:t>g</w:t>
      </w:r>
      <w:proofErr w:type="gramEnd"/>
      <w:r>
        <w:t xml:space="preserve"> and that the rate of return on </w:t>
      </w:r>
      <w:r>
        <w:rPr>
          <w:b/>
          <w:i/>
        </w:rPr>
        <w:t>new</w:t>
      </w:r>
      <w:r>
        <w:t xml:space="preserve"> incremental investment </w:t>
      </w:r>
      <w:proofErr w:type="gramStart"/>
      <w:r>
        <w:t xml:space="preserve">is </w:t>
      </w:r>
      <w:r>
        <w:rPr>
          <w:i/>
        </w:rPr>
        <w:t xml:space="preserve"> r</w:t>
      </w:r>
      <w:proofErr w:type="gramEnd"/>
      <w:r>
        <w:t xml:space="preserve">  [note this is not the same as asserting that the return on all invested capital, old and new, is </w:t>
      </w:r>
      <w:r>
        <w:rPr>
          <w:i/>
        </w:rPr>
        <w:t>r</w:t>
      </w:r>
      <w:r>
        <w:t xml:space="preserve">).  Suppose that at time  </w:t>
      </w:r>
      <w:r w:rsidRPr="00A25C92">
        <w:rPr>
          <w:i/>
          <w:position w:val="-6"/>
        </w:rPr>
        <w:object w:dxaOrig="499" w:dyaOrig="279" w14:anchorId="554AABA0">
          <v:shape id="_x0000_i1027" type="#_x0000_t75" style="width:24.75pt;height:14.25pt" o:ole="">
            <v:imagedata r:id="rId12" o:title=""/>
          </v:shape>
          <o:OLEObject Type="Embed" ProgID="Equation.DSMT4" ShapeID="_x0000_i1027" DrawAspect="Content" ObjectID="_1837605991" r:id="rId13"/>
        </w:object>
      </w:r>
      <w:r>
        <w:rPr>
          <w:i/>
        </w:rPr>
        <w:t xml:space="preserve"> </w:t>
      </w:r>
      <w:r>
        <w:t xml:space="preserve">we are looking forward and project that the value of NOPLAT over the coming 12 months will be </w:t>
      </w:r>
      <w:r w:rsidRPr="00A25C92">
        <w:rPr>
          <w:position w:val="-12"/>
          <w:sz w:val="20"/>
        </w:rPr>
        <w:object w:dxaOrig="240" w:dyaOrig="360" w14:anchorId="2CA7095E">
          <v:shape id="_x0000_i1028" type="#_x0000_t75" style="width:12pt;height:18pt" o:ole="" fillcolor="window">
            <v:imagedata r:id="rId14" o:title=""/>
          </v:shape>
          <o:OLEObject Type="Embed" ProgID="Equation.DSMT4" ShapeID="_x0000_i1028" DrawAspect="Content" ObjectID="_1837605992" r:id="rId15"/>
        </w:object>
      </w:r>
      <w:r>
        <w:t xml:space="preserve">.  Additionally, a </w:t>
      </w:r>
      <w:proofErr w:type="gramStart"/>
      <w:r>
        <w:t xml:space="preserve">portion  </w:t>
      </w:r>
      <w:r>
        <w:rPr>
          <w:i/>
        </w:rPr>
        <w:t>b</w:t>
      </w:r>
      <w:proofErr w:type="gramEnd"/>
      <w:r>
        <w:t xml:space="preserve">  of NOPLAT is retained and re-invested in the firm.  The following year the return </w:t>
      </w:r>
      <w:r>
        <w:rPr>
          <w:i/>
        </w:rPr>
        <w:t>r</w:t>
      </w:r>
      <w:r>
        <w:t xml:space="preserve"> on the new </w:t>
      </w:r>
      <w:proofErr w:type="gramStart"/>
      <w:r>
        <w:t xml:space="preserve">investment  </w:t>
      </w:r>
      <w:r>
        <w:rPr>
          <w:i/>
        </w:rPr>
        <w:t>b</w:t>
      </w:r>
      <w:proofErr w:type="gramEnd"/>
      <w:r w:rsidRPr="00A25C92">
        <w:rPr>
          <w:position w:val="-12"/>
          <w:sz w:val="20"/>
        </w:rPr>
        <w:object w:dxaOrig="240" w:dyaOrig="360" w14:anchorId="1F1F38BC">
          <v:shape id="_x0000_i1029" type="#_x0000_t75" style="width:12pt;height:18pt" o:ole="" fillcolor="window">
            <v:imagedata r:id="rId16" o:title=""/>
          </v:shape>
          <o:OLEObject Type="Embed" ProgID="Equation.DSMT4" ShapeID="_x0000_i1029" DrawAspect="Content" ObjectID="_1837605993" r:id="rId17"/>
        </w:object>
      </w:r>
      <w:r>
        <w:t xml:space="preserve">  raises NOPLAT to the new level </w:t>
      </w:r>
      <w:r w:rsidRPr="00076F0C">
        <w:rPr>
          <w:position w:val="-12"/>
        </w:rPr>
        <w:object w:dxaOrig="1380" w:dyaOrig="360" w14:anchorId="0BD0591F">
          <v:shape id="_x0000_i1030" type="#_x0000_t75" style="width:69pt;height:18pt" o:ole="" fillcolor="window">
            <v:imagedata r:id="rId18" o:title=""/>
          </v:shape>
          <o:OLEObject Type="Embed" ProgID="Equation.DSMT4" ShapeID="_x0000_i1030" DrawAspect="Content" ObjectID="_1837605994" r:id="rId19"/>
        </w:object>
      </w:r>
      <w:r>
        <w:t xml:space="preserve">.  Because growth is constant at </w:t>
      </w:r>
      <w:proofErr w:type="gramStart"/>
      <w:r>
        <w:t xml:space="preserve">rate  </w:t>
      </w:r>
      <w:r>
        <w:rPr>
          <w:i/>
        </w:rPr>
        <w:t>g</w:t>
      </w:r>
      <w:proofErr w:type="gramEnd"/>
      <w:r>
        <w:t xml:space="preserve">  it must also be that </w:t>
      </w:r>
      <w:r w:rsidRPr="00A25C92">
        <w:rPr>
          <w:position w:val="-12"/>
          <w:sz w:val="20"/>
        </w:rPr>
        <w:object w:dxaOrig="1320" w:dyaOrig="360" w14:anchorId="52F79F0D">
          <v:shape id="_x0000_i1031" type="#_x0000_t75" style="width:66pt;height:18pt" o:ole="" fillcolor="window">
            <v:imagedata r:id="rId20" o:title=""/>
          </v:shape>
          <o:OLEObject Type="Embed" ProgID="Equation.DSMT4" ShapeID="_x0000_i1031" DrawAspect="Content" ObjectID="_1837605995" r:id="rId21"/>
        </w:object>
      </w:r>
      <w:r>
        <w:t xml:space="preserve">.  </w:t>
      </w:r>
      <w:proofErr w:type="gramStart"/>
      <w:r>
        <w:t>Thus</w:t>
      </w:r>
      <w:proofErr w:type="gramEnd"/>
      <w:r>
        <w:t xml:space="preserve"> we have identity </w:t>
      </w:r>
    </w:p>
    <w:p w14:paraId="30967399" w14:textId="77777777" w:rsidR="00C3558D" w:rsidRDefault="00C3558D" w:rsidP="00C3558D">
      <w:pPr>
        <w:pStyle w:val="MTDisplayEquation"/>
      </w:pPr>
      <w:r>
        <w:tab/>
      </w:r>
      <w:r w:rsidRPr="00076F0C">
        <w:rPr>
          <w:position w:val="-10"/>
        </w:rPr>
        <w:object w:dxaOrig="680" w:dyaOrig="320" w14:anchorId="009D96AF">
          <v:shape id="_x0000_i1032" type="#_x0000_t75" style="width:33.75pt;height:15.75pt" o:ole="" fillcolor="window">
            <v:imagedata r:id="rId22" o:title=""/>
          </v:shape>
          <o:OLEObject Type="Embed" ProgID="Equation.DSMT4" ShapeID="_x0000_i1032" DrawAspect="Content" ObjectID="_1837605996" r:id="rId23"/>
        </w:objec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r>
        <w:instrText>(</w:instrText>
      </w:r>
      <w:fldSimple w:instr=" SEQ MTEqn \c \* Arabic \* MERGEFORMAT ">
        <w:r w:rsidR="00B51895">
          <w:rPr>
            <w:noProof/>
          </w:rPr>
          <w:instrText>2</w:instrText>
        </w:r>
      </w:fldSimple>
      <w:r>
        <w:instrText>)</w:instrText>
      </w:r>
      <w:r w:rsidR="000E7505">
        <w:fldChar w:fldCharType="end"/>
      </w:r>
    </w:p>
    <w:p w14:paraId="16DD93F8" w14:textId="77777777" w:rsidR="00C3558D" w:rsidRDefault="00C3558D" w:rsidP="00C3558D">
      <w:pPr>
        <w:pStyle w:val="display"/>
      </w:pPr>
    </w:p>
    <w:p w14:paraId="4D824D56" w14:textId="77777777" w:rsidR="00C3558D" w:rsidRDefault="00C3558D" w:rsidP="00C3558D">
      <w:pPr>
        <w:pStyle w:val="display"/>
      </w:pPr>
      <w:r>
        <w:t xml:space="preserve">Hence, the free cash flow </w:t>
      </w:r>
      <w:proofErr w:type="gramStart"/>
      <w:r>
        <w:rPr>
          <w:i/>
        </w:rPr>
        <w:t>F</w:t>
      </w:r>
      <w:r>
        <w:rPr>
          <w:i/>
          <w:position w:val="-6"/>
        </w:rPr>
        <w:t>t</w:t>
      </w:r>
      <w:r>
        <w:rPr>
          <w:i/>
        </w:rPr>
        <w:t xml:space="preserve"> </w:t>
      </w:r>
      <w:r>
        <w:t xml:space="preserve"> can</w:t>
      </w:r>
      <w:proofErr w:type="gramEnd"/>
      <w:r>
        <w:t xml:space="preserve"> be written in terms of growth and return rather than return and retention: </w:t>
      </w:r>
    </w:p>
    <w:p w14:paraId="1ADDB795" w14:textId="77777777" w:rsidR="00C3558D" w:rsidRDefault="00C3558D" w:rsidP="00C3558D">
      <w:pPr>
        <w:pStyle w:val="MTDisplayEquation"/>
      </w:pPr>
      <w:r>
        <w:tab/>
      </w:r>
      <w:r w:rsidRPr="00076F0C">
        <w:rPr>
          <w:position w:val="-12"/>
        </w:rPr>
        <w:object w:dxaOrig="2580" w:dyaOrig="360" w14:anchorId="38AA6CB3">
          <v:shape id="_x0000_i1033" type="#_x0000_t75" style="width:129pt;height:18pt" o:ole="" fillcolor="window">
            <v:imagedata r:id="rId24" o:title=""/>
          </v:shape>
          <o:OLEObject Type="Embed" ProgID="Equation.DSMT4" ShapeID="_x0000_i1033" DrawAspect="Content" ObjectID="_1837605997" r:id="rId25"/>
        </w:objec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r>
        <w:instrText>(</w:instrText>
      </w:r>
      <w:fldSimple w:instr=" SEQ MTEqn \c \* Arabic \* MERGEFORMAT ">
        <w:r w:rsidR="00B51895">
          <w:rPr>
            <w:noProof/>
          </w:rPr>
          <w:instrText>3</w:instrText>
        </w:r>
      </w:fldSimple>
      <w:r>
        <w:instrText>)</w:instrText>
      </w:r>
      <w:r w:rsidR="000E7505">
        <w:fldChar w:fldCharType="end"/>
      </w:r>
    </w:p>
    <w:p w14:paraId="46D892B7" w14:textId="77777777" w:rsidR="00C3558D" w:rsidRDefault="00C3558D" w:rsidP="00C3558D">
      <w:pPr>
        <w:pStyle w:val="display"/>
      </w:pPr>
      <w:r>
        <w:t xml:space="preserve">If the firm grows forever at rate </w:t>
      </w:r>
      <w:proofErr w:type="gramStart"/>
      <w:r>
        <w:rPr>
          <w:i/>
        </w:rPr>
        <w:t>g,</w:t>
      </w:r>
      <w:r>
        <w:t xml:space="preserve">  where</w:t>
      </w:r>
      <w:proofErr w:type="gramEnd"/>
      <w:r>
        <w:t xml:space="preserve">  </w:t>
      </w:r>
      <w:r>
        <w:rPr>
          <w:i/>
        </w:rPr>
        <w:t>g</w:t>
      </w:r>
      <w:r>
        <w:t xml:space="preserve"> </w:t>
      </w:r>
      <w:proofErr w:type="gramStart"/>
      <w:r>
        <w:t xml:space="preserve">&lt;  </w:t>
      </w:r>
      <w:r>
        <w:rPr>
          <w:i/>
        </w:rPr>
        <w:t>k</w:t>
      </w:r>
      <w:r>
        <w:t>,  the</w:t>
      </w:r>
      <w:proofErr w:type="gramEnd"/>
      <w:r>
        <w:t xml:space="preserve"> value of the firm is given by</w:t>
      </w:r>
    </w:p>
    <w:p w14:paraId="7D814A2C" w14:textId="77777777" w:rsidR="00C3558D" w:rsidRDefault="00C3558D" w:rsidP="00C3558D">
      <w:pPr>
        <w:pStyle w:val="display"/>
        <w:tabs>
          <w:tab w:val="clear" w:pos="5760"/>
          <w:tab w:val="left" w:pos="4320"/>
        </w:tabs>
      </w:pPr>
      <w:r>
        <w:tab/>
      </w:r>
      <w:r w:rsidRPr="00076F0C">
        <w:rPr>
          <w:position w:val="-28"/>
          <w:sz w:val="20"/>
        </w:rPr>
        <w:object w:dxaOrig="1579" w:dyaOrig="660" w14:anchorId="7D18E08C">
          <v:shape id="_x0000_i1034" type="#_x0000_t75" style="width:78.75pt;height:33pt" o:ole="" fillcolor="window">
            <v:imagedata r:id="rId26" o:title=""/>
          </v:shape>
          <o:OLEObject Type="Embed" ProgID="Equation.DSMT4" ShapeID="_x0000_i1034" DrawAspect="Content" ObjectID="_1837605998" r:id="rId27"/>
        </w:object>
      </w:r>
      <w:r>
        <w:t>,</w:t>
      </w:r>
      <w:r>
        <w:tab/>
      </w:r>
      <w:r>
        <w:rPr>
          <w:i/>
        </w:rPr>
        <w:t>g</w:t>
      </w:r>
      <w:r>
        <w:t xml:space="preserve"> &lt; </w:t>
      </w:r>
      <w:r>
        <w:rPr>
          <w:i/>
        </w:rPr>
        <w:t>k</w: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r>
        <w:instrText>(</w:instrText>
      </w:r>
      <w:fldSimple w:instr=" SEQ MTEqn \c \* Arabic \* MERGEFORMAT ">
        <w:r w:rsidR="00B51895">
          <w:rPr>
            <w:noProof/>
          </w:rPr>
          <w:instrText>4</w:instrText>
        </w:r>
      </w:fldSimple>
      <w:r>
        <w:instrText>)</w:instrText>
      </w:r>
      <w:r w:rsidR="000E7505">
        <w:fldChar w:fldCharType="end"/>
      </w:r>
    </w:p>
    <w:p w14:paraId="64077610" w14:textId="77777777" w:rsidR="00C3558D" w:rsidRDefault="00C3558D" w:rsidP="00C3558D">
      <w:pPr>
        <w:pStyle w:val="display"/>
        <w:tabs>
          <w:tab w:val="left" w:pos="3600"/>
          <w:tab w:val="left" w:pos="5040"/>
        </w:tabs>
      </w:pPr>
      <w:r>
        <w:lastRenderedPageBreak/>
        <w:t xml:space="preserve">(The subscript 1 on </w:t>
      </w:r>
      <w:r>
        <w:rPr>
          <w:i/>
        </w:rPr>
        <w:t>P</w:t>
      </w:r>
      <w:r>
        <w:t xml:space="preserve"> indicates that the appropriate value is that of the coming year.)  </w:t>
      </w:r>
      <w:proofErr w:type="gramStart"/>
      <w:r>
        <w:t>Of course</w:t>
      </w:r>
      <w:proofErr w:type="gramEnd"/>
      <w:r>
        <w:t xml:space="preserve"> </w:t>
      </w:r>
      <w:proofErr w:type="gramStart"/>
      <w:r>
        <w:t>if  growth</w:t>
      </w:r>
      <w:proofErr w:type="gramEnd"/>
      <w:r>
        <w:t xml:space="preserve"> is </w:t>
      </w:r>
      <w:proofErr w:type="gramStart"/>
      <w:r>
        <w:t>zero,  this</w:t>
      </w:r>
      <w:proofErr w:type="gramEnd"/>
      <w:r>
        <w:t xml:space="preserve"> equation reduces to the perpetuity equation.  More interesting is the fact that </w:t>
      </w:r>
      <w:proofErr w:type="gramStart"/>
      <w:r>
        <w:t xml:space="preserve">if  </w:t>
      </w:r>
      <w:r>
        <w:rPr>
          <w:i/>
        </w:rPr>
        <w:t>r</w:t>
      </w:r>
      <w:proofErr w:type="gramEnd"/>
      <w:r>
        <w:t xml:space="preserve"> = </w:t>
      </w:r>
      <w:proofErr w:type="gramStart"/>
      <w:r>
        <w:rPr>
          <w:i/>
        </w:rPr>
        <w:t>k</w:t>
      </w:r>
      <w:r>
        <w:t xml:space="preserve">,   </w:t>
      </w:r>
      <w:proofErr w:type="gramEnd"/>
      <w:r>
        <w:t xml:space="preserve">then the formula </w:t>
      </w:r>
      <w:r>
        <w:rPr>
          <w:u w:val="single"/>
        </w:rPr>
        <w:t>also</w:t>
      </w:r>
      <w:r>
        <w:t xml:space="preserve"> reduces to the perpetuity equation above (try it).  This means that if the rate of return equals the cost of capital, the rate of growth is immaterial.</w:t>
      </w:r>
    </w:p>
    <w:p w14:paraId="0D493C3A" w14:textId="77777777" w:rsidR="00C3558D" w:rsidRDefault="00C3558D" w:rsidP="00C3558D">
      <w:pPr>
        <w:pStyle w:val="display"/>
        <w:tabs>
          <w:tab w:val="left" w:pos="3600"/>
          <w:tab w:val="left" w:pos="5040"/>
        </w:tabs>
      </w:pPr>
      <w:r>
        <w:t xml:space="preserve">Note </w:t>
      </w:r>
      <w:proofErr w:type="gramStart"/>
      <w:r>
        <w:t xml:space="preserve">that  </w:t>
      </w:r>
      <w:r>
        <w:rPr>
          <w:i/>
        </w:rPr>
        <w:t>V</w:t>
      </w:r>
      <w:proofErr w:type="gramEnd"/>
      <w:r>
        <w:rPr>
          <w:i/>
        </w:rPr>
        <w:t xml:space="preserve"> </w:t>
      </w:r>
      <w:r>
        <w:t xml:space="preserve"> is the value of the entire business</w:t>
      </w:r>
      <w:proofErr w:type="gramStart"/>
      <w:r>
        <w:t>:  stock</w:t>
      </w:r>
      <w:proofErr w:type="gramEnd"/>
      <w:r>
        <w:t xml:space="preserve"> value plus debt value plus the value of preferred stock and bank loans.  To obtain the equity value of the firm    it is necessary to deduct the value of the outstanding </w:t>
      </w:r>
      <w:proofErr w:type="gramStart"/>
      <w:r>
        <w:t xml:space="preserve">debt  </w:t>
      </w:r>
      <w:r>
        <w:rPr>
          <w:i/>
        </w:rPr>
        <w:t>B</w:t>
      </w:r>
      <w:proofErr w:type="gramEnd"/>
      <w:r>
        <w:t>:</w:t>
      </w:r>
    </w:p>
    <w:p w14:paraId="4D982C93" w14:textId="77777777" w:rsidR="00C3558D" w:rsidRDefault="00C3558D" w:rsidP="00C3558D">
      <w:pPr>
        <w:pStyle w:val="MTDisplayEquation"/>
      </w:pPr>
      <w:r>
        <w:tab/>
      </w:r>
      <w:r w:rsidRPr="00A25C92">
        <w:rPr>
          <w:position w:val="-6"/>
        </w:rPr>
        <w:object w:dxaOrig="999" w:dyaOrig="279" w14:anchorId="3E6B5824">
          <v:shape id="_x0000_i1035" type="#_x0000_t75" style="width:50.25pt;height:14.25pt" o:ole="" fillcolor="window">
            <v:imagedata r:id="rId28" o:title=""/>
          </v:shape>
          <o:OLEObject Type="Embed" ProgID="Equation.DSMT4" ShapeID="_x0000_i1035" DrawAspect="Content" ObjectID="_1837605999" r:id="rId29"/>
        </w:objec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r>
        <w:instrText>(</w:instrText>
      </w:r>
      <w:fldSimple w:instr=" SEQ MTEqn \c \* Arabic \* MERGEFORMAT ">
        <w:r w:rsidR="00B51895">
          <w:rPr>
            <w:noProof/>
          </w:rPr>
          <w:instrText>5</w:instrText>
        </w:r>
      </w:fldSimple>
      <w:r>
        <w:instrText>)</w:instrText>
      </w:r>
      <w:r w:rsidR="000E7505">
        <w:fldChar w:fldCharType="end"/>
      </w:r>
    </w:p>
    <w:p w14:paraId="61F2E362" w14:textId="77777777" w:rsidR="00C3558D" w:rsidRDefault="00C3558D" w:rsidP="00C3558D">
      <w:pPr>
        <w:pStyle w:val="MTDisplayEquation"/>
      </w:pPr>
      <w:r>
        <w:t xml:space="preserve">Finally, note that this valuation is the operating value of the business. In computing NOPLAT and </w:t>
      </w:r>
      <w:proofErr w:type="gramStart"/>
      <w:r>
        <w:t>invested</w:t>
      </w:r>
      <w:proofErr w:type="gramEnd"/>
      <w:r>
        <w:t xml:space="preserve"> capital, we have taken out excess cash and the income on excess cash. To obtain a prediction of the market value of the firm's equity it is necessary to add back these non-operating assets:</w:t>
      </w:r>
    </w:p>
    <w:p w14:paraId="3E0A1A97" w14:textId="77777777" w:rsidR="00C3558D" w:rsidRDefault="00C3558D" w:rsidP="00C3558D">
      <w:pPr>
        <w:pStyle w:val="MTDisplayEquation"/>
      </w:pPr>
      <w:r>
        <w:tab/>
      </w:r>
      <w:r w:rsidRPr="00CB194F">
        <w:rPr>
          <w:position w:val="-30"/>
        </w:rPr>
        <w:object w:dxaOrig="1740" w:dyaOrig="720" w14:anchorId="37212B87">
          <v:shape id="_x0000_i1036" type="#_x0000_t75" style="width:87pt;height:36pt" o:ole="">
            <v:imagedata r:id="rId30" o:title=""/>
          </v:shape>
          <o:OLEObject Type="Embed" ProgID="Equation.DSMT4" ShapeID="_x0000_i1036" DrawAspect="Content" ObjectID="_1837606000" r:id="rId31"/>
        </w:objec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r>
        <w:instrText>(</w:instrText>
      </w:r>
      <w:fldSimple w:instr=" SEQ MTEqn \c \* Arabic \* MERGEFORMAT ">
        <w:r w:rsidR="00B51895">
          <w:rPr>
            <w:noProof/>
          </w:rPr>
          <w:instrText>6</w:instrText>
        </w:r>
      </w:fldSimple>
      <w:r>
        <w:instrText>)</w:instrText>
      </w:r>
      <w:r w:rsidR="000E7505">
        <w:fldChar w:fldCharType="end"/>
      </w:r>
    </w:p>
    <w:p w14:paraId="24AAF397" w14:textId="77777777" w:rsidR="00C3558D" w:rsidRDefault="00C3558D" w:rsidP="00C3558D">
      <w:pPr>
        <w:pStyle w:val="section"/>
      </w:pPr>
    </w:p>
    <w:p w14:paraId="4D4FAE70" w14:textId="77777777" w:rsidR="00C3558D" w:rsidRDefault="00C3558D" w:rsidP="00136A35">
      <w:pPr>
        <w:pStyle w:val="Heading3"/>
      </w:pPr>
      <w:r>
        <w:t>The Sales Margin Model</w:t>
      </w:r>
    </w:p>
    <w:p w14:paraId="04E3DC94" w14:textId="77777777" w:rsidR="00C3558D" w:rsidRDefault="00C3558D" w:rsidP="00C3558D">
      <w:r>
        <w:t xml:space="preserve">Sometimes it is more intuitive to work with the net sales </w:t>
      </w:r>
      <w:proofErr w:type="gramStart"/>
      <w:r>
        <w:t xml:space="preserve">margin  </w:t>
      </w:r>
      <w:r>
        <w:rPr>
          <w:i/>
        </w:rPr>
        <w:t>m</w:t>
      </w:r>
      <w:proofErr w:type="gramEnd"/>
      <w:r>
        <w:t xml:space="preserve">  than the rate of return on </w:t>
      </w:r>
      <w:proofErr w:type="gramStart"/>
      <w:r>
        <w:t xml:space="preserve">investment  </w:t>
      </w:r>
      <w:r>
        <w:rPr>
          <w:i/>
        </w:rPr>
        <w:t>r</w:t>
      </w:r>
      <w:r>
        <w:t>.</w:t>
      </w:r>
      <w:proofErr w:type="gramEnd"/>
      <w:r>
        <w:t xml:space="preserve">  In this case we need to note that </w:t>
      </w:r>
    </w:p>
    <w:p w14:paraId="3491BDBB" w14:textId="77777777" w:rsidR="00C3558D" w:rsidRDefault="00C3558D" w:rsidP="00C3558D">
      <w:pPr>
        <w:pStyle w:val="MTDisplayEquation"/>
      </w:pPr>
      <w:r>
        <w:tab/>
      </w:r>
      <w:r w:rsidRPr="00CB194F">
        <w:rPr>
          <w:position w:val="-6"/>
        </w:rPr>
        <w:object w:dxaOrig="900" w:dyaOrig="279" w14:anchorId="0E8FBAB4">
          <v:shape id="_x0000_i1037" type="#_x0000_t75" style="width:45pt;height:14.25pt" o:ole="" fillcolor="window">
            <v:imagedata r:id="rId32" o:title=""/>
          </v:shape>
          <o:OLEObject Type="Embed" ProgID="Equation.DSMT4" ShapeID="_x0000_i1037" DrawAspect="Content" ObjectID="_1837606001" r:id="rId33"/>
        </w:objec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bookmarkStart w:id="0" w:name="ZEqnNum562643"/>
      <w:bookmarkStart w:id="1" w:name="ZEqnNum494443"/>
      <w:r>
        <w:instrText>(</w:instrText>
      </w:r>
      <w:fldSimple w:instr=" SEQ MTEqn \c \* Arabic \* MERGEFORMAT ">
        <w:r w:rsidR="00B51895">
          <w:rPr>
            <w:noProof/>
          </w:rPr>
          <w:instrText>7</w:instrText>
        </w:r>
      </w:fldSimple>
      <w:r>
        <w:instrText>)</w:instrText>
      </w:r>
      <w:bookmarkEnd w:id="0"/>
      <w:bookmarkEnd w:id="1"/>
      <w:r w:rsidR="000E7505">
        <w:fldChar w:fldCharType="end"/>
      </w:r>
    </w:p>
    <w:p w14:paraId="56288FF7" w14:textId="77777777" w:rsidR="00C3558D" w:rsidRDefault="00C3558D" w:rsidP="00C3558D">
      <w:proofErr w:type="gramStart"/>
      <w:r>
        <w:t xml:space="preserve">where  </w:t>
      </w:r>
      <w:r>
        <w:rPr>
          <w:i/>
        </w:rPr>
        <w:t>J</w:t>
      </w:r>
      <w:proofErr w:type="gramEnd"/>
      <w:r>
        <w:t xml:space="preserve">  is the marginal ratio of investment to sales (the amount that must be invested to support an additional unit of sales).   Given this relationship between </w:t>
      </w:r>
      <w:r>
        <w:rPr>
          <w:i/>
        </w:rPr>
        <w:t>r</w:t>
      </w:r>
      <w:r>
        <w:t xml:space="preserve"> and </w:t>
      </w:r>
      <w:r>
        <w:rPr>
          <w:i/>
        </w:rPr>
        <w:t>m</w:t>
      </w:r>
      <w:r>
        <w:t xml:space="preserve">, and constant growth in sales, the free cash flow at time t can be written as </w:t>
      </w:r>
    </w:p>
    <w:p w14:paraId="6D27D92F" w14:textId="77777777" w:rsidR="00C3558D" w:rsidRDefault="00C3558D" w:rsidP="00C3558D">
      <w:pPr>
        <w:pStyle w:val="MTDisplayEquation"/>
      </w:pPr>
      <w:r>
        <w:tab/>
      </w:r>
      <w:r w:rsidRPr="00285665">
        <w:rPr>
          <w:position w:val="-48"/>
        </w:rPr>
        <w:object w:dxaOrig="1939" w:dyaOrig="1080" w14:anchorId="3AFA4B01">
          <v:shape id="_x0000_i1038" type="#_x0000_t75" style="width:96.75pt;height:54pt" o:ole="">
            <v:imagedata r:id="rId34" o:title=""/>
          </v:shape>
          <o:OLEObject Type="Embed" ProgID="Equation.DSMT4" ShapeID="_x0000_i1038" DrawAspect="Content" ObjectID="_1837606002" r:id="rId35"/>
        </w:objec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r>
        <w:instrText>(</w:instrText>
      </w:r>
      <w:fldSimple w:instr=" SEQ MTEqn \c \* Arabic \* MERGEFORMAT ">
        <w:r w:rsidR="00B51895">
          <w:rPr>
            <w:noProof/>
          </w:rPr>
          <w:instrText>8</w:instrText>
        </w:r>
      </w:fldSimple>
      <w:r>
        <w:instrText>)</w:instrText>
      </w:r>
      <w:r w:rsidR="000E7505">
        <w:fldChar w:fldCharType="end"/>
      </w:r>
    </w:p>
    <w:p w14:paraId="2CC3D3D7" w14:textId="77777777" w:rsidR="00C3558D" w:rsidRDefault="00C3558D" w:rsidP="00C3558D">
      <w:r>
        <w:t>Discounting gives</w:t>
      </w:r>
    </w:p>
    <w:p w14:paraId="6FA2AB01" w14:textId="77777777" w:rsidR="00C3558D" w:rsidRDefault="00C3558D" w:rsidP="00C3558D">
      <w:pPr>
        <w:pStyle w:val="MTDisplayEquation"/>
      </w:pPr>
      <w:r>
        <w:tab/>
      </w:r>
      <w:r w:rsidR="00D35EFA" w:rsidRPr="00285665">
        <w:rPr>
          <w:position w:val="-28"/>
        </w:rPr>
        <w:object w:dxaOrig="1540" w:dyaOrig="660" w14:anchorId="2F1C475F">
          <v:shape id="_x0000_i1039" type="#_x0000_t75" style="width:77.25pt;height:33pt" o:ole="">
            <v:imagedata r:id="rId36" o:title=""/>
          </v:shape>
          <o:OLEObject Type="Embed" ProgID="Equation.DSMT4" ShapeID="_x0000_i1039" DrawAspect="Content" ObjectID="_1837606003" r:id="rId37"/>
        </w:objec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r>
        <w:instrText>(</w:instrText>
      </w:r>
      <w:fldSimple w:instr=" SEQ MTEqn \c \* Arabic \* MERGEFORMAT ">
        <w:r w:rsidR="00B51895">
          <w:rPr>
            <w:noProof/>
          </w:rPr>
          <w:instrText>9</w:instrText>
        </w:r>
      </w:fldSimple>
      <w:r>
        <w:instrText>)</w:instrText>
      </w:r>
      <w:r w:rsidR="000E7505">
        <w:fldChar w:fldCharType="end"/>
      </w:r>
    </w:p>
    <w:p w14:paraId="4E8745A4" w14:textId="77777777" w:rsidR="00C3558D" w:rsidRDefault="00C3558D" w:rsidP="00136A35">
      <w:pPr>
        <w:pStyle w:val="Heading4"/>
      </w:pPr>
      <w:r>
        <w:t xml:space="preserve">The </w:t>
      </w:r>
      <w:r w:rsidR="00136A35">
        <w:t>D</w:t>
      </w:r>
      <w:r>
        <w:t xml:space="preserve">eclining </w:t>
      </w:r>
      <w:r w:rsidR="00136A35">
        <w:t>M</w:t>
      </w:r>
      <w:r>
        <w:t xml:space="preserve">argin </w:t>
      </w:r>
      <w:r w:rsidR="00136A35">
        <w:t>M</w:t>
      </w:r>
      <w:r>
        <w:t>odel</w:t>
      </w:r>
    </w:p>
    <w:p w14:paraId="36877D38" w14:textId="77777777" w:rsidR="00C3558D" w:rsidRDefault="00C3558D" w:rsidP="00C3558D">
      <w:r>
        <w:t xml:space="preserve">From </w:t>
      </w:r>
      <w:r w:rsidR="000E7505">
        <w:fldChar w:fldCharType="begin"/>
      </w:r>
      <w:r>
        <w:instrText xml:space="preserve"> GOTOBUTTON ZEqnNum494443  \* MERGEFORMAT </w:instrText>
      </w:r>
      <w:fldSimple w:instr=" REF ZEqnNum494443 \! \* MERGEFORMAT ">
        <w:r w:rsidR="00B51895">
          <w:instrText>(7)</w:instrText>
        </w:r>
      </w:fldSimple>
      <w:r w:rsidR="000E7505">
        <w:fldChar w:fldCharType="end"/>
      </w:r>
      <w:r>
        <w:t xml:space="preserve"> we can define the "normal long-term" sales margin as </w:t>
      </w:r>
      <w:r w:rsidRPr="00285665">
        <w:rPr>
          <w:position w:val="-12"/>
        </w:rPr>
        <w:object w:dxaOrig="859" w:dyaOrig="360" w14:anchorId="6AEAD177">
          <v:shape id="_x0000_i1040" type="#_x0000_t75" style="width:42.75pt;height:18pt" o:ole="" fillcolor="window">
            <v:imagedata r:id="rId38" o:title=""/>
          </v:shape>
          <o:OLEObject Type="Embed" ProgID="Equation.DSMT4" ShapeID="_x0000_i1040" DrawAspect="Content" ObjectID="_1837606004" r:id="rId39"/>
        </w:object>
      </w:r>
      <w:r>
        <w:t xml:space="preserve">, the sales margin corresponding to the cost of capital.  An intuitively appealing model of the sales margin would have its current "abnormal" level moving over time to become the "normal" level.  To obtain this behavior, let the sales margin </w:t>
      </w:r>
      <w:r w:rsidRPr="00076F0C">
        <w:rPr>
          <w:position w:val="-12"/>
        </w:rPr>
        <w:object w:dxaOrig="300" w:dyaOrig="360" w14:anchorId="4D72A6C9">
          <v:shape id="_x0000_i1041" type="#_x0000_t75" style="width:15pt;height:18pt" o:ole="" fillcolor="window">
            <v:imagedata r:id="rId40" o:title=""/>
          </v:shape>
          <o:OLEObject Type="Embed" ProgID="Equation.DSMT4" ShapeID="_x0000_i1041" DrawAspect="Content" ObjectID="_1837606005" r:id="rId41"/>
        </w:object>
      </w:r>
      <w:r>
        <w:t xml:space="preserve"> in year t be</w:t>
      </w:r>
    </w:p>
    <w:p w14:paraId="06DBA29E" w14:textId="77777777" w:rsidR="00C3558D" w:rsidRDefault="00C3558D" w:rsidP="00C3558D">
      <w:pPr>
        <w:pStyle w:val="MTDisplayEquation"/>
      </w:pPr>
      <w:r>
        <w:tab/>
      </w:r>
      <w:r w:rsidRPr="00076F0C">
        <w:rPr>
          <w:position w:val="-28"/>
        </w:rPr>
        <w:object w:dxaOrig="1920" w:dyaOrig="660" w14:anchorId="42753DDE">
          <v:shape id="_x0000_i1042" type="#_x0000_t75" style="width:96pt;height:33pt" o:ole="" fillcolor="window">
            <v:imagedata r:id="rId42" o:title=""/>
          </v:shape>
          <o:OLEObject Type="Embed" ProgID="Equation.DSMT4" ShapeID="_x0000_i1042" DrawAspect="Content" ObjectID="_1837606006" r:id="rId43"/>
        </w:objec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bookmarkStart w:id="2" w:name="ZEqnNum737266"/>
      <w:r>
        <w:instrText>(</w:instrText>
      </w:r>
      <w:fldSimple w:instr=" SEQ MTEqn \c \* Arabic \* MERGEFORMAT ">
        <w:r w:rsidR="00B51895">
          <w:rPr>
            <w:noProof/>
          </w:rPr>
          <w:instrText>10</w:instrText>
        </w:r>
      </w:fldSimple>
      <w:r>
        <w:instrText>)</w:instrText>
      </w:r>
      <w:bookmarkEnd w:id="2"/>
      <w:r w:rsidR="000E7505">
        <w:fldChar w:fldCharType="end"/>
      </w:r>
    </w:p>
    <w:p w14:paraId="32FA2FA3" w14:textId="77777777" w:rsidR="00C3558D" w:rsidRDefault="00C3558D" w:rsidP="00C3558D">
      <w:r>
        <w:t xml:space="preserve">where </w:t>
      </w:r>
      <w:proofErr w:type="gramStart"/>
      <w:r>
        <w:rPr>
          <w:i/>
        </w:rPr>
        <w:t>w</w:t>
      </w:r>
      <w:r>
        <w:t xml:space="preserve">  is</w:t>
      </w:r>
      <w:proofErr w:type="gramEnd"/>
      <w:r>
        <w:t xml:space="preserve"> the rate of decay of the abnormal additional margin </w:t>
      </w:r>
      <w:r w:rsidRPr="00076F0C">
        <w:rPr>
          <w:position w:val="-10"/>
        </w:rPr>
        <w:object w:dxaOrig="340" w:dyaOrig="340" w14:anchorId="26D3471D">
          <v:shape id="_x0000_i1043" type="#_x0000_t75" style="width:17.25pt;height:17.25pt" o:ole="" fillcolor="window">
            <v:imagedata r:id="rId44" o:title=""/>
          </v:shape>
          <o:OLEObject Type="Embed" ProgID="Equation.DSMT4" ShapeID="_x0000_i1043" DrawAspect="Content" ObjectID="_1837606007" r:id="rId45"/>
        </w:object>
      </w:r>
      <w:r>
        <w:t xml:space="preserve"> (note that </w:t>
      </w:r>
      <w:r w:rsidRPr="00076F0C">
        <w:rPr>
          <w:position w:val="-10"/>
        </w:rPr>
        <w:object w:dxaOrig="340" w:dyaOrig="340" w14:anchorId="125BF8BB">
          <v:shape id="_x0000_i1044" type="#_x0000_t75" style="width:17.25pt;height:17.25pt" o:ole="" fillcolor="window">
            <v:imagedata r:id="rId44" o:title=""/>
          </v:shape>
          <o:OLEObject Type="Embed" ProgID="Equation.DSMT4" ShapeID="_x0000_i1044" DrawAspect="Content" ObjectID="_1837606008" r:id="rId46"/>
        </w:object>
      </w:r>
      <w:r>
        <w:t>can be negative).  In presenting the result of this assumption, it is useful to define a "modified" growth rate</w:t>
      </w:r>
    </w:p>
    <w:p w14:paraId="43024872" w14:textId="77777777" w:rsidR="00C3558D" w:rsidRDefault="00C3558D" w:rsidP="00C3558D">
      <w:pPr>
        <w:pStyle w:val="MTDisplayEquation"/>
      </w:pPr>
      <w:r>
        <w:lastRenderedPageBreak/>
        <w:tab/>
      </w:r>
      <w:r w:rsidRPr="003E15F9">
        <w:rPr>
          <w:position w:val="-24"/>
        </w:rPr>
        <w:object w:dxaOrig="1280" w:dyaOrig="620" w14:anchorId="6D61E590">
          <v:shape id="_x0000_i1045" type="#_x0000_t75" style="width:63.75pt;height:30.75pt" o:ole="">
            <v:imagedata r:id="rId47" o:title=""/>
          </v:shape>
          <o:OLEObject Type="Embed" ProgID="Equation.DSMT4" ShapeID="_x0000_i1045" DrawAspect="Content" ObjectID="_1837606009" r:id="rId48"/>
        </w:object>
      </w:r>
      <w:r>
        <w:t>.</w: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r>
        <w:instrText>(</w:instrText>
      </w:r>
      <w:fldSimple w:instr=" SEQ MTEqn \c \* Arabic \* MERGEFORMAT ">
        <w:r w:rsidR="00B51895">
          <w:rPr>
            <w:noProof/>
          </w:rPr>
          <w:instrText>11</w:instrText>
        </w:r>
      </w:fldSimple>
      <w:r>
        <w:instrText>)</w:instrText>
      </w:r>
      <w:r w:rsidR="000E7505">
        <w:fldChar w:fldCharType="end"/>
      </w:r>
    </w:p>
    <w:p w14:paraId="49A21B26" w14:textId="77777777" w:rsidR="00C3558D" w:rsidRDefault="00C3558D" w:rsidP="00C3558D"/>
    <w:p w14:paraId="6AF8638F" w14:textId="77777777" w:rsidR="00C3558D" w:rsidRDefault="00C3558D" w:rsidP="00C3558D">
      <w:r>
        <w:t>Now, the free cash flow in year t can be written as</w:t>
      </w:r>
    </w:p>
    <w:p w14:paraId="56104E39" w14:textId="77777777" w:rsidR="00C3558D" w:rsidRDefault="00C3558D" w:rsidP="00C3558D">
      <w:pPr>
        <w:pStyle w:val="MTDisplayEquation"/>
      </w:pPr>
      <w:r>
        <w:tab/>
      </w:r>
      <w:r w:rsidRPr="003E15F9">
        <w:rPr>
          <w:position w:val="-36"/>
        </w:rPr>
        <w:object w:dxaOrig="3660" w:dyaOrig="840" w14:anchorId="5FB0B807">
          <v:shape id="_x0000_i1046" type="#_x0000_t75" style="width:183pt;height:42pt" o:ole="">
            <v:imagedata r:id="rId49" o:title=""/>
          </v:shape>
          <o:OLEObject Type="Embed" ProgID="Equation.DSMT4" ShapeID="_x0000_i1046" DrawAspect="Content" ObjectID="_1837606010" r:id="rId50"/>
        </w:objec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r>
        <w:instrText>(</w:instrText>
      </w:r>
      <w:fldSimple w:instr=" SEQ MTEqn \c \* Arabic \* MERGEFORMAT ">
        <w:r w:rsidR="00B51895">
          <w:rPr>
            <w:noProof/>
          </w:rPr>
          <w:instrText>12</w:instrText>
        </w:r>
      </w:fldSimple>
      <w:r>
        <w:instrText>)</w:instrText>
      </w:r>
      <w:r w:rsidR="000E7505">
        <w:fldChar w:fldCharType="end"/>
      </w:r>
    </w:p>
    <w:p w14:paraId="4A95C27D" w14:textId="77777777" w:rsidR="00C3558D" w:rsidRDefault="00C3558D" w:rsidP="00C3558D">
      <w:r>
        <w:t xml:space="preserve">This expression looks imposing, but it can be broken into two parts. </w:t>
      </w:r>
    </w:p>
    <w:p w14:paraId="6E5310D2" w14:textId="77777777" w:rsidR="00C3558D" w:rsidRDefault="00C3558D" w:rsidP="00C3558D">
      <w:pPr>
        <w:pStyle w:val="MTDisplayEquation"/>
      </w:pPr>
      <w:r>
        <w:tab/>
      </w:r>
      <w:r w:rsidRPr="003E15F9">
        <w:rPr>
          <w:position w:val="-12"/>
        </w:rPr>
        <w:object w:dxaOrig="4020" w:dyaOrig="380" w14:anchorId="1990C1FB">
          <v:shape id="_x0000_i1047" type="#_x0000_t75" style="width:201pt;height:18.75pt" o:ole="">
            <v:imagedata r:id="rId51" o:title=""/>
          </v:shape>
          <o:OLEObject Type="Embed" ProgID="Equation.DSMT4" ShapeID="_x0000_i1047" DrawAspect="Content" ObjectID="_1837606011" r:id="rId52"/>
        </w:object>
      </w:r>
    </w:p>
    <w:p w14:paraId="03B93936" w14:textId="77777777" w:rsidR="00C3558D" w:rsidRDefault="00C3558D" w:rsidP="00C3558D">
      <w:r>
        <w:t xml:space="preserve">Each part is a fixed quantity growing at a constant (though different) rate. We know (ASA Technical Note on PV Formula) that the present value of $1 growing at rate g is 1/(k-g). Hence, </w:t>
      </w:r>
    </w:p>
    <w:p w14:paraId="73D475E6" w14:textId="77777777" w:rsidR="00C3558D" w:rsidRDefault="00C3558D" w:rsidP="00C3558D">
      <w:pPr>
        <w:pStyle w:val="MTDisplayEquation"/>
      </w:pPr>
      <w:r>
        <w:tab/>
      </w:r>
      <w:r w:rsidRPr="002F4CC7">
        <w:rPr>
          <w:position w:val="-28"/>
        </w:rPr>
        <w:object w:dxaOrig="2400" w:dyaOrig="660" w14:anchorId="616E8110">
          <v:shape id="_x0000_i1048" type="#_x0000_t75" style="width:120pt;height:33pt" o:ole="">
            <v:imagedata r:id="rId53" o:title=""/>
          </v:shape>
          <o:OLEObject Type="Embed" ProgID="Equation.DSMT4" ShapeID="_x0000_i1048" DrawAspect="Content" ObjectID="_1837606012" r:id="rId54"/>
        </w:objec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bookmarkStart w:id="3" w:name="ZEqnNum946040"/>
      <w:r>
        <w:instrText>(</w:instrText>
      </w:r>
      <w:fldSimple w:instr=" SEQ MTEqn \c \* Arabic \* MERGEFORMAT ">
        <w:r w:rsidR="00B51895">
          <w:rPr>
            <w:noProof/>
          </w:rPr>
          <w:instrText>13</w:instrText>
        </w:r>
      </w:fldSimple>
      <w:r>
        <w:instrText>)</w:instrText>
      </w:r>
      <w:bookmarkEnd w:id="3"/>
      <w:r w:rsidR="000E7505">
        <w:fldChar w:fldCharType="end"/>
      </w:r>
    </w:p>
    <w:p w14:paraId="38BBFBFB" w14:textId="77777777" w:rsidR="00C3558D" w:rsidRDefault="00C3558D" w:rsidP="00C3558D">
      <w:r>
        <w:t xml:space="preserve">The first portion of </w:t>
      </w:r>
      <w:r w:rsidR="000E7505">
        <w:fldChar w:fldCharType="begin"/>
      </w:r>
      <w:r>
        <w:instrText xml:space="preserve"> GOTOBUTTON ZEqnNum946040  \* MERGEFORMAT </w:instrText>
      </w:r>
      <w:fldSimple w:instr=" REF ZEqnNum946040 \* Charformat \! \* MERGEFORMAT ">
        <w:r w:rsidR="00B51895">
          <w:instrText>(13)</w:instrText>
        </w:r>
      </w:fldSimple>
      <w:r w:rsidR="000E7505">
        <w:fldChar w:fldCharType="end"/>
      </w:r>
      <w:r>
        <w:t xml:space="preserve"> is the value due to the long-term margin and long-term growth rate. The second term is the extra value due to the excess, though declining, component of margin.</w:t>
      </w:r>
    </w:p>
    <w:p w14:paraId="1EBE96BD" w14:textId="77777777" w:rsidR="00C3558D" w:rsidRDefault="00C3558D" w:rsidP="00136A35">
      <w:pPr>
        <w:pStyle w:val="Heading3"/>
      </w:pPr>
      <w:r>
        <w:t>Two-Stage Growth Model</w:t>
      </w:r>
    </w:p>
    <w:p w14:paraId="10A9A03D" w14:textId="77777777" w:rsidR="00C3558D" w:rsidRDefault="00C3558D" w:rsidP="00C3558D">
      <w:pPr>
        <w:pStyle w:val="display"/>
        <w:tabs>
          <w:tab w:val="left" w:pos="3600"/>
          <w:tab w:val="left" w:pos="5040"/>
        </w:tabs>
      </w:pPr>
      <w:r>
        <w:t xml:space="preserve">The problem with the constant growth model, or the declining margin </w:t>
      </w:r>
      <w:proofErr w:type="gramStart"/>
      <w:r>
        <w:t>model,  is</w:t>
      </w:r>
      <w:proofErr w:type="gramEnd"/>
      <w:r>
        <w:t xml:space="preserve"> that the rate of growth must be moderate.  If </w:t>
      </w:r>
      <w:r w:rsidRPr="00076F0C">
        <w:rPr>
          <w:position w:val="-10"/>
        </w:rPr>
        <w:object w:dxaOrig="600" w:dyaOrig="320" w14:anchorId="675A3C92">
          <v:shape id="_x0000_i1049" type="#_x0000_t75" style="width:30pt;height:15.75pt" o:ole="" fillcolor="window">
            <v:imagedata r:id="rId55" o:title=""/>
          </v:shape>
          <o:OLEObject Type="Embed" ProgID="Equation.DSMT4" ShapeID="_x0000_i1049" DrawAspect="Content" ObjectID="_1837606013" r:id="rId56"/>
        </w:object>
      </w:r>
      <w:r>
        <w:t xml:space="preserve">in the constant growth model, or if </w:t>
      </w:r>
      <w:r w:rsidRPr="00076F0C">
        <w:rPr>
          <w:position w:val="-10"/>
        </w:rPr>
        <w:object w:dxaOrig="2120" w:dyaOrig="320" w14:anchorId="0BD28D40">
          <v:shape id="_x0000_i1050" type="#_x0000_t75" style="width:105.75pt;height:15.75pt" o:ole="" fillcolor="window">
            <v:imagedata r:id="rId57" o:title=""/>
          </v:shape>
          <o:OLEObject Type="Embed" ProgID="Equation.DSMT4" ShapeID="_x0000_i1050" DrawAspect="Content" ObjectID="_1837606014" r:id="rId58"/>
        </w:object>
      </w:r>
      <w:r>
        <w:t xml:space="preserve">in the declining margin model, they "blow up" and cannot be used for valuation.  An alternative valuation formula may be derived from the assumption that one level of growth and return continues for </w:t>
      </w:r>
      <w:proofErr w:type="gramStart"/>
      <w:r>
        <w:rPr>
          <w:i/>
        </w:rPr>
        <w:t xml:space="preserve">N </w:t>
      </w:r>
      <w:r>
        <w:t xml:space="preserve"> years</w:t>
      </w:r>
      <w:proofErr w:type="gramEnd"/>
      <w:r>
        <w:t xml:space="preserve"> after which growth and return change to other levels.  </w:t>
      </w:r>
      <w:proofErr w:type="gramStart"/>
      <w:r>
        <w:t>In particular, this</w:t>
      </w:r>
      <w:proofErr w:type="gramEnd"/>
      <w:r>
        <w:t xml:space="preserve"> structure allows one to model high growth situations (involving negative free cash flows) </w:t>
      </w:r>
      <w:proofErr w:type="gramStart"/>
      <w:r>
        <w:t>as long as</w:t>
      </w:r>
      <w:proofErr w:type="gramEnd"/>
      <w:r>
        <w:t xml:space="preserve"> they eventually end and are followed by lower growth situations.  </w:t>
      </w:r>
    </w:p>
    <w:p w14:paraId="5674F3E3" w14:textId="77777777" w:rsidR="00C3558D" w:rsidRDefault="00C3558D" w:rsidP="00C3558D">
      <w:pPr>
        <w:pStyle w:val="display"/>
        <w:tabs>
          <w:tab w:val="left" w:pos="3600"/>
          <w:tab w:val="left" w:pos="5040"/>
        </w:tabs>
      </w:pPr>
      <w:proofErr w:type="gramStart"/>
      <w:r>
        <w:t xml:space="preserve">Let  </w:t>
      </w:r>
      <w:r>
        <w:rPr>
          <w:i/>
        </w:rPr>
        <w:t>g</w:t>
      </w:r>
      <w:r>
        <w:rPr>
          <w:i/>
          <w:position w:val="-6"/>
          <w:sz w:val="18"/>
        </w:rPr>
        <w:t>s</w:t>
      </w:r>
      <w:proofErr w:type="gramEnd"/>
      <w:r>
        <w:t xml:space="preserve">  </w:t>
      </w:r>
      <w:proofErr w:type="gramStart"/>
      <w:r>
        <w:t xml:space="preserve">and  </w:t>
      </w:r>
      <w:r>
        <w:rPr>
          <w:i/>
        </w:rPr>
        <w:t>r</w:t>
      </w:r>
      <w:r>
        <w:rPr>
          <w:i/>
          <w:position w:val="-6"/>
          <w:sz w:val="18"/>
        </w:rPr>
        <w:t>s</w:t>
      </w:r>
      <w:proofErr w:type="gramEnd"/>
      <w:r>
        <w:t xml:space="preserve">  denote the "supernormal" levels of growth and return and </w:t>
      </w:r>
      <w:proofErr w:type="gramStart"/>
      <w:r>
        <w:t xml:space="preserve">let  </w:t>
      </w:r>
      <w:r>
        <w:rPr>
          <w:i/>
        </w:rPr>
        <w:t>g</w:t>
      </w:r>
      <w:proofErr w:type="gramEnd"/>
      <w:r>
        <w:t xml:space="preserve">  </w:t>
      </w:r>
      <w:proofErr w:type="gramStart"/>
      <w:r>
        <w:t xml:space="preserve">and  </w:t>
      </w:r>
      <w:r>
        <w:rPr>
          <w:i/>
        </w:rPr>
        <w:t>r</w:t>
      </w:r>
      <w:proofErr w:type="gramEnd"/>
      <w:r>
        <w:t xml:space="preserve">  denote the "normal" levels.  First define</w:t>
      </w:r>
    </w:p>
    <w:p w14:paraId="5FBD405A" w14:textId="77777777" w:rsidR="00C3558D" w:rsidRDefault="00C3558D" w:rsidP="00C3558D">
      <w:pPr>
        <w:pStyle w:val="MTDisplayEquation"/>
      </w:pPr>
      <w:r>
        <w:tab/>
      </w:r>
      <w:r w:rsidRPr="00076F0C">
        <w:rPr>
          <w:position w:val="-28"/>
        </w:rPr>
        <w:object w:dxaOrig="1320" w:dyaOrig="680" w14:anchorId="27818C6B">
          <v:shape id="_x0000_i1051" type="#_x0000_t75" style="width:66pt;height:33.75pt" o:ole="" fillcolor="window">
            <v:imagedata r:id="rId59" o:title=""/>
          </v:shape>
          <o:OLEObject Type="Embed" ProgID="Equation.DSMT4" ShapeID="_x0000_i1051" DrawAspect="Content" ObjectID="_1837606015" r:id="rId60"/>
        </w:objec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r>
        <w:instrText>(</w:instrText>
      </w:r>
      <w:fldSimple w:instr=" SEQ MTEqn \c \* Arabic \* MERGEFORMAT ">
        <w:r w:rsidR="00B51895">
          <w:rPr>
            <w:noProof/>
          </w:rPr>
          <w:instrText>14</w:instrText>
        </w:r>
      </w:fldSimple>
      <w:r>
        <w:instrText>)</w:instrText>
      </w:r>
      <w:r w:rsidR="000E7505">
        <w:fldChar w:fldCharType="end"/>
      </w:r>
    </w:p>
    <w:p w14:paraId="7A5AA451" w14:textId="77777777" w:rsidR="00C3558D" w:rsidRDefault="00C3558D" w:rsidP="00C3558D">
      <w:pPr>
        <w:pStyle w:val="display"/>
        <w:tabs>
          <w:tab w:val="left" w:pos="3600"/>
          <w:tab w:val="left" w:pos="5040"/>
        </w:tabs>
      </w:pPr>
      <w:proofErr w:type="gramStart"/>
      <w:r>
        <w:t>then</w:t>
      </w:r>
      <w:proofErr w:type="gramEnd"/>
      <w:r>
        <w:t xml:space="preserve"> the value of the firm is:</w:t>
      </w:r>
      <w:r>
        <w:rPr>
          <w:rStyle w:val="FootnoteReference"/>
        </w:rPr>
        <w:footnoteReference w:id="1"/>
      </w:r>
    </w:p>
    <w:p w14:paraId="025EBFA6" w14:textId="77777777" w:rsidR="00C3558D" w:rsidRDefault="00C3558D" w:rsidP="00C3558D">
      <w:pPr>
        <w:pStyle w:val="MTDisplayEquation"/>
      </w:pPr>
      <w:r>
        <w:tab/>
      </w:r>
      <w:r w:rsidRPr="00076F0C">
        <w:rPr>
          <w:position w:val="-32"/>
        </w:rPr>
        <w:object w:dxaOrig="4400" w:dyaOrig="760" w14:anchorId="2FF4B93E">
          <v:shape id="_x0000_i1052" type="#_x0000_t75" style="width:219.75pt;height:38.25pt" o:ole="" fillcolor="window">
            <v:imagedata r:id="rId61" o:title=""/>
          </v:shape>
          <o:OLEObject Type="Embed" ProgID="Equation.DSMT4" ShapeID="_x0000_i1052" DrawAspect="Content" ObjectID="_1837606016" r:id="rId62"/>
        </w:objec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bookmarkStart w:id="4" w:name="ZEqnNum575965"/>
      <w:r>
        <w:instrText>(</w:instrText>
      </w:r>
      <w:fldSimple w:instr=" SEQ MTEqn \c \* Arabic \* MERGEFORMAT ">
        <w:r w:rsidR="00B51895">
          <w:rPr>
            <w:noProof/>
          </w:rPr>
          <w:instrText>15</w:instrText>
        </w:r>
      </w:fldSimple>
      <w:r>
        <w:instrText>)</w:instrText>
      </w:r>
      <w:bookmarkEnd w:id="4"/>
      <w:r w:rsidR="000E7505">
        <w:fldChar w:fldCharType="end"/>
      </w:r>
    </w:p>
    <w:p w14:paraId="07EAFF7A" w14:textId="77777777" w:rsidR="00C3558D" w:rsidRDefault="00C3558D" w:rsidP="00C3558D">
      <w:pPr>
        <w:pStyle w:val="display"/>
      </w:pPr>
      <w:r>
        <w:t xml:space="preserve">In applying this </w:t>
      </w:r>
      <w:proofErr w:type="gramStart"/>
      <w:r>
        <w:t>model</w:t>
      </w:r>
      <w:proofErr w:type="gramEnd"/>
      <w:r>
        <w:t xml:space="preserve"> it is important not to </w:t>
      </w:r>
      <w:proofErr w:type="gramStart"/>
      <w:r>
        <w:t xml:space="preserve">let  </w:t>
      </w:r>
      <w:r>
        <w:rPr>
          <w:i/>
        </w:rPr>
        <w:t>r</w:t>
      </w:r>
      <w:proofErr w:type="gramEnd"/>
      <w:r>
        <w:t xml:space="preserve">  </w:t>
      </w:r>
      <w:proofErr w:type="gramStart"/>
      <w:r>
        <w:t xml:space="preserve">or  </w:t>
      </w:r>
      <w:r>
        <w:rPr>
          <w:i/>
        </w:rPr>
        <w:t>g</w:t>
      </w:r>
      <w:proofErr w:type="gramEnd"/>
      <w:r>
        <w:t xml:space="preserve">  be "too" large or </w:t>
      </w:r>
      <w:proofErr w:type="gramStart"/>
      <w:r>
        <w:t xml:space="preserve">set  </w:t>
      </w:r>
      <w:r>
        <w:rPr>
          <w:i/>
        </w:rPr>
        <w:t>r</w:t>
      </w:r>
      <w:proofErr w:type="gramEnd"/>
      <w:r>
        <w:t xml:space="preserve">  to be too small.  That </w:t>
      </w:r>
      <w:proofErr w:type="gramStart"/>
      <w:r>
        <w:t xml:space="preserve">is, </w:t>
      </w:r>
      <w:r>
        <w:rPr>
          <w:i/>
        </w:rPr>
        <w:t xml:space="preserve"> r</w:t>
      </w:r>
      <w:proofErr w:type="gramEnd"/>
      <w:r>
        <w:t xml:space="preserve">  should be close </w:t>
      </w:r>
      <w:proofErr w:type="gramStart"/>
      <w:r>
        <w:t xml:space="preserve">to  </w:t>
      </w:r>
      <w:r>
        <w:rPr>
          <w:i/>
        </w:rPr>
        <w:t>k</w:t>
      </w:r>
      <w:proofErr w:type="gramEnd"/>
      <w:r>
        <w:t xml:space="preserve">  </w:t>
      </w:r>
      <w:proofErr w:type="gramStart"/>
      <w:r>
        <w:t xml:space="preserve">and  </w:t>
      </w:r>
      <w:r>
        <w:rPr>
          <w:i/>
        </w:rPr>
        <w:t>g</w:t>
      </w:r>
      <w:proofErr w:type="gramEnd"/>
      <w:r>
        <w:t xml:space="preserve">   should not be much more </w:t>
      </w:r>
      <w:proofErr w:type="gramStart"/>
      <w:r>
        <w:t>than  GNP</w:t>
      </w:r>
      <w:proofErr w:type="gramEnd"/>
      <w:r>
        <w:t xml:space="preserve">  growth.   One common assumption is </w:t>
      </w:r>
      <w:proofErr w:type="gramStart"/>
      <w:r>
        <w:t xml:space="preserve">that  </w:t>
      </w:r>
      <w:r>
        <w:rPr>
          <w:i/>
        </w:rPr>
        <w:t>g</w:t>
      </w:r>
      <w:proofErr w:type="gramEnd"/>
      <w:r>
        <w:t xml:space="preserve"> = 0, or equivalently, </w:t>
      </w:r>
      <w:proofErr w:type="gramStart"/>
      <w:r>
        <w:t xml:space="preserve">that  </w:t>
      </w:r>
      <w:r>
        <w:rPr>
          <w:i/>
        </w:rPr>
        <w:t>r</w:t>
      </w:r>
      <w:proofErr w:type="gramEnd"/>
      <w:r>
        <w:t xml:space="preserve"> = </w:t>
      </w:r>
      <w:r>
        <w:rPr>
          <w:i/>
        </w:rPr>
        <w:t>k</w:t>
      </w:r>
      <w:r>
        <w:t>.  With this simplification, the model becomes</w:t>
      </w:r>
    </w:p>
    <w:p w14:paraId="5D579954" w14:textId="77777777" w:rsidR="00C3558D" w:rsidRDefault="00C3558D" w:rsidP="00C3558D">
      <w:pPr>
        <w:pStyle w:val="MTDisplayEquation"/>
      </w:pPr>
      <w:r>
        <w:lastRenderedPageBreak/>
        <w:tab/>
      </w:r>
      <w:r w:rsidR="00B51895" w:rsidRPr="002F4CC7">
        <w:rPr>
          <w:position w:val="-32"/>
        </w:rPr>
        <w:object w:dxaOrig="3620" w:dyaOrig="760" w14:anchorId="5A73473B">
          <v:shape id="_x0000_i1053" type="#_x0000_t75" style="width:180.75pt;height:38.25pt" o:ole="">
            <v:imagedata r:id="rId63" o:title=""/>
          </v:shape>
          <o:OLEObject Type="Embed" ProgID="Equation.DSMT4" ShapeID="_x0000_i1053" DrawAspect="Content" ObjectID="_1837606017" r:id="rId64"/>
        </w:objec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bookmarkStart w:id="5" w:name="ZEqnNum283752"/>
      <w:r>
        <w:instrText>(</w:instrText>
      </w:r>
      <w:fldSimple w:instr=" SEQ MTEqn \c \* Arabic \* MERGEFORMAT ">
        <w:r w:rsidR="00B51895">
          <w:rPr>
            <w:noProof/>
          </w:rPr>
          <w:instrText>16</w:instrText>
        </w:r>
      </w:fldSimple>
      <w:r>
        <w:instrText>)</w:instrText>
      </w:r>
      <w:bookmarkEnd w:id="5"/>
      <w:r w:rsidR="000E7505">
        <w:fldChar w:fldCharType="end"/>
      </w:r>
    </w:p>
    <w:p w14:paraId="04A20A38" w14:textId="77777777" w:rsidR="00B51895" w:rsidRDefault="00B51895" w:rsidP="00C3558D">
      <w:pPr>
        <w:pStyle w:val="MTDisplayEquation"/>
      </w:pPr>
      <w:r>
        <w:t xml:space="preserve">In both </w:t>
      </w:r>
      <w:r>
        <w:fldChar w:fldCharType="begin"/>
      </w:r>
      <w:r>
        <w:instrText xml:space="preserve"> GOTOBUTTON ZEqnNum575965  \* MERGEFORMAT </w:instrText>
      </w:r>
      <w:fldSimple w:instr=" REF ZEqnNum575965 \* Charformat \! \* MERGEFORMAT ">
        <w:r>
          <w:instrText>(15)</w:instrText>
        </w:r>
      </w:fldSimple>
      <w:r>
        <w:fldChar w:fldCharType="end"/>
      </w:r>
      <w:r>
        <w:t xml:space="preserve"> and </w:t>
      </w:r>
      <w:r>
        <w:fldChar w:fldCharType="begin"/>
      </w:r>
      <w:r>
        <w:instrText xml:space="preserve"> GOTOBUTTON ZEqnNum283752  \* MERGEFORMAT </w:instrText>
      </w:r>
      <w:fldSimple w:instr=" REF ZEqnNum283752 \* Charformat \! \* MERGEFORMAT ">
        <w:r>
          <w:instrText>(16)</w:instrText>
        </w:r>
      </w:fldSimple>
      <w:r>
        <w:fldChar w:fldCharType="end"/>
      </w:r>
      <w:r>
        <w:t xml:space="preserve"> the formulae will "blow up" if </w:t>
      </w:r>
      <w:r w:rsidRPr="00B51895">
        <w:rPr>
          <w:position w:val="-12"/>
        </w:rPr>
        <w:object w:dxaOrig="639" w:dyaOrig="360" w14:anchorId="138075C2">
          <v:shape id="_x0000_i1054" type="#_x0000_t75" style="width:32.25pt;height:18pt" o:ole="">
            <v:imagedata r:id="rId65" o:title=""/>
          </v:shape>
          <o:OLEObject Type="Embed" ProgID="Equation.DSMT4" ShapeID="_x0000_i1054" DrawAspect="Content" ObjectID="_1837606018" r:id="rId66"/>
        </w:object>
      </w:r>
      <w:r>
        <w:t xml:space="preserve">. However, this is an artifact of how the present value is expressed. For the case </w:t>
      </w:r>
      <w:r w:rsidRPr="00B51895">
        <w:rPr>
          <w:position w:val="-12"/>
        </w:rPr>
        <w:object w:dxaOrig="639" w:dyaOrig="360" w14:anchorId="4232465A">
          <v:shape id="_x0000_i1055" type="#_x0000_t75" style="width:32.25pt;height:18pt" o:ole="">
            <v:imagedata r:id="rId65" o:title=""/>
          </v:shape>
          <o:OLEObject Type="Embed" ProgID="Equation.DSMT4" ShapeID="_x0000_i1055" DrawAspect="Content" ObjectID="_1837606019" r:id="rId67"/>
        </w:object>
      </w:r>
      <w:r>
        <w:t>, the values are</w:t>
      </w:r>
    </w:p>
    <w:p w14:paraId="576EC150" w14:textId="77777777" w:rsidR="00B51895" w:rsidRDefault="00B51895" w:rsidP="00B51895">
      <w:pPr>
        <w:pStyle w:val="MTDisplayEquation"/>
      </w:pPr>
      <w:r>
        <w:tab/>
      </w:r>
      <w:r w:rsidR="005002DB" w:rsidRPr="005002DB">
        <w:rPr>
          <w:position w:val="-32"/>
        </w:rPr>
        <w:object w:dxaOrig="4060" w:dyaOrig="760" w14:anchorId="1DC1D159">
          <v:shape id="_x0000_i1056" type="#_x0000_t75" style="width:203.25pt;height:38.25pt" o:ole="">
            <v:imagedata r:id="rId68" o:title=""/>
          </v:shape>
          <o:OLEObject Type="Embed" ProgID="Equation.DSMT4" ShapeID="_x0000_i1056" DrawAspect="Content" ObjectID="_1837606020" r:id="rId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17</w:instrText>
        </w:r>
      </w:fldSimple>
      <w:r>
        <w:instrText>)</w:instrText>
      </w:r>
      <w:r>
        <w:fldChar w:fldCharType="end"/>
      </w:r>
    </w:p>
    <w:p w14:paraId="4EFAF207" w14:textId="77777777" w:rsidR="00B51895" w:rsidRDefault="00B51895" w:rsidP="00C3558D">
      <w:pPr>
        <w:pStyle w:val="MTDisplayEquation"/>
      </w:pPr>
      <w:r>
        <w:t>and</w:t>
      </w:r>
    </w:p>
    <w:p w14:paraId="0C23D9D4" w14:textId="77777777" w:rsidR="00B51895" w:rsidRDefault="00B51895" w:rsidP="00B51895">
      <w:pPr>
        <w:pStyle w:val="MTDisplayEquation"/>
      </w:pPr>
      <w:r>
        <w:tab/>
      </w:r>
      <w:r w:rsidR="005002DB" w:rsidRPr="00B51895">
        <w:rPr>
          <w:position w:val="-32"/>
        </w:rPr>
        <w:object w:dxaOrig="3360" w:dyaOrig="760" w14:anchorId="2F891754">
          <v:shape id="_x0000_i1057" type="#_x0000_t75" style="width:168pt;height:38.25pt" o:ole="">
            <v:imagedata r:id="rId70" o:title=""/>
          </v:shape>
          <o:OLEObject Type="Embed" ProgID="Equation.DSMT4" ShapeID="_x0000_i1057" DrawAspect="Content" ObjectID="_1837606021" r:id="rId71"/>
        </w:object>
      </w:r>
      <w:r w:rsidR="00370389">
        <w:t>.</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18</w:instrText>
        </w:r>
      </w:fldSimple>
      <w:r>
        <w:instrText>)</w:instrText>
      </w:r>
      <w:r>
        <w:fldChar w:fldCharType="end"/>
      </w:r>
    </w:p>
    <w:p w14:paraId="566840FA" w14:textId="77777777" w:rsidR="00B51895" w:rsidRDefault="00B51895" w:rsidP="008C6575">
      <w:pPr>
        <w:pStyle w:val="Heading4"/>
      </w:pPr>
    </w:p>
    <w:p w14:paraId="7891A20A" w14:textId="77777777" w:rsidR="00C3558D" w:rsidRDefault="008C6575" w:rsidP="008C6575">
      <w:pPr>
        <w:pStyle w:val="Heading4"/>
      </w:pPr>
      <w:r>
        <w:t>Two Stage Sales-Based Model</w:t>
      </w:r>
    </w:p>
    <w:p w14:paraId="06025711" w14:textId="77777777" w:rsidR="008C6575" w:rsidRDefault="008C6575" w:rsidP="00C3558D">
      <w:pPr>
        <w:pStyle w:val="display"/>
      </w:pPr>
    </w:p>
    <w:p w14:paraId="22D2DD5A" w14:textId="77777777" w:rsidR="008C6575" w:rsidRDefault="008C6575" w:rsidP="00C3558D">
      <w:pPr>
        <w:pStyle w:val="display"/>
      </w:pPr>
      <w:r>
        <w:t xml:space="preserve">By using the relationship expressed in </w:t>
      </w:r>
      <w:r w:rsidR="000E7505">
        <w:fldChar w:fldCharType="begin"/>
      </w:r>
      <w:r>
        <w:instrText xml:space="preserve"> GOTOBUTTON ZEqnNum494443  \* MERGEFORMAT </w:instrText>
      </w:r>
      <w:fldSimple w:instr=" REF ZEqnNum494443 \* Charformat \! \* MERGEFORMAT ">
        <w:r w:rsidR="00B51895">
          <w:instrText>(7)</w:instrText>
        </w:r>
      </w:fldSimple>
      <w:r w:rsidR="000E7505">
        <w:fldChar w:fldCharType="end"/>
      </w:r>
      <w:r>
        <w:t xml:space="preserve"> that </w:t>
      </w:r>
      <w:r w:rsidRPr="008C6575">
        <w:rPr>
          <w:position w:val="-6"/>
        </w:rPr>
        <w:object w:dxaOrig="900" w:dyaOrig="279" w14:anchorId="3950BCBF">
          <v:shape id="_x0000_i1058" type="#_x0000_t75" style="width:45pt;height:14.25pt" o:ole="">
            <v:imagedata r:id="rId72" o:title=""/>
          </v:shape>
          <o:OLEObject Type="Embed" ProgID="Equation.DSMT4" ShapeID="_x0000_i1058" DrawAspect="Content" ObjectID="_1837606022" r:id="rId73"/>
        </w:object>
      </w:r>
      <w:r>
        <w:t xml:space="preserve">, the two stage growth model can also be expressed in terms of sales growth and abnormal levels of margin </w:t>
      </w:r>
      <w:r w:rsidRPr="008C6575">
        <w:rPr>
          <w:i/>
        </w:rPr>
        <w:t>m</w:t>
      </w:r>
      <w:r>
        <w:t xml:space="preserve"> and the incremental capital-to-sales ratio </w:t>
      </w:r>
      <w:r w:rsidRPr="008C6575">
        <w:rPr>
          <w:i/>
        </w:rPr>
        <w:t>J</w:t>
      </w:r>
      <w:r>
        <w:t>:</w:t>
      </w:r>
    </w:p>
    <w:p w14:paraId="0E8285B0" w14:textId="77777777" w:rsidR="008C6575" w:rsidRDefault="008C6575" w:rsidP="008C6575">
      <w:pPr>
        <w:pStyle w:val="MTDisplayEquation"/>
      </w:pPr>
      <w:r>
        <w:tab/>
      </w:r>
      <w:r w:rsidR="00EB3157" w:rsidRPr="00EB3157">
        <w:rPr>
          <w:position w:val="-70"/>
        </w:rPr>
        <w:object w:dxaOrig="5380" w:dyaOrig="1520" w14:anchorId="6965ACF2">
          <v:shape id="_x0000_i1059" type="#_x0000_t75" style="width:269.25pt;height:75.75pt" o:ole="">
            <v:imagedata r:id="rId74" o:title=""/>
          </v:shape>
          <o:OLEObject Type="Embed" ProgID="Equation.DSMT4" ShapeID="_x0000_i1059" DrawAspect="Content" ObjectID="_1837606023" r:id="rId75"/>
        </w:objec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bookmarkStart w:id="6" w:name="ZEqnNum638340"/>
      <w:r>
        <w:instrText>(</w:instrText>
      </w:r>
      <w:fldSimple w:instr=" SEQ MTEqn \c \* Arabic \* MERGEFORMAT ">
        <w:r w:rsidR="00B51895">
          <w:rPr>
            <w:noProof/>
          </w:rPr>
          <w:instrText>19</w:instrText>
        </w:r>
      </w:fldSimple>
      <w:r>
        <w:instrText>)</w:instrText>
      </w:r>
      <w:bookmarkEnd w:id="6"/>
      <w:r w:rsidR="000E7505">
        <w:fldChar w:fldCharType="end"/>
      </w:r>
    </w:p>
    <w:p w14:paraId="404F690F" w14:textId="77777777" w:rsidR="00C3558D" w:rsidRDefault="00C3558D" w:rsidP="00C3558D"/>
    <w:p w14:paraId="417E4029" w14:textId="77777777" w:rsidR="00EB3157" w:rsidRDefault="00EB3157" w:rsidP="000E5E5B">
      <w:r>
        <w:t xml:space="preserve">In the first form of </w:t>
      </w:r>
      <w:r w:rsidR="000E7505">
        <w:fldChar w:fldCharType="begin"/>
      </w:r>
      <w:r>
        <w:instrText xml:space="preserve"> GOTOBUTTON ZEqnNum638340  \* MERGEFORMAT </w:instrText>
      </w:r>
      <w:fldSimple w:instr=" REF ZEqnNum638340 \* Charformat \! \* MERGEFORMAT ">
        <w:r w:rsidR="00B51895">
          <w:instrText>(19)</w:instrText>
        </w:r>
      </w:fldSimple>
      <w:r w:rsidR="000E7505">
        <w:fldChar w:fldCharType="end"/>
      </w:r>
      <w:r>
        <w:t xml:space="preserve">, the expression in brackets is the value-to-sales ratio. In the second firm, the expression in brackets is the value-to-Noplat ratio, the inverse of the unlevered PE. </w:t>
      </w:r>
    </w:p>
    <w:p w14:paraId="23704B53" w14:textId="77777777" w:rsidR="00C3558D" w:rsidRDefault="008C6575" w:rsidP="000E5E5B">
      <w:r>
        <w:t>Here, the analyst must estimate or specify the long-term N</w:t>
      </w:r>
      <w:r w:rsidR="00EB3157">
        <w:t>oplat</w:t>
      </w:r>
      <w:r>
        <w:t xml:space="preserve">/Sales ratio </w:t>
      </w:r>
      <w:r w:rsidRPr="00DC2E51">
        <w:rPr>
          <w:i/>
        </w:rPr>
        <w:t>m</w:t>
      </w:r>
      <w:r>
        <w:t xml:space="preserve">, the long-term growth rate </w:t>
      </w:r>
      <w:r w:rsidRPr="00DC2E51">
        <w:rPr>
          <w:i/>
        </w:rPr>
        <w:t>g</w:t>
      </w:r>
      <w:r>
        <w:t xml:space="preserve">, and the long </w:t>
      </w:r>
      <w:r w:rsidR="00DC2E51">
        <w:t xml:space="preserve">incremental capital-to-sales ratio </w:t>
      </w:r>
      <w:r w:rsidR="00DC2E51" w:rsidRPr="00DC2E51">
        <w:rPr>
          <w:i/>
        </w:rPr>
        <w:t>J</w:t>
      </w:r>
      <w:r w:rsidR="00DC2E51">
        <w:t xml:space="preserve">, keeping in mind that the return on incremental invested capital is </w:t>
      </w:r>
      <w:r w:rsidR="00DC2E51" w:rsidRPr="008C6575">
        <w:rPr>
          <w:position w:val="-6"/>
        </w:rPr>
        <w:object w:dxaOrig="900" w:dyaOrig="279" w14:anchorId="7CA8BDA4">
          <v:shape id="_x0000_i1060" type="#_x0000_t75" style="width:45pt;height:14.25pt" o:ole="">
            <v:imagedata r:id="rId72" o:title=""/>
          </v:shape>
          <o:OLEObject Type="Embed" ProgID="Equation.DSMT4" ShapeID="_x0000_i1060" DrawAspect="Content" ObjectID="_1837606024" r:id="rId76"/>
        </w:object>
      </w:r>
      <w:r w:rsidR="00DC2E51">
        <w:t xml:space="preserve">. The analyst must </w:t>
      </w:r>
      <w:proofErr w:type="gramStart"/>
      <w:r w:rsidR="00DC2E51">
        <w:t>than</w:t>
      </w:r>
      <w:proofErr w:type="gramEnd"/>
      <w:r w:rsidR="00DC2E51">
        <w:t xml:space="preserve"> estimate or specify short-term levels of these three parameters, </w:t>
      </w:r>
      <w:r w:rsidR="00DC2E51" w:rsidRPr="00DC2E51">
        <w:rPr>
          <w:position w:val="-12"/>
        </w:rPr>
        <w:object w:dxaOrig="1460" w:dyaOrig="360" w14:anchorId="708034D6">
          <v:shape id="_x0000_i1061" type="#_x0000_t75" style="width:72.75pt;height:18pt" o:ole="">
            <v:imagedata r:id="rId77" o:title=""/>
          </v:shape>
          <o:OLEObject Type="Embed" ProgID="Equation.DSMT4" ShapeID="_x0000_i1061" DrawAspect="Content" ObjectID="_1837606025" r:id="rId78"/>
        </w:object>
      </w:r>
      <w:r w:rsidR="00DC2E51">
        <w:t xml:space="preserve">keeping in mind that </w:t>
      </w:r>
      <w:r w:rsidR="00DC2E51" w:rsidRPr="00DC2E51">
        <w:rPr>
          <w:position w:val="-12"/>
        </w:rPr>
        <w:object w:dxaOrig="1080" w:dyaOrig="360" w14:anchorId="0177E41E">
          <v:shape id="_x0000_i1062" type="#_x0000_t75" style="width:54pt;height:18pt" o:ole="">
            <v:imagedata r:id="rId79" o:title=""/>
          </v:shape>
          <o:OLEObject Type="Embed" ProgID="Equation.DSMT4" ShapeID="_x0000_i1062" DrawAspect="Content" ObjectID="_1837606026" r:id="rId80"/>
        </w:object>
      </w:r>
      <w:r w:rsidR="00DC2E51">
        <w:t xml:space="preserve">. Finally, the analyst must specify the number of years </w:t>
      </w:r>
      <w:r w:rsidR="00DC2E51" w:rsidRPr="00DC2E51">
        <w:rPr>
          <w:i/>
        </w:rPr>
        <w:t>N</w:t>
      </w:r>
      <w:r w:rsidR="00DC2E51">
        <w:t xml:space="preserve"> over which the short-term conditions hold. </w:t>
      </w:r>
    </w:p>
    <w:p w14:paraId="26066E3E" w14:textId="77777777" w:rsidR="00DC2E51" w:rsidRDefault="008F77E8" w:rsidP="008F77E8">
      <w:pPr>
        <w:pStyle w:val="Heading3"/>
      </w:pPr>
      <w:r>
        <w:t xml:space="preserve">Estimating J and </w:t>
      </w:r>
      <w:r w:rsidR="00370389">
        <w:t>r</w:t>
      </w:r>
    </w:p>
    <w:p w14:paraId="5FC0181D" w14:textId="77777777" w:rsidR="008F77E8" w:rsidRDefault="008F77E8" w:rsidP="008F77E8">
      <w:r>
        <w:t xml:space="preserve">The traditional and standard way of estimating ROIC is the ratio of NOPLAT to InvestedCapital. This ratio is best calculated based on a one-year lagged value of InvestedCapital, or an average level of InvestedCapital over the past year. The idea is simply that today's earnings are the fruits of yesterday's capital. </w:t>
      </w:r>
    </w:p>
    <w:p w14:paraId="6769F756" w14:textId="77777777" w:rsidR="008F77E8" w:rsidRDefault="008F77E8" w:rsidP="008F77E8">
      <w:r>
        <w:t xml:space="preserve">One problem with this approach is that the valuation models want the incremental return on new investment, not the ratio of all return to all past investment. Sticking with the gross simplification that investment pays off soon after it is made, it is helpful to look at the estimation of </w:t>
      </w:r>
      <w:r w:rsidRPr="008F77E8">
        <w:rPr>
          <w:i/>
        </w:rPr>
        <w:t>J</w:t>
      </w:r>
      <w:r>
        <w:t xml:space="preserve"> in the margin-based valuation models. </w:t>
      </w:r>
      <w:r w:rsidRPr="008F77E8">
        <w:rPr>
          <w:i/>
        </w:rPr>
        <w:t>J</w:t>
      </w:r>
      <w:r>
        <w:t xml:space="preserve"> is the incremental investment required to support an extra $1 in </w:t>
      </w:r>
      <w:r>
        <w:lastRenderedPageBreak/>
        <w:t>sales. In situations where this is the better model, we think of investment as being induced by growth in sales, rather than driving growth. One way of estimating J is to realize that</w:t>
      </w:r>
    </w:p>
    <w:p w14:paraId="6742802C" w14:textId="77777777" w:rsidR="008F77E8" w:rsidRDefault="008F77E8" w:rsidP="008F77E8">
      <w:pPr>
        <w:pStyle w:val="MTDisplayEquation"/>
      </w:pPr>
      <w:r>
        <w:tab/>
      </w:r>
      <w:r w:rsidRPr="008F77E8">
        <w:rPr>
          <w:position w:val="-24"/>
        </w:rPr>
        <w:object w:dxaOrig="1939" w:dyaOrig="620" w14:anchorId="6F76F570">
          <v:shape id="_x0000_i1063" type="#_x0000_t75" style="width:96.75pt;height:30.75pt" o:ole="">
            <v:imagedata r:id="rId81" o:title=""/>
          </v:shape>
          <o:OLEObject Type="Embed" ProgID="Equation.DSMT4" ShapeID="_x0000_i1063" DrawAspect="Content" ObjectID="_1837606027" r:id="rId82"/>
        </w:objec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r>
        <w:instrText>(</w:instrText>
      </w:r>
      <w:fldSimple w:instr=" SEQ MTEqn \c \* Arabic \* MERGEFORMAT ">
        <w:r w:rsidR="00B51895">
          <w:rPr>
            <w:noProof/>
          </w:rPr>
          <w:instrText>20</w:instrText>
        </w:r>
      </w:fldSimple>
      <w:r>
        <w:instrText>)</w:instrText>
      </w:r>
      <w:r w:rsidR="000E7505">
        <w:fldChar w:fldCharType="end"/>
      </w:r>
    </w:p>
    <w:p w14:paraId="7D3C0155" w14:textId="77777777" w:rsidR="008F77E8" w:rsidRDefault="00697CE5" w:rsidP="008F77E8">
      <w:r>
        <w:t>which can be manipulated to become</w:t>
      </w:r>
    </w:p>
    <w:p w14:paraId="020C028F" w14:textId="77777777" w:rsidR="00697CE5" w:rsidRDefault="00697CE5" w:rsidP="00697CE5">
      <w:pPr>
        <w:pStyle w:val="MTDisplayEquation"/>
      </w:pPr>
      <w:r>
        <w:tab/>
      </w:r>
      <w:r w:rsidRPr="00697CE5">
        <w:rPr>
          <w:position w:val="-30"/>
        </w:rPr>
        <w:object w:dxaOrig="2340" w:dyaOrig="680" w14:anchorId="41B2BFC7">
          <v:shape id="_x0000_i1064" type="#_x0000_t75" style="width:117pt;height:33.75pt" o:ole="">
            <v:imagedata r:id="rId83" o:title=""/>
          </v:shape>
          <o:OLEObject Type="Embed" ProgID="Equation.DSMT4" ShapeID="_x0000_i1064" DrawAspect="Content" ObjectID="_1837606028" r:id="rId84"/>
        </w:object>
      </w:r>
      <w:r>
        <w:t>.</w:t>
      </w:r>
      <w:r>
        <w:tab/>
      </w:r>
      <w:r w:rsidR="000E7505">
        <w:fldChar w:fldCharType="begin"/>
      </w:r>
      <w:r>
        <w:instrText xml:space="preserve"> MACROBUTTON MTPlaceRef \* MERGEFORMAT </w:instrText>
      </w:r>
      <w:r w:rsidR="000E7505">
        <w:fldChar w:fldCharType="begin"/>
      </w:r>
      <w:r>
        <w:instrText xml:space="preserve"> SEQ MTEqn \h \* MERGEFORMAT </w:instrText>
      </w:r>
      <w:r w:rsidR="000E7505">
        <w:fldChar w:fldCharType="end"/>
      </w:r>
      <w:r>
        <w:instrText>(</w:instrText>
      </w:r>
      <w:fldSimple w:instr=" SEQ MTEqn \c \* Arabic \* MERGEFORMAT ">
        <w:r w:rsidR="00B51895">
          <w:rPr>
            <w:noProof/>
          </w:rPr>
          <w:instrText>21</w:instrText>
        </w:r>
      </w:fldSimple>
      <w:r>
        <w:instrText>)</w:instrText>
      </w:r>
      <w:r w:rsidR="000E7505">
        <w:fldChar w:fldCharType="end"/>
      </w:r>
    </w:p>
    <w:p w14:paraId="21CAD1FC" w14:textId="77777777" w:rsidR="00697CE5" w:rsidRDefault="00697CE5" w:rsidP="008F77E8">
      <w:r>
        <w:t xml:space="preserve">Thus, the incremental capital-to-sales ratio is the average </w:t>
      </w:r>
      <w:r w:rsidRPr="001B068C">
        <w:rPr>
          <w:i/>
        </w:rPr>
        <w:t>level</w:t>
      </w:r>
      <w:r>
        <w:t xml:space="preserve"> of capital-to-sales times the ratio of the growth rate </w:t>
      </w:r>
      <w:r w:rsidR="001B068C">
        <w:t>of</w:t>
      </w:r>
      <w:r>
        <w:t xml:space="preserve"> capital to the growth rate </w:t>
      </w:r>
      <w:r w:rsidR="001B068C">
        <w:t>of</w:t>
      </w:r>
      <w:r>
        <w:t xml:space="preserve"> sales. Each of these can be estimated from several years of data. </w:t>
      </w:r>
    </w:p>
    <w:sectPr w:rsidR="00697CE5" w:rsidSect="00540062">
      <w:headerReference w:type="even" r:id="rId85"/>
      <w:headerReference w:type="default" r:id="rId86"/>
      <w:footerReference w:type="even" r:id="rId87"/>
      <w:footerReference w:type="default" r:id="rId88"/>
      <w:headerReference w:type="first" r:id="rId89"/>
      <w:footerReference w:type="first" r:id="rId90"/>
      <w:pgSz w:w="12240" w:h="15840" w:code="1"/>
      <w:pgMar w:top="1440" w:right="1800" w:bottom="1440" w:left="18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B9A69" w14:textId="77777777" w:rsidR="00A178AB" w:rsidRDefault="00A178AB">
      <w:pPr>
        <w:spacing w:before="0"/>
      </w:pPr>
      <w:r>
        <w:separator/>
      </w:r>
    </w:p>
  </w:endnote>
  <w:endnote w:type="continuationSeparator" w:id="0">
    <w:p w14:paraId="1C9360E2" w14:textId="77777777" w:rsidR="00A178AB" w:rsidRDefault="00A178A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B9D0E" w14:textId="77777777" w:rsidR="00E52F93" w:rsidRDefault="00E52F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6E1F" w14:textId="77777777" w:rsidR="005264DF" w:rsidRDefault="005264DF">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EABE" w14:textId="08C484AC" w:rsidR="00E52F93" w:rsidRDefault="00E52F93" w:rsidP="00E52F93">
    <w:pPr>
      <w:pStyle w:val="Footer"/>
      <w:pBdr>
        <w:bottom w:val="single" w:sz="12" w:space="1" w:color="auto"/>
      </w:pBdr>
    </w:pPr>
  </w:p>
  <w:p w14:paraId="17574711" w14:textId="7BA4B078" w:rsidR="005264DF" w:rsidRPr="00E52F93" w:rsidRDefault="00E52F93" w:rsidP="00E52F93">
    <w:pPr>
      <w:pStyle w:val="Footer"/>
    </w:pPr>
    <w:r w:rsidRPr="00E52F93">
      <w:t>©2010 Richard P. Rumelt. This work is licensed under a Creative Commons Attribution NonCommercial 4.0 International License (CC BY-NC 4.0). You may copy, 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C8963" w14:textId="77777777" w:rsidR="00A178AB" w:rsidRDefault="00A178AB">
      <w:pPr>
        <w:spacing w:before="0"/>
      </w:pPr>
      <w:r>
        <w:separator/>
      </w:r>
    </w:p>
  </w:footnote>
  <w:footnote w:type="continuationSeparator" w:id="0">
    <w:p w14:paraId="45F00D69" w14:textId="77777777" w:rsidR="00A178AB" w:rsidRDefault="00A178AB">
      <w:pPr>
        <w:spacing w:before="0"/>
      </w:pPr>
      <w:r>
        <w:continuationSeparator/>
      </w:r>
    </w:p>
  </w:footnote>
  <w:footnote w:id="1">
    <w:p w14:paraId="42536AA0" w14:textId="77777777" w:rsidR="00C3558D" w:rsidRDefault="00C3558D" w:rsidP="00C3558D">
      <w:pPr>
        <w:pStyle w:val="FootnoteText"/>
      </w:pPr>
      <w:r>
        <w:rPr>
          <w:rStyle w:val="FootnoteReference"/>
        </w:rPr>
        <w:footnoteRef/>
      </w:r>
      <w:r>
        <w:t xml:space="preserve">The version of this formula provided by Copeland, Koller, and Murrin (page 278) is incorrect.  The exponents in their version should be changed </w:t>
      </w:r>
      <w:proofErr w:type="gramStart"/>
      <w:r>
        <w:t xml:space="preserve">from  </w:t>
      </w:r>
      <w:r>
        <w:rPr>
          <w:i/>
        </w:rPr>
        <w:t>N</w:t>
      </w:r>
      <w:proofErr w:type="gramEnd"/>
      <w:r>
        <w:rPr>
          <w:i/>
        </w:rPr>
        <w:t>-</w:t>
      </w:r>
      <w:proofErr w:type="gramStart"/>
      <w:r>
        <w:rPr>
          <w:i/>
        </w:rPr>
        <w:t>1</w:t>
      </w:r>
      <w:r>
        <w:t xml:space="preserve">  to</w:t>
      </w:r>
      <w:proofErr w:type="gramEnd"/>
      <w:r>
        <w:t xml:space="preserve"> </w:t>
      </w:r>
      <w:r>
        <w:rPr>
          <w:i/>
        </w:rPr>
        <w:t>N</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D2F9C" w14:textId="77777777" w:rsidR="00E52F93" w:rsidRDefault="00E52F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41B2B" w14:textId="2A34AA6B" w:rsidR="005264DF" w:rsidRDefault="0023697D" w:rsidP="00540062">
    <w:pPr>
      <w:pStyle w:val="Header"/>
      <w:tabs>
        <w:tab w:val="clear" w:pos="4320"/>
        <w:tab w:val="clear" w:pos="8640"/>
        <w:tab w:val="right" w:pos="8550"/>
        <w:tab w:val="right" w:pos="12870"/>
      </w:tabs>
      <w:spacing w:before="0"/>
    </w:pPr>
    <w:r>
      <w:rPr>
        <w:rFonts w:ascii="Arial" w:hAnsi="Arial" w:cs="Arial"/>
        <w:bCs/>
        <w:kern w:val="28"/>
      </w:rPr>
      <w:t>Valuation Models</w:t>
    </w:r>
    <w:r w:rsidR="005264DF">
      <w:tab/>
    </w:r>
    <w:r w:rsidR="000E7505">
      <w:rPr>
        <w:rStyle w:val="PageNumber"/>
      </w:rPr>
      <w:fldChar w:fldCharType="begin"/>
    </w:r>
    <w:r w:rsidR="005264DF">
      <w:rPr>
        <w:rStyle w:val="PageNumber"/>
      </w:rPr>
      <w:instrText xml:space="preserve"> PAGE </w:instrText>
    </w:r>
    <w:r w:rsidR="000E7505">
      <w:rPr>
        <w:rStyle w:val="PageNumber"/>
      </w:rPr>
      <w:fldChar w:fldCharType="separate"/>
    </w:r>
    <w:r w:rsidR="005002DB">
      <w:rPr>
        <w:rStyle w:val="PageNumber"/>
        <w:noProof/>
      </w:rPr>
      <w:t>3</w:t>
    </w:r>
    <w:r w:rsidR="000E7505">
      <w:rPr>
        <w:rStyle w:val="PageNumber"/>
      </w:rPr>
      <w:fldChar w:fldCharType="end"/>
    </w:r>
    <w:r w:rsidR="005264DF">
      <w:tab/>
    </w:r>
  </w:p>
  <w:p w14:paraId="46030003" w14:textId="77777777" w:rsidR="005264DF" w:rsidRDefault="005264DF">
    <w:pPr>
      <w:pStyle w:val="Header"/>
      <w:tabs>
        <w:tab w:val="clear" w:pos="4320"/>
      </w:tabs>
      <w:spacing w:befor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969C6" w14:textId="6071CF5E" w:rsidR="005264DF" w:rsidRDefault="005264DF">
    <w:pPr>
      <w:pStyle w:val="Header"/>
      <w:tabs>
        <w:tab w:val="clear" w:pos="4320"/>
      </w:tabs>
      <w:spacing w:before="0"/>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C49"/>
    <w:multiLevelType w:val="hybridMultilevel"/>
    <w:tmpl w:val="901636BE"/>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1A5733F2"/>
    <w:multiLevelType w:val="hybridMultilevel"/>
    <w:tmpl w:val="33709A9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76920B1"/>
    <w:multiLevelType w:val="hybridMultilevel"/>
    <w:tmpl w:val="AE9878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5583F32"/>
    <w:multiLevelType w:val="hybridMultilevel"/>
    <w:tmpl w:val="632C0DBC"/>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 w15:restartNumberingAfterBreak="0">
    <w:nsid w:val="368E154D"/>
    <w:multiLevelType w:val="hybridMultilevel"/>
    <w:tmpl w:val="5204FD06"/>
    <w:lvl w:ilvl="0" w:tplc="C9C2A30A">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3A091914"/>
    <w:multiLevelType w:val="hybridMultilevel"/>
    <w:tmpl w:val="81A64A52"/>
    <w:lvl w:ilvl="0" w:tplc="060AFEE6">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09733F2"/>
    <w:multiLevelType w:val="hybridMultilevel"/>
    <w:tmpl w:val="C43E1922"/>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7143604A"/>
    <w:multiLevelType w:val="hybridMultilevel"/>
    <w:tmpl w:val="6316E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9667029">
    <w:abstractNumId w:val="4"/>
  </w:num>
  <w:num w:numId="2" w16cid:durableId="1104224550">
    <w:abstractNumId w:val="3"/>
  </w:num>
  <w:num w:numId="3" w16cid:durableId="146675618">
    <w:abstractNumId w:val="1"/>
  </w:num>
  <w:num w:numId="4" w16cid:durableId="1387800561">
    <w:abstractNumId w:val="0"/>
  </w:num>
  <w:num w:numId="5" w16cid:durableId="1301494049">
    <w:abstractNumId w:val="5"/>
  </w:num>
  <w:num w:numId="6" w16cid:durableId="1491756064">
    <w:abstractNumId w:val="6"/>
  </w:num>
  <w:num w:numId="7" w16cid:durableId="1769815732">
    <w:abstractNumId w:val="2"/>
  </w:num>
  <w:num w:numId="8" w16cid:durableId="14480428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rawingGridHorizontalSpacing w:val="110"/>
  <w:displayHorizontalDrawingGridEvery w:val="0"/>
  <w:displayVerticalDrawingGridEvery w:val="0"/>
  <w:noPunctuationKerning/>
  <w:characterSpacingControl w:val="doNotCompress"/>
  <w:hdrShapeDefaults>
    <o:shapedefaults v:ext="edit" spidmax="2050" fill="f" fillcolor="window" stroke="f">
      <v:fill color="window" on="f"/>
      <v:stroke on="f"/>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7DB3"/>
    <w:rsid w:val="00023194"/>
    <w:rsid w:val="00076F0C"/>
    <w:rsid w:val="000778FE"/>
    <w:rsid w:val="00091270"/>
    <w:rsid w:val="00095BC6"/>
    <w:rsid w:val="000973D3"/>
    <w:rsid w:val="000A000B"/>
    <w:rsid w:val="000E5E5B"/>
    <w:rsid w:val="000E7505"/>
    <w:rsid w:val="000F24D5"/>
    <w:rsid w:val="00101066"/>
    <w:rsid w:val="00115C62"/>
    <w:rsid w:val="00136A35"/>
    <w:rsid w:val="00185BBC"/>
    <w:rsid w:val="001A0593"/>
    <w:rsid w:val="001B068C"/>
    <w:rsid w:val="001E5680"/>
    <w:rsid w:val="001E6BBC"/>
    <w:rsid w:val="00203603"/>
    <w:rsid w:val="0020385C"/>
    <w:rsid w:val="0023697D"/>
    <w:rsid w:val="00244B6A"/>
    <w:rsid w:val="00252EF3"/>
    <w:rsid w:val="00253BDE"/>
    <w:rsid w:val="002D4B5C"/>
    <w:rsid w:val="00336E9D"/>
    <w:rsid w:val="003562C7"/>
    <w:rsid w:val="00361371"/>
    <w:rsid w:val="00370389"/>
    <w:rsid w:val="003A1D37"/>
    <w:rsid w:val="003A4A01"/>
    <w:rsid w:val="003D1B16"/>
    <w:rsid w:val="003E02C4"/>
    <w:rsid w:val="003E4201"/>
    <w:rsid w:val="003F2A86"/>
    <w:rsid w:val="004214F4"/>
    <w:rsid w:val="00421C41"/>
    <w:rsid w:val="004435C8"/>
    <w:rsid w:val="0045309A"/>
    <w:rsid w:val="00466EB9"/>
    <w:rsid w:val="00482A03"/>
    <w:rsid w:val="0049424A"/>
    <w:rsid w:val="004A45A9"/>
    <w:rsid w:val="004C4589"/>
    <w:rsid w:val="004E6F25"/>
    <w:rsid w:val="004F00CC"/>
    <w:rsid w:val="005002DB"/>
    <w:rsid w:val="00523F5A"/>
    <w:rsid w:val="005264DF"/>
    <w:rsid w:val="00540062"/>
    <w:rsid w:val="005535AE"/>
    <w:rsid w:val="00581020"/>
    <w:rsid w:val="00591212"/>
    <w:rsid w:val="005C331A"/>
    <w:rsid w:val="005E65CD"/>
    <w:rsid w:val="005F43D1"/>
    <w:rsid w:val="0060214A"/>
    <w:rsid w:val="00602F58"/>
    <w:rsid w:val="00697CE5"/>
    <w:rsid w:val="006A250D"/>
    <w:rsid w:val="006D147B"/>
    <w:rsid w:val="006E295D"/>
    <w:rsid w:val="006E5BD8"/>
    <w:rsid w:val="006E693D"/>
    <w:rsid w:val="00703915"/>
    <w:rsid w:val="00751C75"/>
    <w:rsid w:val="00761252"/>
    <w:rsid w:val="007A7670"/>
    <w:rsid w:val="007B4525"/>
    <w:rsid w:val="007F4683"/>
    <w:rsid w:val="007F54E3"/>
    <w:rsid w:val="00800E1D"/>
    <w:rsid w:val="00823B3D"/>
    <w:rsid w:val="0085571C"/>
    <w:rsid w:val="00855C5B"/>
    <w:rsid w:val="008768AE"/>
    <w:rsid w:val="008B5F13"/>
    <w:rsid w:val="008C6575"/>
    <w:rsid w:val="008C7545"/>
    <w:rsid w:val="008E6835"/>
    <w:rsid w:val="008F77E8"/>
    <w:rsid w:val="00906B97"/>
    <w:rsid w:val="00923502"/>
    <w:rsid w:val="00935987"/>
    <w:rsid w:val="0096583C"/>
    <w:rsid w:val="009A745C"/>
    <w:rsid w:val="009B6C53"/>
    <w:rsid w:val="009D7A46"/>
    <w:rsid w:val="00A121BD"/>
    <w:rsid w:val="00A178AB"/>
    <w:rsid w:val="00A226B4"/>
    <w:rsid w:val="00A32C19"/>
    <w:rsid w:val="00A8001D"/>
    <w:rsid w:val="00AE5F34"/>
    <w:rsid w:val="00AF7DB3"/>
    <w:rsid w:val="00B31A23"/>
    <w:rsid w:val="00B44647"/>
    <w:rsid w:val="00B50108"/>
    <w:rsid w:val="00B51895"/>
    <w:rsid w:val="00B85839"/>
    <w:rsid w:val="00BC7E06"/>
    <w:rsid w:val="00BD23D6"/>
    <w:rsid w:val="00BE2C92"/>
    <w:rsid w:val="00C3558D"/>
    <w:rsid w:val="00C37C47"/>
    <w:rsid w:val="00C519AD"/>
    <w:rsid w:val="00CA4694"/>
    <w:rsid w:val="00CB118D"/>
    <w:rsid w:val="00CC758F"/>
    <w:rsid w:val="00D127D6"/>
    <w:rsid w:val="00D13226"/>
    <w:rsid w:val="00D35EFA"/>
    <w:rsid w:val="00D97184"/>
    <w:rsid w:val="00DB1D1F"/>
    <w:rsid w:val="00DC2E51"/>
    <w:rsid w:val="00DC45C0"/>
    <w:rsid w:val="00DC52D5"/>
    <w:rsid w:val="00DC765B"/>
    <w:rsid w:val="00DD1D36"/>
    <w:rsid w:val="00DD6048"/>
    <w:rsid w:val="00DE6912"/>
    <w:rsid w:val="00DF6F56"/>
    <w:rsid w:val="00E06C8C"/>
    <w:rsid w:val="00E2128C"/>
    <w:rsid w:val="00E26362"/>
    <w:rsid w:val="00E363E4"/>
    <w:rsid w:val="00E42928"/>
    <w:rsid w:val="00E516A5"/>
    <w:rsid w:val="00E52F93"/>
    <w:rsid w:val="00E62F74"/>
    <w:rsid w:val="00EB3157"/>
    <w:rsid w:val="00ED6A5C"/>
    <w:rsid w:val="00EE1052"/>
    <w:rsid w:val="00F0008F"/>
    <w:rsid w:val="00F23323"/>
    <w:rsid w:val="00F50EC2"/>
    <w:rsid w:val="00F54162"/>
    <w:rsid w:val="00F56D3F"/>
    <w:rsid w:val="00FB2AC6"/>
    <w:rsid w:val="00FF2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indow" stroke="f">
      <v:fill color="window" on="f"/>
      <v:stroke on="f"/>
    </o:shapedefaults>
    <o:shapelayout v:ext="edit">
      <o:idmap v:ext="edit" data="2"/>
    </o:shapelayout>
  </w:shapeDefaults>
  <w:decimalSymbol w:val="."/>
  <w:listSeparator w:val=","/>
  <w14:docId w14:val="46699307"/>
  <w15:docId w15:val="{7D28CF11-D6CE-46CC-B0B4-794EE152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58D"/>
    <w:pPr>
      <w:spacing w:before="120"/>
      <w:jc w:val="both"/>
    </w:pPr>
    <w:rPr>
      <w:sz w:val="22"/>
    </w:rPr>
  </w:style>
  <w:style w:type="paragraph" w:styleId="Heading1">
    <w:name w:val="heading 1"/>
    <w:basedOn w:val="Normal"/>
    <w:next w:val="Normal"/>
    <w:qFormat/>
    <w:rsid w:val="00C3558D"/>
    <w:pPr>
      <w:keepNext/>
      <w:spacing w:before="240" w:after="60"/>
      <w:outlineLvl w:val="0"/>
    </w:pPr>
    <w:rPr>
      <w:rFonts w:ascii="Arial" w:hAnsi="Arial"/>
      <w:b/>
      <w:kern w:val="28"/>
      <w:sz w:val="28"/>
    </w:rPr>
  </w:style>
  <w:style w:type="paragraph" w:styleId="Heading2">
    <w:name w:val="heading 2"/>
    <w:basedOn w:val="Normal"/>
    <w:next w:val="Normal"/>
    <w:qFormat/>
    <w:rsid w:val="00C3558D"/>
    <w:pPr>
      <w:keepNext/>
      <w:spacing w:before="240" w:after="60"/>
      <w:jc w:val="center"/>
      <w:outlineLvl w:val="1"/>
    </w:pPr>
    <w:rPr>
      <w:rFonts w:ascii="Arial" w:hAnsi="Arial"/>
      <w:b/>
      <w:i/>
      <w:sz w:val="24"/>
    </w:rPr>
  </w:style>
  <w:style w:type="paragraph" w:styleId="Heading3">
    <w:name w:val="heading 3"/>
    <w:basedOn w:val="Normal"/>
    <w:next w:val="Normal"/>
    <w:qFormat/>
    <w:rsid w:val="00136A35"/>
    <w:pPr>
      <w:keepNext/>
      <w:spacing w:after="240"/>
      <w:jc w:val="center"/>
      <w:outlineLvl w:val="2"/>
    </w:pPr>
    <w:rPr>
      <w:rFonts w:ascii="Arial" w:hAnsi="Arial" w:cs="Arial"/>
      <w:b/>
      <w:bCs/>
      <w:kern w:val="24"/>
      <w:sz w:val="24"/>
    </w:rPr>
  </w:style>
  <w:style w:type="paragraph" w:styleId="Heading4">
    <w:name w:val="heading 4"/>
    <w:basedOn w:val="Normal"/>
    <w:next w:val="Normal"/>
    <w:qFormat/>
    <w:rsid w:val="00C3558D"/>
    <w:pPr>
      <w:keepNext/>
      <w:ind w:hanging="10"/>
      <w:outlineLvl w:val="3"/>
    </w:pPr>
    <w:rPr>
      <w:rFonts w:ascii="Arial" w:hAnsi="Arial" w:cs="Arial"/>
      <w:b/>
      <w:bCs/>
      <w:sz w:val="20"/>
    </w:rPr>
  </w:style>
  <w:style w:type="paragraph" w:styleId="Heading5">
    <w:name w:val="heading 5"/>
    <w:basedOn w:val="Normal"/>
    <w:next w:val="Normal"/>
    <w:qFormat/>
    <w:rsid w:val="00C3558D"/>
    <w:pPr>
      <w:keepNext/>
      <w:jc w:val="center"/>
      <w:outlineLvl w:val="4"/>
    </w:pPr>
    <w:rPr>
      <w:b/>
      <w:bCs/>
    </w:rPr>
  </w:style>
  <w:style w:type="paragraph" w:styleId="Heading7">
    <w:name w:val="heading 7"/>
    <w:basedOn w:val="Normal"/>
    <w:next w:val="Normal"/>
    <w:qFormat/>
    <w:rsid w:val="00C3558D"/>
    <w:pPr>
      <w:keepNext/>
      <w:jc w:val="cente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dent">
    <w:name w:val="nodent"/>
    <w:basedOn w:val="Normal"/>
    <w:rsid w:val="00C3558D"/>
  </w:style>
  <w:style w:type="paragraph" w:customStyle="1" w:styleId="MTDisplayEquation">
    <w:name w:val="MTDisplayEquation"/>
    <w:basedOn w:val="Normal"/>
    <w:rsid w:val="00C3558D"/>
    <w:pPr>
      <w:tabs>
        <w:tab w:val="center" w:pos="4320"/>
        <w:tab w:val="right" w:pos="8640"/>
      </w:tabs>
    </w:pPr>
  </w:style>
  <w:style w:type="paragraph" w:styleId="FootnoteText">
    <w:name w:val="footnote text"/>
    <w:basedOn w:val="Normal"/>
    <w:semiHidden/>
    <w:rsid w:val="00C3558D"/>
    <w:pPr>
      <w:ind w:firstLine="180"/>
    </w:pPr>
    <w:rPr>
      <w:sz w:val="20"/>
    </w:rPr>
  </w:style>
  <w:style w:type="character" w:styleId="FootnoteReference">
    <w:name w:val="footnote reference"/>
    <w:basedOn w:val="DefaultParagraphFont"/>
    <w:semiHidden/>
    <w:rsid w:val="00C3558D"/>
    <w:rPr>
      <w:vertAlign w:val="superscript"/>
    </w:rPr>
  </w:style>
  <w:style w:type="paragraph" w:customStyle="1" w:styleId="item">
    <w:name w:val="item"/>
    <w:basedOn w:val="nodent"/>
    <w:rsid w:val="00C3558D"/>
    <w:pPr>
      <w:tabs>
        <w:tab w:val="left" w:pos="1080"/>
      </w:tabs>
      <w:ind w:left="1080" w:hanging="360"/>
    </w:pPr>
  </w:style>
  <w:style w:type="character" w:customStyle="1" w:styleId="MTEquationSection">
    <w:name w:val="MTEquationSection"/>
    <w:basedOn w:val="DefaultParagraphFont"/>
    <w:rsid w:val="00C3558D"/>
    <w:rPr>
      <w:vanish/>
      <w:color w:val="FF0000"/>
    </w:rPr>
  </w:style>
  <w:style w:type="paragraph" w:styleId="Header">
    <w:name w:val="header"/>
    <w:basedOn w:val="Normal"/>
    <w:rsid w:val="00C3558D"/>
    <w:pPr>
      <w:tabs>
        <w:tab w:val="center" w:pos="4320"/>
        <w:tab w:val="right" w:pos="8640"/>
      </w:tabs>
    </w:pPr>
  </w:style>
  <w:style w:type="paragraph" w:styleId="Footer">
    <w:name w:val="footer"/>
    <w:basedOn w:val="Normal"/>
    <w:rsid w:val="00C3558D"/>
    <w:pPr>
      <w:tabs>
        <w:tab w:val="center" w:pos="4320"/>
        <w:tab w:val="right" w:pos="8640"/>
      </w:tabs>
    </w:pPr>
  </w:style>
  <w:style w:type="character" w:styleId="PageNumber">
    <w:name w:val="page number"/>
    <w:basedOn w:val="DefaultParagraphFont"/>
    <w:rsid w:val="00C3558D"/>
  </w:style>
  <w:style w:type="character" w:styleId="Hyperlink">
    <w:name w:val="Hyperlink"/>
    <w:basedOn w:val="DefaultParagraphFont"/>
    <w:rsid w:val="00C3558D"/>
    <w:rPr>
      <w:color w:val="0000FF"/>
      <w:u w:val="single"/>
    </w:rPr>
  </w:style>
  <w:style w:type="paragraph" w:styleId="BodyText">
    <w:name w:val="Body Text"/>
    <w:basedOn w:val="Normal"/>
    <w:rsid w:val="00C3558D"/>
    <w:rPr>
      <w:sz w:val="24"/>
      <w:szCs w:val="24"/>
    </w:rPr>
  </w:style>
  <w:style w:type="paragraph" w:customStyle="1" w:styleId="Exhibit">
    <w:name w:val="Exhibit"/>
    <w:basedOn w:val="Normal"/>
    <w:rsid w:val="00C3558D"/>
    <w:pPr>
      <w:spacing w:after="120"/>
      <w:jc w:val="center"/>
    </w:pPr>
    <w:rPr>
      <w:b/>
      <w:bCs/>
    </w:rPr>
  </w:style>
  <w:style w:type="paragraph" w:styleId="Title">
    <w:name w:val="Title"/>
    <w:basedOn w:val="Normal"/>
    <w:qFormat/>
    <w:rsid w:val="00C3558D"/>
    <w:pPr>
      <w:spacing w:before="240" w:after="60"/>
      <w:jc w:val="center"/>
      <w:outlineLvl w:val="0"/>
    </w:pPr>
    <w:rPr>
      <w:rFonts w:ascii="Arial" w:hAnsi="Arial" w:cs="Arial"/>
      <w:b/>
      <w:bCs/>
      <w:kern w:val="28"/>
      <w:sz w:val="32"/>
      <w:szCs w:val="32"/>
    </w:rPr>
  </w:style>
  <w:style w:type="paragraph" w:customStyle="1" w:styleId="Tabletext">
    <w:name w:val="Table_text"/>
    <w:basedOn w:val="Normal"/>
    <w:rsid w:val="00C3558D"/>
    <w:pPr>
      <w:ind w:left="142"/>
    </w:pPr>
    <w:rPr>
      <w:rFonts w:ascii="Arial" w:hAnsi="Arial"/>
      <w:sz w:val="20"/>
    </w:rPr>
  </w:style>
  <w:style w:type="character" w:styleId="FollowedHyperlink">
    <w:name w:val="FollowedHyperlink"/>
    <w:basedOn w:val="DefaultParagraphFont"/>
    <w:rsid w:val="00C3558D"/>
    <w:rPr>
      <w:color w:val="800080"/>
      <w:u w:val="single"/>
    </w:rPr>
  </w:style>
  <w:style w:type="paragraph" w:customStyle="1" w:styleId="AGSM">
    <w:name w:val="AGSM"/>
    <w:basedOn w:val="Heading1"/>
    <w:rsid w:val="00C3558D"/>
    <w:pPr>
      <w:framePr w:hSpace="180" w:wrap="notBeside" w:vAnchor="text" w:hAnchor="margin" w:y="-324"/>
      <w:spacing w:before="120" w:after="0"/>
    </w:pPr>
    <w:rPr>
      <w:rFonts w:ascii="Arial Black" w:hAnsi="Arial Black" w:cs="Arial"/>
      <w:sz w:val="24"/>
    </w:rPr>
  </w:style>
  <w:style w:type="paragraph" w:customStyle="1" w:styleId="IDNumber">
    <w:name w:val="ID_Number"/>
    <w:basedOn w:val="Heading1"/>
    <w:rsid w:val="00C3558D"/>
    <w:pPr>
      <w:framePr w:hSpace="180" w:wrap="notBeside" w:vAnchor="text" w:hAnchor="margin" w:y="-324"/>
      <w:spacing w:before="120" w:after="0"/>
      <w:jc w:val="right"/>
    </w:pPr>
    <w:rPr>
      <w:rFonts w:cs="Arial"/>
      <w:b w:val="0"/>
      <w:bCs/>
      <w:sz w:val="22"/>
    </w:rPr>
  </w:style>
  <w:style w:type="paragraph" w:customStyle="1" w:styleId="Copyright">
    <w:name w:val="Copyright"/>
    <w:basedOn w:val="Heading4"/>
    <w:rsid w:val="00C3558D"/>
    <w:rPr>
      <w:b w:val="0"/>
      <w:bCs w:val="0"/>
      <w:sz w:val="18"/>
    </w:rPr>
  </w:style>
  <w:style w:type="paragraph" w:customStyle="1" w:styleId="TableInTitle">
    <w:name w:val="Table_In_Title"/>
    <w:basedOn w:val="Tabletext"/>
    <w:rsid w:val="00C3558D"/>
    <w:pPr>
      <w:jc w:val="center"/>
    </w:pPr>
    <w:rPr>
      <w:rFonts w:cs="Arial"/>
      <w:b/>
      <w:bCs/>
    </w:rPr>
  </w:style>
  <w:style w:type="paragraph" w:styleId="BodyText2">
    <w:name w:val="Body Text 2"/>
    <w:basedOn w:val="Normal"/>
    <w:rsid w:val="00C3558D"/>
    <w:pPr>
      <w:tabs>
        <w:tab w:val="left" w:pos="3150"/>
      </w:tabs>
      <w:jc w:val="left"/>
    </w:pPr>
  </w:style>
  <w:style w:type="character" w:customStyle="1" w:styleId="ExcelFunction">
    <w:name w:val="Excel Function"/>
    <w:basedOn w:val="DefaultParagraphFont"/>
    <w:rsid w:val="00C3558D"/>
    <w:rPr>
      <w:rFonts w:ascii="Arial" w:hAnsi="Arial"/>
      <w:b/>
      <w:smallCaps/>
      <w:sz w:val="20"/>
    </w:rPr>
  </w:style>
  <w:style w:type="table" w:styleId="TableGrid">
    <w:name w:val="Table Grid"/>
    <w:basedOn w:val="TableNormal"/>
    <w:uiPriority w:val="59"/>
    <w:rsid w:val="00C3558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yle10ptPatternClearGray-10">
    <w:name w:val="Style 10 pt Pattern: Clear (Gray-10%)"/>
    <w:basedOn w:val="DefaultParagraphFont"/>
    <w:rsid w:val="00C3558D"/>
    <w:rPr>
      <w:sz w:val="20"/>
      <w:bdr w:val="none" w:sz="0" w:space="0" w:color="auto"/>
      <w:shd w:val="clear" w:color="auto" w:fill="auto"/>
    </w:rPr>
  </w:style>
  <w:style w:type="paragraph" w:styleId="DocumentMap">
    <w:name w:val="Document Map"/>
    <w:basedOn w:val="Normal"/>
    <w:link w:val="DocumentMapChar"/>
    <w:uiPriority w:val="99"/>
    <w:semiHidden/>
    <w:unhideWhenUsed/>
    <w:rsid w:val="006E693D"/>
    <w:rPr>
      <w:rFonts w:ascii="Tahoma" w:hAnsi="Tahoma" w:cs="Tahoma"/>
      <w:sz w:val="16"/>
      <w:szCs w:val="16"/>
    </w:rPr>
  </w:style>
  <w:style w:type="character" w:customStyle="1" w:styleId="DocumentMapChar">
    <w:name w:val="Document Map Char"/>
    <w:basedOn w:val="DefaultParagraphFont"/>
    <w:link w:val="DocumentMap"/>
    <w:uiPriority w:val="99"/>
    <w:semiHidden/>
    <w:rsid w:val="006E693D"/>
    <w:rPr>
      <w:rFonts w:ascii="Tahoma" w:hAnsi="Tahoma" w:cs="Tahoma"/>
      <w:sz w:val="16"/>
      <w:szCs w:val="16"/>
    </w:rPr>
  </w:style>
  <w:style w:type="paragraph" w:styleId="BodyTextIndent">
    <w:name w:val="Body Text Indent"/>
    <w:basedOn w:val="Normal"/>
    <w:link w:val="BodyTextIndentChar"/>
    <w:rsid w:val="000E5E5B"/>
    <w:pPr>
      <w:shd w:val="clear" w:color="auto" w:fill="D9D9D9"/>
      <w:ind w:firstLine="720"/>
    </w:pPr>
  </w:style>
  <w:style w:type="character" w:customStyle="1" w:styleId="BodyTextIndentChar">
    <w:name w:val="Body Text Indent Char"/>
    <w:basedOn w:val="DefaultParagraphFont"/>
    <w:link w:val="BodyTextIndent"/>
    <w:rsid w:val="000E5E5B"/>
    <w:rPr>
      <w:sz w:val="22"/>
      <w:shd w:val="clear" w:color="auto" w:fill="D9D9D9"/>
    </w:rPr>
  </w:style>
  <w:style w:type="table" w:styleId="TableElegant">
    <w:name w:val="Table Elegant"/>
    <w:basedOn w:val="TableNormal"/>
    <w:rsid w:val="000E5E5B"/>
    <w:pPr>
      <w:spacing w:before="120"/>
      <w:ind w:firstLine="72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semiHidden/>
    <w:unhideWhenUsed/>
    <w:rsid w:val="00B44647"/>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4647"/>
    <w:rPr>
      <w:rFonts w:ascii="Tahoma" w:hAnsi="Tahoma" w:cs="Tahoma"/>
      <w:sz w:val="16"/>
      <w:szCs w:val="16"/>
    </w:rPr>
  </w:style>
  <w:style w:type="paragraph" w:styleId="Caption">
    <w:name w:val="caption"/>
    <w:basedOn w:val="Normal"/>
    <w:next w:val="Normal"/>
    <w:uiPriority w:val="35"/>
    <w:unhideWhenUsed/>
    <w:qFormat/>
    <w:rsid w:val="00B44647"/>
    <w:rPr>
      <w:b/>
      <w:bCs/>
      <w:sz w:val="20"/>
    </w:rPr>
  </w:style>
  <w:style w:type="paragraph" w:styleId="NormalWeb">
    <w:name w:val="Normal (Web)"/>
    <w:basedOn w:val="Normal"/>
    <w:uiPriority w:val="99"/>
    <w:semiHidden/>
    <w:unhideWhenUsed/>
    <w:rsid w:val="00421C41"/>
    <w:pPr>
      <w:spacing w:before="100" w:beforeAutospacing="1" w:after="100" w:afterAutospacing="1"/>
      <w:jc w:val="left"/>
    </w:pPr>
    <w:rPr>
      <w:sz w:val="24"/>
      <w:szCs w:val="24"/>
    </w:rPr>
  </w:style>
  <w:style w:type="paragraph" w:customStyle="1" w:styleId="display">
    <w:name w:val="display"/>
    <w:basedOn w:val="Normal"/>
    <w:rsid w:val="00C3558D"/>
    <w:pPr>
      <w:tabs>
        <w:tab w:val="left" w:pos="1440"/>
        <w:tab w:val="left" w:pos="5760"/>
        <w:tab w:val="right" w:pos="8640"/>
      </w:tabs>
      <w:spacing w:before="72" w:after="72" w:line="180" w:lineRule="atLeast"/>
    </w:pPr>
  </w:style>
  <w:style w:type="paragraph" w:customStyle="1" w:styleId="section">
    <w:name w:val="section"/>
    <w:basedOn w:val="Normal"/>
    <w:rsid w:val="00C3558D"/>
    <w:pPr>
      <w:keepNext/>
      <w:tabs>
        <w:tab w:val="left" w:pos="720"/>
      </w:tabs>
      <w:spacing w:after="120" w:line="180" w:lineRule="atLeast"/>
      <w:jc w:val="center"/>
    </w:pPr>
    <w:rPr>
      <w:b/>
      <w:smallCaps/>
    </w:rPr>
  </w:style>
  <w:style w:type="paragraph" w:customStyle="1" w:styleId="subsection">
    <w:name w:val="subsection"/>
    <w:basedOn w:val="section"/>
    <w:rsid w:val="00C3558D"/>
    <w:pPr>
      <w:jc w:val="left"/>
    </w:pPr>
    <w:rPr>
      <w:i/>
      <w:small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641572">
      <w:bodyDiv w:val="1"/>
      <w:marLeft w:val="0"/>
      <w:marRight w:val="0"/>
      <w:marTop w:val="0"/>
      <w:marBottom w:val="0"/>
      <w:divBdr>
        <w:top w:val="none" w:sz="0" w:space="0" w:color="auto"/>
        <w:left w:val="none" w:sz="0" w:space="0" w:color="auto"/>
        <w:bottom w:val="none" w:sz="0" w:space="0" w:color="auto"/>
        <w:right w:val="none" w:sz="0" w:space="0" w:color="auto"/>
      </w:divBdr>
    </w:div>
    <w:div w:id="300966920">
      <w:bodyDiv w:val="1"/>
      <w:marLeft w:val="0"/>
      <w:marRight w:val="0"/>
      <w:marTop w:val="0"/>
      <w:marBottom w:val="0"/>
      <w:divBdr>
        <w:top w:val="none" w:sz="0" w:space="0" w:color="auto"/>
        <w:left w:val="none" w:sz="0" w:space="0" w:color="auto"/>
        <w:bottom w:val="none" w:sz="0" w:space="0" w:color="auto"/>
        <w:right w:val="none" w:sz="0" w:space="0" w:color="auto"/>
      </w:divBdr>
    </w:div>
    <w:div w:id="571811658">
      <w:bodyDiv w:val="1"/>
      <w:marLeft w:val="0"/>
      <w:marRight w:val="0"/>
      <w:marTop w:val="0"/>
      <w:marBottom w:val="0"/>
      <w:divBdr>
        <w:top w:val="none" w:sz="0" w:space="0" w:color="auto"/>
        <w:left w:val="none" w:sz="0" w:space="0" w:color="auto"/>
        <w:bottom w:val="none" w:sz="0" w:space="0" w:color="auto"/>
        <w:right w:val="none" w:sz="0" w:space="0" w:color="auto"/>
      </w:divBdr>
    </w:div>
    <w:div w:id="810513929">
      <w:bodyDiv w:val="1"/>
      <w:marLeft w:val="0"/>
      <w:marRight w:val="0"/>
      <w:marTop w:val="0"/>
      <w:marBottom w:val="0"/>
      <w:divBdr>
        <w:top w:val="none" w:sz="0" w:space="0" w:color="auto"/>
        <w:left w:val="none" w:sz="0" w:space="0" w:color="auto"/>
        <w:bottom w:val="none" w:sz="0" w:space="0" w:color="auto"/>
        <w:right w:val="none" w:sz="0" w:space="0" w:color="auto"/>
      </w:divBdr>
    </w:div>
    <w:div w:id="1235045031">
      <w:bodyDiv w:val="1"/>
      <w:marLeft w:val="0"/>
      <w:marRight w:val="0"/>
      <w:marTop w:val="0"/>
      <w:marBottom w:val="0"/>
      <w:divBdr>
        <w:top w:val="none" w:sz="0" w:space="0" w:color="auto"/>
        <w:left w:val="none" w:sz="0" w:space="0" w:color="auto"/>
        <w:bottom w:val="none" w:sz="0" w:space="0" w:color="auto"/>
        <w:right w:val="none" w:sz="0" w:space="0" w:color="auto"/>
      </w:divBdr>
    </w:div>
    <w:div w:id="1477797984">
      <w:bodyDiv w:val="1"/>
      <w:marLeft w:val="0"/>
      <w:marRight w:val="0"/>
      <w:marTop w:val="0"/>
      <w:marBottom w:val="0"/>
      <w:divBdr>
        <w:top w:val="none" w:sz="0" w:space="0" w:color="auto"/>
        <w:left w:val="none" w:sz="0" w:space="0" w:color="auto"/>
        <w:bottom w:val="none" w:sz="0" w:space="0" w:color="auto"/>
        <w:right w:val="none" w:sz="0" w:space="0" w:color="auto"/>
      </w:divBdr>
      <w:divsChild>
        <w:div w:id="1564945790">
          <w:marLeft w:val="0"/>
          <w:marRight w:val="0"/>
          <w:marTop w:val="0"/>
          <w:marBottom w:val="0"/>
          <w:divBdr>
            <w:top w:val="none" w:sz="0" w:space="0" w:color="auto"/>
            <w:left w:val="none" w:sz="0" w:space="0" w:color="auto"/>
            <w:bottom w:val="none" w:sz="0" w:space="0" w:color="auto"/>
            <w:right w:val="none" w:sz="0" w:space="0" w:color="auto"/>
          </w:divBdr>
        </w:div>
      </w:divsChild>
    </w:div>
    <w:div w:id="1889411756">
      <w:bodyDiv w:val="1"/>
      <w:marLeft w:val="0"/>
      <w:marRight w:val="0"/>
      <w:marTop w:val="0"/>
      <w:marBottom w:val="0"/>
      <w:divBdr>
        <w:top w:val="none" w:sz="0" w:space="0" w:color="auto"/>
        <w:left w:val="none" w:sz="0" w:space="0" w:color="auto"/>
        <w:bottom w:val="none" w:sz="0" w:space="0" w:color="auto"/>
        <w:right w:val="none" w:sz="0" w:space="0" w:color="auto"/>
      </w:divBdr>
    </w:div>
    <w:div w:id="1922181060">
      <w:bodyDiv w:val="1"/>
      <w:marLeft w:val="0"/>
      <w:marRight w:val="0"/>
      <w:marTop w:val="0"/>
      <w:marBottom w:val="0"/>
      <w:divBdr>
        <w:top w:val="none" w:sz="0" w:space="0" w:color="auto"/>
        <w:left w:val="none" w:sz="0" w:space="0" w:color="auto"/>
        <w:bottom w:val="none" w:sz="0" w:space="0" w:color="auto"/>
        <w:right w:val="none" w:sz="0" w:space="0" w:color="auto"/>
      </w:divBdr>
    </w:div>
    <w:div w:id="1990867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image" Target="media/image30.wmf"/><Relationship Id="rId84" Type="http://schemas.openxmlformats.org/officeDocument/2006/relationships/oleObject" Target="embeddings/oleObject40.bin"/><Relationship Id="rId89" Type="http://schemas.openxmlformats.org/officeDocument/2006/relationships/header" Target="header3.xml"/><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image" Target="media/image23.wmf"/><Relationship Id="rId58" Type="http://schemas.openxmlformats.org/officeDocument/2006/relationships/oleObject" Target="embeddings/oleObject26.bin"/><Relationship Id="rId74" Type="http://schemas.openxmlformats.org/officeDocument/2006/relationships/image" Target="media/image33.wmf"/><Relationship Id="rId79" Type="http://schemas.openxmlformats.org/officeDocument/2006/relationships/image" Target="media/image35.wmf"/><Relationship Id="rId5" Type="http://schemas.openxmlformats.org/officeDocument/2006/relationships/webSettings" Target="webSettings.xml"/><Relationship Id="rId90" Type="http://schemas.openxmlformats.org/officeDocument/2006/relationships/footer" Target="footer3.xml"/><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oleObject" Target="embeddings/oleObject32.bin"/><Relationship Id="rId77" Type="http://schemas.openxmlformats.org/officeDocument/2006/relationships/image" Target="media/image34.wmf"/><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image" Target="media/image32.wmf"/><Relationship Id="rId80" Type="http://schemas.openxmlformats.org/officeDocument/2006/relationships/oleObject" Target="embeddings/oleObject38.bin"/><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oleObject" Target="embeddings/oleObject20.bin"/><Relationship Id="rId59" Type="http://schemas.openxmlformats.org/officeDocument/2006/relationships/image" Target="media/image26.wmf"/><Relationship Id="rId67" Type="http://schemas.openxmlformats.org/officeDocument/2006/relationships/oleObject" Target="embeddings/oleObject31.bin"/><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image" Target="media/image31.wmf"/><Relationship Id="rId75" Type="http://schemas.openxmlformats.org/officeDocument/2006/relationships/oleObject" Target="embeddings/oleObject35.bin"/><Relationship Id="rId83" Type="http://schemas.openxmlformats.org/officeDocument/2006/relationships/image" Target="media/image37.wmf"/><Relationship Id="rId88" Type="http://schemas.openxmlformats.org/officeDocument/2006/relationships/footer" Target="footer2.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image" Target="media/image21.wmf"/><Relationship Id="rId57" Type="http://schemas.openxmlformats.org/officeDocument/2006/relationships/image" Target="media/image25.wmf"/><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29.wmf"/><Relationship Id="rId73" Type="http://schemas.openxmlformats.org/officeDocument/2006/relationships/oleObject" Target="embeddings/oleObject34.bin"/><Relationship Id="rId78" Type="http://schemas.openxmlformats.org/officeDocument/2006/relationships/oleObject" Target="embeddings/oleObject37.bin"/><Relationship Id="rId81" Type="http://schemas.openxmlformats.org/officeDocument/2006/relationships/image" Target="media/image36.wmf"/><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oleObject" Target="embeddings/oleObject22.bin"/><Relationship Id="rId55" Type="http://schemas.openxmlformats.org/officeDocument/2006/relationships/image" Target="media/image24.wmf"/><Relationship Id="rId76" Type="http://schemas.openxmlformats.org/officeDocument/2006/relationships/oleObject" Target="embeddings/oleObject36.bin"/><Relationship Id="rId7" Type="http://schemas.openxmlformats.org/officeDocument/2006/relationships/endnotes" Target="endnotes.xml"/><Relationship Id="rId71" Type="http://schemas.openxmlformats.org/officeDocument/2006/relationships/oleObject" Target="embeddings/oleObject33.bin"/><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oleObject" Target="embeddings/oleObject30.bin"/><Relationship Id="rId87" Type="http://schemas.openxmlformats.org/officeDocument/2006/relationships/footer" Target="footer1.xml"/><Relationship Id="rId61" Type="http://schemas.openxmlformats.org/officeDocument/2006/relationships/image" Target="media/image27.wmf"/><Relationship Id="rId82" Type="http://schemas.openxmlformats.org/officeDocument/2006/relationships/oleObject" Target="embeddings/oleObject39.bin"/><Relationship Id="rId19" Type="http://schemas.openxmlformats.org/officeDocument/2006/relationships/oleObject" Target="embeddings/oleObject6.bin"/></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Numbers%201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C80CA8-453E-4ACC-9B67-489529094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Numbers 101.dot</Template>
  <TotalTime>2</TotalTime>
  <Pages>5</Pages>
  <Words>2097</Words>
  <Characters>9563</Characters>
  <Application>Microsoft Office Word</Application>
  <DocSecurity>0</DocSecurity>
  <Lines>203</Lines>
  <Paragraphs>115</Paragraphs>
  <ScaleCrop>false</ScaleCrop>
  <HeadingPairs>
    <vt:vector size="2" baseType="variant">
      <vt:variant>
        <vt:lpstr>Title</vt:lpstr>
      </vt:variant>
      <vt:variant>
        <vt:i4>1</vt:i4>
      </vt:variant>
    </vt:vector>
  </HeadingPairs>
  <TitlesOfParts>
    <vt:vector size="1" baseType="lpstr">
      <vt:lpstr>Margins, Markups, and Break-Evens</vt:lpstr>
    </vt:vector>
  </TitlesOfParts>
  <Company>The Anderson School at UCLA</Company>
  <LinksUpToDate>false</LinksUpToDate>
  <CharactersWithSpaces>11545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Margins, Markups, and Break-Evens</dc:title>
  <dc:creator>Richard P. Rumelt</dc:creator>
  <cp:lastModifiedBy>Richard Rumelt</cp:lastModifiedBy>
  <cp:revision>3</cp:revision>
  <cp:lastPrinted>2010-04-27T00:34:00Z</cp:lastPrinted>
  <dcterms:created xsi:type="dcterms:W3CDTF">2026-04-13T22:31:00Z</dcterms:created>
  <dcterms:modified xsi:type="dcterms:W3CDTF">2026-04-13T22:54:00Z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