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MODEL RİSKİ YÖNETİMİ (MRM)</w:t>
      </w:r>
    </w:p>
    <w:p>
      <w:pPr>
        <w:jc w:val="center"/>
      </w:pPr>
      <w:r>
        <w:rPr>
          <w:b/>
          <w:color w:val="2E5496"/>
          <w:sz w:val="32"/>
        </w:rPr>
        <w:t>Archer Entegrasyonu – İş Analizi ve Çözüm Tasarımı Dokümanı</w:t>
      </w:r>
    </w:p>
    <w:p/>
    <w:p>
      <w:pPr>
        <w:jc w:val="center"/>
      </w:pPr>
      <w:r>
        <w:rPr>
          <w:b/>
          <w:color w:val="595959"/>
          <w:sz w:val="24"/>
        </w:rPr>
        <w:t>Hedef birim: Yazılım Geliştirme Daire Başkanlığı</w:t>
      </w:r>
    </w:p>
    <w:p>
      <w:pPr>
        <w:jc w:val="center"/>
      </w:pPr>
      <w:r>
        <w:rPr>
          <w:b w:val="0"/>
          <w:color w:val="595959"/>
          <w:sz w:val="22"/>
        </w:rPr>
        <w:t>Doküman türü: İş analizi / gereklilik ve çözüm tasarımı taslağı</w:t>
      </w:r>
    </w:p>
    <w:p>
      <w:pPr>
        <w:jc w:val="center"/>
      </w:pPr>
      <w:r>
        <w:rPr>
          <w:b w:val="0"/>
          <w:color w:val="595959"/>
          <w:sz w:val="22"/>
        </w:rPr>
        <w:t>Statü: Taslak v0.1 — regülasyon araştırmasına dayalı, gözden geçirme bekliyor</w:t>
      </w:r>
    </w:p>
    <w:p/>
    <w:p>
      <w:pPr>
        <w:jc w:val="center"/>
      </w:pPr>
      <w:r>
        <w:rPr>
          <w:i/>
          <w:color w:val="595959"/>
          <w:sz w:val="19"/>
        </w:rPr>
        <w:t>Bu doküman, ekteki “MRM_Archer_İş_Analizi_Gereklilik_Kitabı.xlsx” çalışma kitabı ile birlikte kullanılır. Anlatı ve mimari bu dokümanda; alan-seviyesi tasarım, gereklilik matrisi ve regülasyon eşlemesi Excel’dedir.</w:t>
      </w:r>
    </w:p>
    <w:p>
      <w:r>
        <w:br w:type="page"/>
      </w:r>
    </w:p>
    <w:p>
      <w:pPr>
        <w:pStyle w:val="Heading1"/>
      </w:pPr>
      <w:r>
        <w:t>1. Yönetici Özeti</w:t>
      </w:r>
    </w:p>
    <w:p>
      <w:pPr>
        <w:spacing w:after="120"/>
      </w:pPr>
      <w:r>
        <w:rPr>
          <w:i w:val="0"/>
          <w:sz w:val="21"/>
        </w:rPr>
        <w:t>Banka, kredi, piyasa, operasyonel ve karşı taraf risk modellerinden TFRS 9 beklenen kredi zararı, İSEDES sermaye, ALM/IRRBB, AML/suistimal, fiyatlama-değerleme modellerine ve giderek artan yapay zekâ (AI/ML) ve üretken yapay zekâ (GenAI) uygulamalarına kadar geniş bir model portföyü işletmektedir. Bu modellerin hatalı veya amaç dışı kullanımından doğan “model riski”, uluslararası düzenlemelerde artık kendi başına yönetilmesi gereken bir risk türü olarak ele alınmaktadır.</w:t>
      </w:r>
    </w:p>
    <w:p>
      <w:pPr>
        <w:spacing w:after="120"/>
      </w:pPr>
      <w:r>
        <w:rPr>
          <w:i w:val="0"/>
          <w:sz w:val="21"/>
        </w:rPr>
        <w:t>Bu doküman; bankanın tüm model ve algoritmalarının tek bir kurumsal envanterde toplanması, kritikliğe göre derecelendirilmesi, bağımsız validasyonu, sürekli izlenmesi, etki analizleri ve yönetişiminin uçtan uca bir süreç olarak mevcut Archer platformu üzerinde tesis edilmesi için gereklilikleri ve çözüm tasarımını tanımlar.</w:t>
      </w:r>
    </w:p>
    <w:p>
      <w:pPr>
        <w:spacing w:after="120"/>
      </w:pPr>
      <w:r>
        <w:rPr>
          <w:i w:val="0"/>
          <w:sz w:val="21"/>
        </w:rPr>
        <w:t>Tasarım, dört uluslararası çerçevenin ortak omurgasına (US Fed SR 11-7, OSFI E-23:2027, PRA SS1/23, ECB TRIM) ve AI/ML için EU AI Act + NIST AI RMF gerekliliklerine dayandırılmıştır. Türkiye’de (BDDK) bugün müstakil bir model riski yönetimi düzenlemesi bulunmamakta; ancak model, validasyon ve backtesting yükümlülükleri İSEDES/İç Sistemler Yönetmeliği, IRB/AMA validasyon rehberi (Rehber #16) ve TFRS 9 karşılık rejimine dağılmış durumdadır. Çözüm, bu mevcut yükümlülükleri bugünden karşılayacak; BDDK müstakil bir MRM düzenlemesi yayımladığında ise uyumun bir yeniden mimari değil, bir konfigürasyon/kapsam çalışması olmasını sağlayacak biçimde “ileriye dönük uyumlu” kurgulanmıştır.</w:t>
      </w:r>
    </w:p>
    <w:p>
      <w:pPr>
        <w:spacing w:after="120"/>
      </w:pPr>
      <w:r>
        <w:rPr>
          <w:i w:val="0"/>
          <w:sz w:val="21"/>
        </w:rPr>
        <w:t>Çözümün belkemiği, mevcut Archer uygulamalarının yeniden kullanımıdır: yeni bir “Model Riski Yönetimi” workspace’i altında Model Envanteri, Model Validasyonu, Kritiklik Değerlendirmesi, AI/ML Ek Değerlendirmesi, Model Değişiklik ve PMA/İstisna uygulamaları kurgulanırken; Bulgular, Aksiyon Planları, Metrikler/Metrik Sonuçları, Kontroller, Risk/Risk Hiyerarşisi, Organizasyon Hiyerarşisi, Tedarikçi, Uygulamalar/Donanımlar, Bilgi Varlıkları, Yasal Mevzuatlar ve Politikalar mevcut uygulamalar cross-reference ile bağlanır.</w:t>
      </w:r>
    </w:p>
    <w:p>
      <w:pPr>
        <w:spacing w:after="120"/>
      </w:pPr>
      <w:r>
        <w:rPr>
          <w:i w:val="0"/>
          <w:sz w:val="21"/>
        </w:rPr>
        <w:t>Uygulama dört fazda önerilir: F1 Temel Envanter &amp; Yönetişim (MVP), F2 Validasyon &amp; Bulgu Döngüsü, F3 İzleme &amp; Raporlama, F4 AI/ML İleri &amp; Entegrasyon.</w:t>
      </w:r>
    </w:p>
    <w:p>
      <w:pPr>
        <w:pStyle w:val="Heading1"/>
      </w:pPr>
      <w:r>
        <w:t>2. Amaç ve Kapsam</w:t>
      </w:r>
    </w:p>
    <w:p>
      <w:pPr>
        <w:pStyle w:val="Heading2"/>
      </w:pPr>
      <w:r>
        <w:t>2.1 Amaç</w:t>
      </w:r>
    </w:p>
    <w:p>
      <w:pPr>
        <w:pStyle w:val="ListBullet"/>
      </w:pPr>
      <w:r>
        <w:rPr>
          <w:b/>
          <w:sz w:val="21"/>
        </w:rPr>
        <w:t>Kurumsal envanter</w:t>
      </w:r>
      <w:r>
        <w:rPr>
          <w:sz w:val="21"/>
        </w:rPr>
        <w:t xml:space="preserve"> – Bankanın tüm modellerinin ve algoritmalarının tek bir kurum geneli envanterde izlenmesi.</w:t>
      </w:r>
    </w:p>
    <w:p>
      <w:pPr>
        <w:pStyle w:val="ListBullet"/>
      </w:pPr>
      <w:r>
        <w:rPr>
          <w:b/>
          <w:sz w:val="21"/>
        </w:rPr>
        <w:t>Risk-tabanlı yönetim</w:t>
      </w:r>
      <w:r>
        <w:rPr>
          <w:sz w:val="21"/>
        </w:rPr>
        <w:t xml:space="preserve"> – Modellerin materyalite ve karmaşıklığa göre derecelendirilmesi (tiering) ve buna göre orantılı yönetim.</w:t>
      </w:r>
    </w:p>
    <w:p>
      <w:pPr>
        <w:pStyle w:val="ListBullet"/>
      </w:pPr>
      <w:r>
        <w:rPr>
          <w:b/>
          <w:sz w:val="21"/>
        </w:rPr>
        <w:t>Bağımsız validasyon</w:t>
      </w:r>
      <w:r>
        <w:rPr>
          <w:sz w:val="21"/>
        </w:rPr>
        <w:t xml:space="preserve"> – Geliştirmeden bağımsız, etkin sorgulama (effective challenge) yeteneğine sahip validasyon süreci.</w:t>
      </w:r>
    </w:p>
    <w:p>
      <w:pPr>
        <w:pStyle w:val="ListBullet"/>
      </w:pPr>
      <w:r>
        <w:rPr>
          <w:b/>
          <w:sz w:val="21"/>
        </w:rPr>
        <w:t>Sürekli izleme</w:t>
      </w:r>
      <w:r>
        <w:rPr>
          <w:sz w:val="21"/>
        </w:rPr>
        <w:t xml:space="preserve"> – Performansın sürekli izlenmesi, etki analizleri, bulgu ve remediation döngüsü.</w:t>
      </w:r>
    </w:p>
    <w:p>
      <w:pPr>
        <w:pStyle w:val="ListBullet"/>
      </w:pPr>
      <w:r>
        <w:rPr>
          <w:b/>
          <w:sz w:val="21"/>
        </w:rPr>
        <w:t>İleriye dönük uyum</w:t>
      </w:r>
      <w:r>
        <w:rPr>
          <w:sz w:val="21"/>
        </w:rPr>
        <w:t xml:space="preserve"> – Bugünkü BDDK yükümlülüklerini karşılarken gelecekteki MRM düzenlemesine hazır olma.</w:t>
      </w:r>
    </w:p>
    <w:p>
      <w:pPr>
        <w:pStyle w:val="Heading2"/>
      </w:pPr>
      <w:r>
        <w:t>2.2 Kapsam (model evreni)</w:t>
      </w:r>
    </w:p>
    <w:p>
      <w:pPr>
        <w:spacing w:after="120"/>
      </w:pPr>
      <w:r>
        <w:rPr>
          <w:i w:val="0"/>
          <w:sz w:val="21"/>
        </w:rPr>
        <w:t>Kapsam, risk türünden ve teknolojiden bağımsız olarak bankanın kararlarını etkileyen tüm modelleri içerir:</w:t>
      </w:r>
    </w:p>
    <w:p>
      <w:pPr>
        <w:pStyle w:val="ListBullet"/>
      </w:pPr>
      <w:r>
        <w:rPr>
          <w:sz w:val="21"/>
        </w:rPr>
        <w:t>Risk türleri: Kredi/IRB, Piyasa/VaR, Operasyonel/AMA, Karşı Taraf/CVA, TFRS 9 BKZ, İSEDES sermaye, ALM/IRRBB, AML/suistimal, fiyatlama ve değerleme modelleri.</w:t>
      </w:r>
    </w:p>
    <w:p>
      <w:pPr>
        <w:pStyle w:val="ListBullet"/>
      </w:pPr>
      <w:r>
        <w:rPr>
          <w:sz w:val="21"/>
        </w:rPr>
        <w:t>Teknoloji sınıfları: geleneksel istatistiksel modeller, AI/ML modelleri, GenAI/temel modeller, deterministik/kural-tabanlı algoritmalar (materyal ve karmaşık olduklarında).</w:t>
      </w:r>
    </w:p>
    <w:p>
      <w:pPr>
        <w:pStyle w:val="ListBullet"/>
      </w:pPr>
      <w:r>
        <w:rPr>
          <w:sz w:val="21"/>
        </w:rPr>
        <w:t>Köken: iç geliştirme, satıcı (vendor) ve grup-ana modeller.</w:t>
      </w:r>
    </w:p>
    <w:p>
      <w:pPr>
        <w:spacing w:after="120"/>
      </w:pPr>
      <w:r>
        <w:rPr>
          <w:i/>
          <w:sz w:val="21"/>
        </w:rPr>
        <w:t>Kapsam dışı: Materyal ve karmaşık olmayan basit deterministik hesaplamalar ve EUC’ler için asgari yönetim kontrolleri yeterlidir; bunlar envanterde işaretlenir ancak tam yaşam döngüsü yönetimine tabi tutulmaz.</w:t>
      </w:r>
    </w:p>
    <w:p>
      <w:pPr>
        <w:pStyle w:val="Heading1"/>
      </w:pPr>
      <w:r>
        <w:t>3. Tanımlar ve Kısaltmalar</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1F3864"/>
          </w:tcPr>
          <w:p>
            <w:pPr>
              <w:jc w:val="left"/>
            </w:pPr>
            <w:r/>
            <w:r>
              <w:rPr>
                <w:rFonts w:ascii="Calibri" w:hAnsi="Calibri"/>
                <w:b/>
                <w:color w:val="FFFFFF"/>
                <w:sz w:val="19"/>
              </w:rPr>
              <w:t>Terim</w:t>
            </w:r>
          </w:p>
        </w:tc>
        <w:tc>
          <w:tcPr>
            <w:tcW w:type="dxa" w:w="7654"/>
            <w:shd w:val="clear" w:color="auto" w:fill="1F3864"/>
          </w:tcPr>
          <w:p>
            <w:pPr>
              <w:jc w:val="left"/>
            </w:pPr>
            <w:r/>
            <w:r>
              <w:rPr>
                <w:rFonts w:ascii="Calibri" w:hAnsi="Calibri"/>
                <w:b/>
                <w:color w:val="FFFFFF"/>
                <w:sz w:val="19"/>
              </w:rPr>
              <w:t>Açıklama</w:t>
            </w:r>
          </w:p>
        </w:tc>
      </w:tr>
      <w:tr>
        <w:tc>
          <w:tcPr>
            <w:tcW w:type="dxa" w:w="2551"/>
          </w:tcPr>
          <w:p>
            <w:pPr>
              <w:jc w:val="left"/>
            </w:pPr>
            <w:r/>
            <w:r>
              <w:rPr>
                <w:rFonts w:ascii="Calibri" w:hAnsi="Calibri"/>
                <w:b w:val="0"/>
                <w:sz w:val="19"/>
              </w:rPr>
              <w:t>Model</w:t>
            </w:r>
          </w:p>
        </w:tc>
        <w:tc>
          <w:tcPr>
            <w:tcW w:type="dxa" w:w="7654"/>
          </w:tcPr>
          <w:p>
            <w:pPr>
              <w:jc w:val="left"/>
            </w:pPr>
            <w:r/>
            <w:r>
              <w:rPr>
                <w:rFonts w:ascii="Calibri" w:hAnsi="Calibri"/>
                <w:b w:val="0"/>
                <w:sz w:val="19"/>
              </w:rPr>
              <w:t>Girdi veriyi (nicel/nitel/uzman görüşü) istatistiksel, ekonomik, finansal veya matematiksel teknikle işleyip çıktı üreten yöntem. Üç bileşen: girdi · işleme · raporlama/çıktı.</w:t>
            </w:r>
          </w:p>
        </w:tc>
      </w:tr>
      <w:tr>
        <w:tc>
          <w:tcPr>
            <w:tcW w:type="dxa" w:w="2551"/>
            <w:shd w:val="clear" w:color="auto" w:fill="F2F2F2"/>
          </w:tcPr>
          <w:p>
            <w:pPr>
              <w:jc w:val="left"/>
            </w:pPr>
            <w:r/>
            <w:r>
              <w:rPr>
                <w:rFonts w:ascii="Calibri" w:hAnsi="Calibri"/>
                <w:b w:val="0"/>
                <w:sz w:val="19"/>
              </w:rPr>
              <w:t>Model riski</w:t>
            </w:r>
          </w:p>
        </w:tc>
        <w:tc>
          <w:tcPr>
            <w:tcW w:type="dxa" w:w="7654"/>
            <w:shd w:val="clear" w:color="auto" w:fill="F2F2F2"/>
          </w:tcPr>
          <w:p>
            <w:pPr>
              <w:jc w:val="left"/>
            </w:pPr>
            <w:r/>
            <w:r>
              <w:rPr>
                <w:rFonts w:ascii="Calibri" w:hAnsi="Calibri"/>
                <w:b w:val="0"/>
                <w:sz w:val="19"/>
              </w:rPr>
              <w:t>Hatalı veya amaç dışı model çıktılarına dayanan kararlardan doğan olumsuz sonuç (finansal kayıp, hatalı karar, itibar zararı) potansiyeli. İki kaynak: temel hatalar; yanlış/uygunsuz kullanım.</w:t>
            </w:r>
          </w:p>
        </w:tc>
      </w:tr>
      <w:tr>
        <w:tc>
          <w:tcPr>
            <w:tcW w:type="dxa" w:w="2551"/>
          </w:tcPr>
          <w:p>
            <w:pPr>
              <w:jc w:val="left"/>
            </w:pPr>
            <w:r/>
            <w:r>
              <w:rPr>
                <w:rFonts w:ascii="Calibri" w:hAnsi="Calibri"/>
                <w:b w:val="0"/>
                <w:sz w:val="19"/>
              </w:rPr>
              <w:t>Model envanteri</w:t>
            </w:r>
          </w:p>
        </w:tc>
        <w:tc>
          <w:tcPr>
            <w:tcW w:type="dxa" w:w="7654"/>
          </w:tcPr>
          <w:p>
            <w:pPr>
              <w:jc w:val="left"/>
            </w:pPr>
            <w:r/>
            <w:r>
              <w:rPr>
                <w:rFonts w:ascii="Calibri" w:hAnsi="Calibri"/>
                <w:b w:val="0"/>
                <w:sz w:val="19"/>
              </w:rPr>
              <w:t>Tüm modellerin kayıt altına alındığı, kurum geneli, güncel (evergreen) sistem-of-record.</w:t>
            </w:r>
          </w:p>
        </w:tc>
      </w:tr>
      <w:tr>
        <w:tc>
          <w:tcPr>
            <w:tcW w:type="dxa" w:w="2551"/>
            <w:shd w:val="clear" w:color="auto" w:fill="F2F2F2"/>
          </w:tcPr>
          <w:p>
            <w:pPr>
              <w:jc w:val="left"/>
            </w:pPr>
            <w:r/>
            <w:r>
              <w:rPr>
                <w:rFonts w:ascii="Calibri" w:hAnsi="Calibri"/>
                <w:b w:val="0"/>
                <w:sz w:val="19"/>
              </w:rPr>
              <w:t>Tier / kritiklik</w:t>
            </w:r>
          </w:p>
        </w:tc>
        <w:tc>
          <w:tcPr>
            <w:tcW w:type="dxa" w:w="7654"/>
            <w:shd w:val="clear" w:color="auto" w:fill="F2F2F2"/>
          </w:tcPr>
          <w:p>
            <w:pPr>
              <w:jc w:val="left"/>
            </w:pPr>
            <w:r/>
            <w:r>
              <w:rPr>
                <w:rFonts w:ascii="Calibri" w:hAnsi="Calibri"/>
                <w:b w:val="0"/>
                <w:sz w:val="19"/>
              </w:rPr>
              <w:t>Materyalite + karmaşıklığa göre modele atanan risk derecesi; validasyon/izleme yoğunluk ve frekansını yönlendirir.</w:t>
            </w:r>
          </w:p>
        </w:tc>
      </w:tr>
      <w:tr>
        <w:tc>
          <w:tcPr>
            <w:tcW w:type="dxa" w:w="2551"/>
          </w:tcPr>
          <w:p>
            <w:pPr>
              <w:jc w:val="left"/>
            </w:pPr>
            <w:r/>
            <w:r>
              <w:rPr>
                <w:rFonts w:ascii="Calibri" w:hAnsi="Calibri"/>
                <w:b w:val="0"/>
                <w:sz w:val="19"/>
              </w:rPr>
              <w:t>Bağımsız validasyon</w:t>
            </w:r>
          </w:p>
        </w:tc>
        <w:tc>
          <w:tcPr>
            <w:tcW w:type="dxa" w:w="7654"/>
          </w:tcPr>
          <w:p>
            <w:pPr>
              <w:jc w:val="left"/>
            </w:pPr>
            <w:r/>
            <w:r>
              <w:rPr>
                <w:rFonts w:ascii="Calibri" w:hAnsi="Calibri"/>
                <w:b w:val="0"/>
                <w:sz w:val="19"/>
              </w:rPr>
              <w:t>Geliştirme ve kullanımdan bağımsız tarafça modelin kavramsal sağlamlık, süreç doğrulama ve çıktı analizi ile değerlendirilmesi.</w:t>
            </w:r>
          </w:p>
        </w:tc>
      </w:tr>
      <w:tr>
        <w:tc>
          <w:tcPr>
            <w:tcW w:type="dxa" w:w="2551"/>
            <w:shd w:val="clear" w:color="auto" w:fill="F2F2F2"/>
          </w:tcPr>
          <w:p>
            <w:pPr>
              <w:jc w:val="left"/>
            </w:pPr>
            <w:r/>
            <w:r>
              <w:rPr>
                <w:rFonts w:ascii="Calibri" w:hAnsi="Calibri"/>
                <w:b w:val="0"/>
                <w:sz w:val="19"/>
              </w:rPr>
              <w:t>Etkin sorgulama</w:t>
            </w:r>
          </w:p>
        </w:tc>
        <w:tc>
          <w:tcPr>
            <w:tcW w:type="dxa" w:w="7654"/>
            <w:shd w:val="clear" w:color="auto" w:fill="F2F2F2"/>
          </w:tcPr>
          <w:p>
            <w:pPr>
              <w:jc w:val="left"/>
            </w:pPr>
            <w:r/>
            <w:r>
              <w:rPr>
                <w:rFonts w:ascii="Calibri" w:hAnsi="Calibri"/>
                <w:b w:val="0"/>
                <w:sz w:val="19"/>
              </w:rPr>
              <w:t>Yetkin, bağımsız, teşvik ve etkiye sahip taraflarca modelin kritik analizi (effective challenge).</w:t>
            </w:r>
          </w:p>
        </w:tc>
      </w:tr>
      <w:tr>
        <w:tc>
          <w:tcPr>
            <w:tcW w:type="dxa" w:w="2551"/>
          </w:tcPr>
          <w:p>
            <w:pPr>
              <w:jc w:val="left"/>
            </w:pPr>
            <w:r/>
            <w:r>
              <w:rPr>
                <w:rFonts w:ascii="Calibri" w:hAnsi="Calibri"/>
                <w:b w:val="0"/>
                <w:sz w:val="19"/>
              </w:rPr>
              <w:t>Backtesting / benchmarking</w:t>
            </w:r>
          </w:p>
        </w:tc>
        <w:tc>
          <w:tcPr>
            <w:tcW w:type="dxa" w:w="7654"/>
          </w:tcPr>
          <w:p>
            <w:pPr>
              <w:jc w:val="left"/>
            </w:pPr>
            <w:r/>
            <w:r>
              <w:rPr>
                <w:rFonts w:ascii="Calibri" w:hAnsi="Calibri"/>
                <w:b w:val="0"/>
                <w:sz w:val="19"/>
              </w:rPr>
              <w:t>Model tahmininin gerçekleşenle (geriye dönük test) ve alternatif kaynaklarla (kıyaslama) karşılaştırılması.</w:t>
            </w:r>
          </w:p>
        </w:tc>
      </w:tr>
      <w:tr>
        <w:tc>
          <w:tcPr>
            <w:tcW w:type="dxa" w:w="2551"/>
            <w:shd w:val="clear" w:color="auto" w:fill="F2F2F2"/>
          </w:tcPr>
          <w:p>
            <w:pPr>
              <w:jc w:val="left"/>
            </w:pPr>
            <w:r/>
            <w:r>
              <w:rPr>
                <w:rFonts w:ascii="Calibri" w:hAnsi="Calibri"/>
                <w:b w:val="0"/>
                <w:sz w:val="19"/>
              </w:rPr>
              <w:t>PMA</w:t>
            </w:r>
          </w:p>
        </w:tc>
        <w:tc>
          <w:tcPr>
            <w:tcW w:type="dxa" w:w="7654"/>
            <w:shd w:val="clear" w:color="auto" w:fill="F2F2F2"/>
          </w:tcPr>
          <w:p>
            <w:pPr>
              <w:jc w:val="left"/>
            </w:pPr>
            <w:r/>
            <w:r>
              <w:rPr>
                <w:rFonts w:ascii="Calibri" w:hAnsi="Calibri"/>
                <w:b w:val="0"/>
                <w:sz w:val="19"/>
              </w:rPr>
              <w:t>Model sonrası düzeltme / overlay / override — modelin yeterince yansıtmadığı risk için çıktıya yapılan ayarlama.</w:t>
            </w:r>
          </w:p>
        </w:tc>
      </w:tr>
      <w:tr>
        <w:tc>
          <w:tcPr>
            <w:tcW w:type="dxa" w:w="2551"/>
          </w:tcPr>
          <w:p>
            <w:pPr>
              <w:jc w:val="left"/>
            </w:pPr>
            <w:r/>
            <w:r>
              <w:rPr>
                <w:rFonts w:ascii="Calibri" w:hAnsi="Calibri"/>
                <w:b w:val="0"/>
                <w:sz w:val="19"/>
              </w:rPr>
              <w:t>MRM</w:t>
            </w:r>
          </w:p>
        </w:tc>
        <w:tc>
          <w:tcPr>
            <w:tcW w:type="dxa" w:w="7654"/>
          </w:tcPr>
          <w:p>
            <w:pPr>
              <w:jc w:val="left"/>
            </w:pPr>
            <w:r/>
            <w:r>
              <w:rPr>
                <w:rFonts w:ascii="Calibri" w:hAnsi="Calibri"/>
                <w:b w:val="0"/>
                <w:sz w:val="19"/>
              </w:rPr>
              <w:t>Model Riski Yönetimi (Model Risk Management).</w:t>
            </w:r>
          </w:p>
        </w:tc>
      </w:tr>
      <w:tr>
        <w:tc>
          <w:tcPr>
            <w:tcW w:type="dxa" w:w="2551"/>
            <w:shd w:val="clear" w:color="auto" w:fill="F2F2F2"/>
          </w:tcPr>
          <w:p>
            <w:pPr>
              <w:jc w:val="left"/>
            </w:pPr>
            <w:r/>
            <w:r>
              <w:rPr>
                <w:rFonts w:ascii="Calibri" w:hAnsi="Calibri"/>
                <w:b w:val="0"/>
                <w:sz w:val="19"/>
              </w:rPr>
              <w:t>İSEDES</w:t>
            </w:r>
          </w:p>
        </w:tc>
        <w:tc>
          <w:tcPr>
            <w:tcW w:type="dxa" w:w="7654"/>
            <w:shd w:val="clear" w:color="auto" w:fill="F2F2F2"/>
          </w:tcPr>
          <w:p>
            <w:pPr>
              <w:jc w:val="left"/>
            </w:pPr>
            <w:r/>
            <w:r>
              <w:rPr>
                <w:rFonts w:ascii="Calibri" w:hAnsi="Calibri"/>
                <w:b w:val="0"/>
                <w:sz w:val="19"/>
              </w:rPr>
              <w:t>İçsel Sermaye Yeterliliği Değerlendirme Süreci (ICAAP).</w:t>
            </w:r>
          </w:p>
        </w:tc>
      </w:tr>
      <w:tr>
        <w:tc>
          <w:tcPr>
            <w:tcW w:type="dxa" w:w="2551"/>
          </w:tcPr>
          <w:p>
            <w:pPr>
              <w:jc w:val="left"/>
            </w:pPr>
            <w:r/>
            <w:r>
              <w:rPr>
                <w:rFonts w:ascii="Calibri" w:hAnsi="Calibri"/>
                <w:b w:val="0"/>
                <w:sz w:val="19"/>
              </w:rPr>
              <w:t>DDE</w:t>
            </w:r>
          </w:p>
        </w:tc>
        <w:tc>
          <w:tcPr>
            <w:tcW w:type="dxa" w:w="7654"/>
          </w:tcPr>
          <w:p>
            <w:pPr>
              <w:jc w:val="left"/>
            </w:pPr>
            <w:r/>
            <w:r>
              <w:rPr>
                <w:rFonts w:ascii="Calibri" w:hAnsi="Calibri"/>
                <w:b w:val="0"/>
                <w:sz w:val="19"/>
              </w:rPr>
              <w:t>Data-Driven Event (Archer’da veri-güdümlü olay/otomasyon).</w:t>
            </w:r>
          </w:p>
        </w:tc>
      </w:tr>
    </w:tbl>
    <w:p>
      <w:pPr>
        <w:pStyle w:val="Heading1"/>
      </w:pPr>
      <w:r>
        <w:t>4. Düzenleyici Çerçeve ve Referanslar</w:t>
      </w:r>
    </w:p>
    <w:p>
      <w:pPr>
        <w:spacing w:after="120"/>
      </w:pPr>
      <w:r>
        <w:rPr>
          <w:i w:val="0"/>
          <w:sz w:val="21"/>
        </w:rPr>
        <w:t>Aşağıdaki çerçeveler tasarımın gereklilik kaynağıdır. Ortak omurga: model tanımı, kurumsal envanter, risk-tabanlı tiering, bağımsız validasyon + etkin sorgulama, sürekli izleme + çıktı analizi/backtesting + benchmarking, board/üst yönetim gözetimi, kapsamlı dokümantasyon ve iç denetim güvencesi.</w:t>
      </w:r>
    </w:p>
    <w:p>
      <w:pPr>
        <w:pStyle w:val="Heading2"/>
      </w:pPr>
      <w:r>
        <w:t>4.1 Uluslararası çerçeveler</w:t>
      </w:r>
    </w:p>
    <w:p>
      <w:pPr>
        <w:pStyle w:val="ListBullet"/>
      </w:pPr>
      <w:r>
        <w:rPr>
          <w:b/>
          <w:sz w:val="21"/>
        </w:rPr>
        <w:t>US Fed SR 11-7 / OCC 2011-12</w:t>
      </w:r>
      <w:r>
        <w:rPr>
          <w:sz w:val="21"/>
        </w:rPr>
        <w:t xml:space="preserve"> – Model tanımı (3 bileşen), model riskinin iki kaynağı, üç temel unsur (geliştirme; validasyon; yönetişim/politika/kontrol), ‘effective challenge’ ve bağımsız validasyon, model envanteri ve risk-tabanlı yoğunluk. Prensip-bazlı, validasyon odaklı.</w:t>
      </w:r>
    </w:p>
    <w:p>
      <w:pPr>
        <w:pStyle w:val="ListBullet"/>
      </w:pPr>
      <w:r>
        <w:rPr>
          <w:b/>
          <w:sz w:val="21"/>
        </w:rPr>
        <w:t>OSFI E-23 (2027)</w:t>
      </w:r>
      <w:r>
        <w:rPr>
          <w:sz w:val="21"/>
        </w:rPr>
        <w:t xml:space="preserve"> – Kurum geneli (finansal olmayan modeller ve AI/ML dahil) kapsam; 3 sonuç → 12 ilke; altı-rollü yönetişim (owner, developer, reviewer, approver, user, stakeholder); prescribed asgari model envanteri şeması; altı-aşamalı yaşam döngüsü (tasarım-veri-geliştirme, review, onay, deployment, izleme, decommission); model risk rating. En net veri modeli kaynağı. Yürürlük 1 Mayıs 2027.</w:t>
      </w:r>
    </w:p>
    <w:p>
      <w:pPr>
        <w:pStyle w:val="ListBullet"/>
      </w:pPr>
      <w:r>
        <w:rPr>
          <w:b/>
          <w:sz w:val="21"/>
        </w:rPr>
        <w:t>PRA SS1/23 (Bank of England)</w:t>
      </w:r>
      <w:r>
        <w:rPr>
          <w:sz w:val="21"/>
        </w:rPr>
        <w:t xml:space="preserve"> – Beş ilke: (1) model tanımlama &amp; risk sınıflandırma, (2) yönetişim (SMF hesap verebilirliği, model risk iştahı, yıllık öz-değerlendirme/attestation), (3) geliştirme-uygulama-kullanım, (4) bağımsız validasyon, (5) model riski azaltıcıları (PMA, kısıt, istisna). AI/ML ‘dinamik model’ ve karmaşıklık faktörleriyle kapsanır. Yürürlük 17 Mayıs 2024.</w:t>
      </w:r>
    </w:p>
    <w:p>
      <w:pPr>
        <w:pStyle w:val="ListBullet"/>
      </w:pPr>
      <w:r>
        <w:rPr>
          <w:b/>
          <w:sz w:val="21"/>
        </w:rPr>
        <w:t>ECB TRIM / Guide to Internal Models</w:t>
      </w:r>
      <w:r>
        <w:rPr>
          <w:sz w:val="21"/>
        </w:rPr>
        <w:t xml:space="preserve"> – Düzenleyici (IRB/piyasa/karşı taraf) modeller için bağımsız validasyon birimi, yıllık validasyon, backtesting/discriminatory power/representativeness/override/stability/benchmarking test kataloğu ve eşikleri; 7+ boyutlu veri kalitesi çerçevesi (DQF). En net validasyon-testi ve veri-kalitesi kaynağı.</w:t>
      </w:r>
    </w:p>
    <w:p>
      <w:pPr>
        <w:pStyle w:val="Heading2"/>
      </w:pPr>
      <w:r>
        <w:t>4.2 AI/ML için ek çerçeveler</w:t>
      </w:r>
    </w:p>
    <w:p>
      <w:pPr>
        <w:pStyle w:val="ListBullet"/>
      </w:pPr>
      <w:r>
        <w:rPr>
          <w:b/>
          <w:sz w:val="21"/>
        </w:rPr>
        <w:t>EU AI Act (2024/1689)</w:t>
      </w:r>
      <w:r>
        <w:rPr>
          <w:sz w:val="21"/>
        </w:rPr>
        <w:t xml:space="preserve"> – Kredi değerliliği/skorlama AI’ı ‘yüksek riskli’ (Annex III 5b); Art.9-15 (risk yönetimi, veri yönetişimi, teknik dokümantasyon, loglama, şeffaflık, insan gözetimi, robustluk/güvenlik) + Art.27 FRIA. Yüksek-risk kredi yükümlülükleri 2 Ağustos 2026’dan itibaren.</w:t>
      </w:r>
    </w:p>
    <w:p>
      <w:pPr>
        <w:pStyle w:val="ListBullet"/>
      </w:pPr>
      <w:r>
        <w:rPr>
          <w:b/>
          <w:sz w:val="21"/>
        </w:rPr>
        <w:t>NIST AI RMF (AI 100-1)</w:t>
      </w:r>
      <w:r>
        <w:rPr>
          <w:sz w:val="21"/>
        </w:rPr>
        <w:t xml:space="preserve"> – Govern / Map / Measure / Manage fonksiyonları ve yedi güvenilir-AI özelliği (geçerli-güvenilir, güvenli, güvenli-dayanıklı, hesap verebilir-şeffaf, açıklanabilir, gizlilik, adil). GenAI Profili (AI 600-1) ek overlay.</w:t>
      </w:r>
    </w:p>
    <w:p>
      <w:pPr>
        <w:pStyle w:val="ListBullet"/>
      </w:pPr>
      <w:r>
        <w:rPr>
          <w:b/>
          <w:sz w:val="21"/>
        </w:rPr>
        <w:t>Sektör çerçeveleri (EY, WF GenAI, EBA ML-IRB, FSB, MAS FEAT, HKMA)</w:t>
      </w:r>
      <w:r>
        <w:rPr>
          <w:sz w:val="21"/>
        </w:rPr>
        <w:t xml:space="preserve"> – Açıklanabilirlik, yanlılık/fairness, veri lineage, robustluk, reproducibility, drift, retraining yönetişimi, insan gözetimi, temel model/3. taraf bağımlılığı ve GenAI guardrail/halüsinasyon izleme — geleneksel modele EK gereklilikler.</w:t>
      </w:r>
    </w:p>
    <w:p>
      <w:pPr>
        <w:pStyle w:val="Heading2"/>
      </w:pPr>
      <w:r>
        <w:t>4.3 Türkiye (BDDK) — mevcut yükümlülükler ve ileriye dönük uyum</w:t>
      </w:r>
    </w:p>
    <w:p>
      <w:pPr>
        <w:spacing w:after="120"/>
      </w:pPr>
      <w:r>
        <w:rPr>
          <w:i w:val="0"/>
          <w:sz w:val="21"/>
        </w:rPr>
        <w:t>Türkiye’de müstakil bir MRM düzenlemesi bugün için yoktur ve resmi taslak aşamasında değildir. Ancak model, validasyon ve backtesting yükümlülükleri mevcut düzenlemeye dağılmıştır. Tasarım bunları bugünden karşılar:</w:t>
      </w:r>
    </w:p>
    <w:p>
      <w:pPr>
        <w:pStyle w:val="ListBullet"/>
      </w:pPr>
      <w:r>
        <w:rPr>
          <w:sz w:val="21"/>
        </w:rPr>
        <w:t>İç Sistemler &amp; İSEDES Yönetmeliği (RG 11/7/2014, 29057): Md.3 ‘Validasyon’ tanımı; Md.26 iç denetimin model doğruluğu/backtesting/veri kalitesi testi; Md.42 risk ölçüm sistemleri; Md.43 stres testi; İSEDES içsel model validasyonunun geliştiriciden bağımsız ekip/uzman kuruluş tarafından yapılması ve raporların BDDK’ya sunulması.</w:t>
      </w:r>
    </w:p>
    <w:p>
      <w:pPr>
        <w:pStyle w:val="ListBullet"/>
      </w:pPr>
      <w:r>
        <w:rPr>
          <w:sz w:val="21"/>
        </w:rPr>
        <w:t>İçsel Derecelendirme/İleri Ölçüm Değerlendirme, Validasyon ve Kurumsal Yönetim Rehberi (Doküman 1041, #16): kavramsal sağlamlık + sürekli izleme/benchmarking + backtesting; bağımsızlık; model validasyon, sonuç onayı, model kontrolü, istisna tespiti, model güncelleme ve devre dışı bırakma. Mevcut MRM’e en yakın belge.</w:t>
      </w:r>
    </w:p>
    <w:p>
      <w:pPr>
        <w:pStyle w:val="ListBullet"/>
      </w:pPr>
      <w:r>
        <w:rPr>
          <w:sz w:val="21"/>
        </w:rPr>
        <w:t>TFRS 9 BKZ rejimi: Karşılıklar Yönetmeliği (RG 22/6/2016, 29750) Md.9/20 ve ECL Rehberi (Doküman 943) — ECL model süreç, veri, metodoloji ve validasyon beklentileri.</w:t>
      </w:r>
    </w:p>
    <w:p>
      <w:pPr>
        <w:pStyle w:val="ListBullet"/>
      </w:pPr>
      <w:r>
        <w:rPr>
          <w:sz w:val="21"/>
        </w:rPr>
        <w:t>Üç savunma hattı: iç kontrol (1.), risk yönetimi (2., bağımsız validasyonun doğal yeri), iç denetim (3.). Gelecekteki BDDK MRM kuralının, ikinci hatta ‘etkin sorgulama’ yetkili müstakil bir MRM/validasyon fonksiyonunu resmileştirmesi beklenir — organizasyon tasarımı buna göre yapılmalıdır.</w:t>
      </w:r>
    </w:p>
    <w:p>
      <w:pPr>
        <w:spacing w:after="120"/>
      </w:pPr>
      <w:r>
        <w:rPr>
          <w:i/>
          <w:sz w:val="21"/>
        </w:rPr>
        <w:t>İleriye dönük tasarım hedefi: SR 11-7 + OSFI E-23’ü tasarım şablonu olarak alıp, BDDK’nın mevcut İSEDES/IRB-AMA/TFRS 9 kavram ve raporlama artefaktlarıyla uygulamak. Her Archer artefaktının hangi mevzuat maddesini karşıladığı bir eşleme tablosunda (Excel Sekme 14) tutulur; böylece yeni bir kurala karşı gap analizi mekanik hale gelir.</w:t>
      </w:r>
    </w:p>
    <w:p>
      <w:pPr>
        <w:pStyle w:val="Heading1"/>
      </w:pPr>
      <w:r>
        <w:t>5. Temel MRM Gereklilikleri (Özet)</w:t>
      </w:r>
    </w:p>
    <w:p>
      <w:pPr>
        <w:spacing w:after="120"/>
      </w:pPr>
      <w:r>
        <w:rPr>
          <w:i w:val="0"/>
          <w:sz w:val="21"/>
        </w:rPr>
        <w:t>Aşağıda temel gereklilikler ve alt detayları özetlenmiştir. Tam liste, Archer karşılığı, öncelik, kaynak düzenleme ve faz bilgisi ile birlikte Excel Sekme 1 (Gereklilik Matrisi) içindedir.</w:t>
      </w:r>
    </w:p>
    <w:p>
      <w:pPr>
        <w:pStyle w:val="Heading2"/>
      </w:pPr>
      <w:r>
        <w:t>5.1 Model tanımı ve kapsam</w:t>
      </w:r>
    </w:p>
    <w:p>
      <w:pPr>
        <w:pStyle w:val="ListBullet"/>
      </w:pPr>
      <w:r>
        <w:rPr>
          <w:sz w:val="21"/>
        </w:rPr>
        <w:t>Kurum genelinde tek model tanımı ve model/model-riski taksonomisi.</w:t>
      </w:r>
    </w:p>
    <w:p>
      <w:pPr>
        <w:pStyle w:val="ListBullet"/>
      </w:pPr>
      <w:r>
        <w:rPr>
          <w:sz w:val="21"/>
        </w:rPr>
        <w:t>Deterministik yöntem/EUC ayrımı: materyal+karmaşık ise MRM’in ilgili unsurları, aksi halde sağlam kontroller.</w:t>
      </w:r>
    </w:p>
    <w:p>
      <w:pPr>
        <w:pStyle w:val="ListBullet"/>
      </w:pPr>
      <w:r>
        <w:rPr>
          <w:sz w:val="21"/>
        </w:rPr>
        <w:t>AI/ML/GenAI/dinamik model bayrakları ve tüm risk türlerinin kapsanması.</w:t>
      </w:r>
    </w:p>
    <w:p>
      <w:pPr>
        <w:pStyle w:val="Heading2"/>
      </w:pPr>
      <w:r>
        <w:t>5.2 Model envanteri</w:t>
      </w:r>
    </w:p>
    <w:p>
      <w:pPr>
        <w:pStyle w:val="ListBullet"/>
      </w:pPr>
      <w:r>
        <w:rPr>
          <w:sz w:val="21"/>
        </w:rPr>
        <w:t>Kurum geneli tekil, doğru, güncel envanter (kullanımda + geliştirmede + emekli).</w:t>
      </w:r>
    </w:p>
    <w:p>
      <w:pPr>
        <w:pStyle w:val="ListBullet"/>
      </w:pPr>
      <w:r>
        <w:rPr>
          <w:sz w:val="21"/>
        </w:rPr>
        <w:t>OSFI E-23 asgari alan seti + SS1/23 envanter nitelikleri (amaç, sınırlamalar, validasyon bulguları, yönetişim).</w:t>
      </w:r>
    </w:p>
    <w:p>
      <w:pPr>
        <w:pStyle w:val="ListBullet"/>
      </w:pPr>
      <w:r>
        <w:rPr>
          <w:sz w:val="21"/>
        </w:rPr>
        <w:t>Model bağımlılıkları (upstream/downstream) ve satıcı/grup modeli ayrımı.</w:t>
      </w:r>
    </w:p>
    <w:p>
      <w:pPr>
        <w:pStyle w:val="Heading2"/>
      </w:pPr>
      <w:r>
        <w:t>5.3 Kritiklik / tiering</w:t>
      </w:r>
    </w:p>
    <w:p>
      <w:pPr>
        <w:pStyle w:val="ListBullet"/>
      </w:pPr>
      <w:r>
        <w:rPr>
          <w:sz w:val="21"/>
        </w:rPr>
        <w:t>Tutarlı, kurum geneli materyalite + karmaşıklık derecelendirmesi (skorlu anket).</w:t>
      </w:r>
    </w:p>
    <w:p>
      <w:pPr>
        <w:pStyle w:val="ListBullet"/>
      </w:pPr>
      <w:r>
        <w:rPr>
          <w:sz w:val="21"/>
        </w:rPr>
        <w:t>İçsel risk = zafiyet × materyalite; artık risk ayrı raporlanır.</w:t>
      </w:r>
    </w:p>
    <w:p>
      <w:pPr>
        <w:pStyle w:val="ListBullet"/>
      </w:pPr>
      <w:r>
        <w:rPr>
          <w:sz w:val="21"/>
        </w:rPr>
        <w:t>Tier, validasyon ve izleme derinlik/frekansını yönlendirir (frekans banka politikasıdır); periyodik bağımsız gözden geçirme.</w:t>
      </w:r>
    </w:p>
    <w:p>
      <w:pPr>
        <w:pStyle w:val="Heading2"/>
      </w:pPr>
      <w:r>
        <w:t>5.4 Geliştirme, uygulama, kullanım</w:t>
      </w:r>
    </w:p>
    <w:p>
      <w:pPr>
        <w:pStyle w:val="ListBullet"/>
      </w:pPr>
      <w:r>
        <w:rPr>
          <w:sz w:val="21"/>
        </w:rPr>
        <w:t>Amaç/tasarım beyanı, kavramsal sağlamlık, veri uygunluğu ve temsil.</w:t>
      </w:r>
    </w:p>
    <w:p>
      <w:pPr>
        <w:pStyle w:val="ListBullet"/>
      </w:pPr>
      <w:r>
        <w:rPr>
          <w:sz w:val="21"/>
        </w:rPr>
        <w:t>Geliştirme testleri (geriye/ileriye dönük + duyarlılık), model düzeltmeleri/uzman görüşünün kaydı.</w:t>
      </w:r>
    </w:p>
    <w:p>
      <w:pPr>
        <w:pStyle w:val="ListBullet"/>
      </w:pPr>
      <w:r>
        <w:rPr>
          <w:sz w:val="21"/>
        </w:rPr>
        <w:t>Bağımsız uzmanın yeniden üretebileceği dokümantasyon; test edilmiş ve değişiklik-kontrollü uygulama ortamı.</w:t>
      </w:r>
    </w:p>
    <w:p>
      <w:pPr>
        <w:pStyle w:val="Heading2"/>
      </w:pPr>
      <w:r>
        <w:t>5.5 Bağımsız validasyon</w:t>
      </w:r>
    </w:p>
    <w:p>
      <w:pPr>
        <w:pStyle w:val="ListBullet"/>
      </w:pPr>
      <w:r>
        <w:rPr>
          <w:sz w:val="21"/>
        </w:rPr>
        <w:t>Geliştirmeden bağımsız fonksiyon; kavramsal sağlamlık + süreç doğrulama + performans izleme/çıktı analizi.</w:t>
      </w:r>
    </w:p>
    <w:p>
      <w:pPr>
        <w:pStyle w:val="ListBullet"/>
      </w:pPr>
      <w:r>
        <w:rPr>
          <w:sz w:val="21"/>
        </w:rPr>
        <w:t>Periyodik revalidasyon; validasyon ÖNERİSİ ile ONAY kararının ayrı olması.</w:t>
      </w:r>
    </w:p>
    <w:p>
      <w:pPr>
        <w:pStyle w:val="ListBullet"/>
      </w:pPr>
      <w:r>
        <w:rPr>
          <w:sz w:val="21"/>
        </w:rPr>
        <w:t>Etkin sorgulama; bulguların dokümante edilip izlenmesi.</w:t>
      </w:r>
    </w:p>
    <w:p>
      <w:pPr>
        <w:pStyle w:val="Heading2"/>
      </w:pPr>
      <w:r>
        <w:t>5.6 Sürekli izleme</w:t>
      </w:r>
    </w:p>
    <w:p>
      <w:pPr>
        <w:pStyle w:val="ListBullet"/>
      </w:pPr>
      <w:r>
        <w:rPr>
          <w:sz w:val="21"/>
        </w:rPr>
        <w:t>Metrik seti ve eşikler (AUC/Gini/KS, kalibrasyon, PSI/CSI drift, fairness, override).</w:t>
      </w:r>
    </w:p>
    <w:p>
      <w:pPr>
        <w:pStyle w:val="ListBullet"/>
      </w:pPr>
      <w:r>
        <w:rPr>
          <w:sz w:val="21"/>
        </w:rPr>
        <w:t>Backtesting ve benchmarking; drift/bozulma eşiği → revalidasyon/retrain tetiği.</w:t>
      </w:r>
    </w:p>
    <w:p>
      <w:pPr>
        <w:pStyle w:val="Heading2"/>
      </w:pPr>
      <w:r>
        <w:t>5.7 Model riski azaltıcıları</w:t>
      </w:r>
    </w:p>
    <w:p>
      <w:pPr>
        <w:pStyle w:val="ListBullet"/>
      </w:pPr>
      <w:r>
        <w:rPr>
          <w:sz w:val="21"/>
        </w:rPr>
        <w:t>PMA/overlay kurum geneli tutarlı süreç, bağımsız gözden geçirme, PMA’lı/PMA’sız raporlama.</w:t>
      </w:r>
    </w:p>
    <w:p>
      <w:pPr>
        <w:pStyle w:val="ListBullet"/>
      </w:pPr>
      <w:r>
        <w:rPr>
          <w:sz w:val="21"/>
        </w:rPr>
        <w:t>Kullanım kısıtları/limitleri; istisna tanımı ve resmi eskalasyon.</w:t>
      </w:r>
    </w:p>
    <w:p>
      <w:pPr>
        <w:pStyle w:val="Heading2"/>
      </w:pPr>
      <w:r>
        <w:t>5.8 Yönetişim</w:t>
      </w:r>
    </w:p>
    <w:p>
      <w:pPr>
        <w:pStyle w:val="ListBullet"/>
      </w:pPr>
      <w:r>
        <w:rPr>
          <w:sz w:val="21"/>
        </w:rPr>
        <w:t>Board/üst yönetim gözetimi, model risk iştahı, sorumlu üst yönetici (SMF).</w:t>
      </w:r>
    </w:p>
    <w:p>
      <w:pPr>
        <w:pStyle w:val="ListBullet"/>
      </w:pPr>
      <w:r>
        <w:rPr>
          <w:sz w:val="21"/>
        </w:rPr>
        <w:t>MRM politikası; owner/developer/user/validator/approver rolleri; üç savunma hattı ve iç denetim.</w:t>
      </w:r>
    </w:p>
    <w:p>
      <w:pPr>
        <w:pStyle w:val="ListBullet"/>
      </w:pPr>
      <w:r>
        <w:rPr>
          <w:sz w:val="21"/>
        </w:rPr>
        <w:t>Yıllık öz-değerlendirme/attestation ve finansal raporlama için MRM etkinlik raporu.</w:t>
      </w:r>
    </w:p>
    <w:p>
      <w:pPr>
        <w:pStyle w:val="Heading2"/>
      </w:pPr>
      <w:r>
        <w:t>5.9 AI/ML ek gereklilikleri</w:t>
      </w:r>
    </w:p>
    <w:p>
      <w:pPr>
        <w:pStyle w:val="ListBullet"/>
      </w:pPr>
      <w:r>
        <w:rPr>
          <w:sz w:val="21"/>
        </w:rPr>
        <w:t>Açıklanabilirlik, yanlılık/fairness, veri lineage, robustluk/reproducibility/güvenlik.</w:t>
      </w:r>
    </w:p>
    <w:p>
      <w:pPr>
        <w:pStyle w:val="ListBullet"/>
      </w:pPr>
      <w:r>
        <w:rPr>
          <w:sz w:val="21"/>
        </w:rPr>
        <w:t>Retraining yönetişimi, insan gözetimi, etik/FRIA, temel model/3. taraf bağımlılığı.</w:t>
      </w:r>
    </w:p>
    <w:p>
      <w:pPr>
        <w:pStyle w:val="ListBullet"/>
      </w:pPr>
      <w:r>
        <w:rPr>
          <w:sz w:val="21"/>
        </w:rPr>
        <w:t>GenAI guardrail ve halüsinasyon/toksisite izleme; EU AI Act risk sınıflandırması.</w:t>
      </w:r>
    </w:p>
    <w:p>
      <w:pPr>
        <w:pStyle w:val="Heading1"/>
      </w:pPr>
      <w:r>
        <w:t>6. Önerilen Archer Çözüm Mimarisi</w:t>
      </w:r>
    </w:p>
    <w:p>
      <w:pPr>
        <w:spacing w:after="120"/>
      </w:pPr>
      <w:r>
        <w:rPr>
          <w:i w:val="0"/>
          <w:sz w:val="21"/>
        </w:rPr>
        <w:t>Çözüm, mevcut Archer envanterinin (BT Risk, Bankacılık Risk, Uyumluluk, Bilgi Güvenliği, Organizasyon Yönetimi workspace’leri ve paylaşımlı Bulgu/Metrik/Kontrol uygulamaları) üzerine yeni bir “Model Riski Yönetimi (MRM)” workspace’i olarak kurgulanır. İlke: yeni uygulama yalnızca gerçekten gerektiğinde açılır; aksi halde mevcut paylaşımlı uygulamalar yeniden kullanılır.</w:t>
      </w:r>
    </w:p>
    <w:p>
      <w:pPr>
        <w:pStyle w:val="Heading2"/>
      </w:pPr>
      <w:r>
        <w:t>6.1 Yeni uygulamalar</w:t>
      </w:r>
    </w:p>
    <w:tbl>
      <w:tblPr>
        <w:tblStyle w:val="TableGrid"/>
        <w:tblW w:type="auto" w:w="0"/>
        <w:jc w:val="center"/>
        <w:tblLook w:firstColumn="1" w:firstRow="1" w:lastColumn="0" w:lastRow="0" w:noHBand="0" w:noVBand="1" w:val="04A0"/>
      </w:tblPr>
      <w:tblGrid>
        <w:gridCol w:w="4320"/>
        <w:gridCol w:w="4320"/>
      </w:tblGrid>
      <w:tr>
        <w:tc>
          <w:tcPr>
            <w:tcW w:type="dxa" w:w="3685"/>
            <w:shd w:val="clear" w:color="auto" w:fill="1F3864"/>
          </w:tcPr>
          <w:p>
            <w:pPr>
              <w:jc w:val="left"/>
            </w:pPr>
            <w:r/>
            <w:r>
              <w:rPr>
                <w:rFonts w:ascii="Calibri" w:hAnsi="Calibri"/>
                <w:b/>
                <w:color w:val="FFFFFF"/>
                <w:sz w:val="19"/>
              </w:rPr>
              <w:t>Uygulama</w:t>
            </w:r>
          </w:p>
        </w:tc>
        <w:tc>
          <w:tcPr>
            <w:tcW w:type="dxa" w:w="6520"/>
            <w:shd w:val="clear" w:color="auto" w:fill="1F3864"/>
          </w:tcPr>
          <w:p>
            <w:pPr>
              <w:jc w:val="left"/>
            </w:pPr>
            <w:r/>
            <w:r>
              <w:rPr>
                <w:rFonts w:ascii="Calibri" w:hAnsi="Calibri"/>
                <w:b/>
                <w:color w:val="FFFFFF"/>
                <w:sz w:val="19"/>
              </w:rPr>
              <w:t>Rol</w:t>
            </w:r>
          </w:p>
        </w:tc>
      </w:tr>
      <w:tr>
        <w:tc>
          <w:tcPr>
            <w:tcW w:type="dxa" w:w="3685"/>
          </w:tcPr>
          <w:p>
            <w:pPr>
              <w:jc w:val="left"/>
            </w:pPr>
            <w:r/>
            <w:r>
              <w:rPr>
                <w:rFonts w:ascii="Calibri" w:hAnsi="Calibri"/>
                <w:b w:val="0"/>
                <w:sz w:val="19"/>
              </w:rPr>
              <w:t>Model Envanteri</w:t>
            </w:r>
          </w:p>
        </w:tc>
        <w:tc>
          <w:tcPr>
            <w:tcW w:type="dxa" w:w="6520"/>
          </w:tcPr>
          <w:p>
            <w:pPr>
              <w:jc w:val="left"/>
            </w:pPr>
            <w:r/>
            <w:r>
              <w:rPr>
                <w:rFonts w:ascii="Calibri" w:hAnsi="Calibri"/>
                <w:b w:val="0"/>
                <w:sz w:val="19"/>
              </w:rPr>
              <w:t>Bankanın tüm model/algoritmalarının ana kaydı (master); tüm ilişkilerin merkezi.</w:t>
            </w:r>
          </w:p>
        </w:tc>
      </w:tr>
      <w:tr>
        <w:tc>
          <w:tcPr>
            <w:tcW w:type="dxa" w:w="3685"/>
            <w:shd w:val="clear" w:color="auto" w:fill="F2F2F2"/>
          </w:tcPr>
          <w:p>
            <w:pPr>
              <w:jc w:val="left"/>
            </w:pPr>
            <w:r/>
            <w:r>
              <w:rPr>
                <w:rFonts w:ascii="Calibri" w:hAnsi="Calibri"/>
                <w:b w:val="0"/>
                <w:sz w:val="19"/>
              </w:rPr>
              <w:t>Model Kritiklik / Materyalite Değerlendirmesi</w:t>
            </w:r>
          </w:p>
        </w:tc>
        <w:tc>
          <w:tcPr>
            <w:tcW w:type="dxa" w:w="6520"/>
            <w:shd w:val="clear" w:color="auto" w:fill="F2F2F2"/>
          </w:tcPr>
          <w:p>
            <w:pPr>
              <w:jc w:val="left"/>
            </w:pPr>
            <w:r/>
            <w:r>
              <w:rPr>
                <w:rFonts w:ascii="Calibri" w:hAnsi="Calibri"/>
                <w:b w:val="0"/>
                <w:sz w:val="19"/>
              </w:rPr>
              <w:t>Skorlu anket → Tier ve içsel risk skorunu üretir.</w:t>
            </w:r>
          </w:p>
        </w:tc>
      </w:tr>
      <w:tr>
        <w:tc>
          <w:tcPr>
            <w:tcW w:type="dxa" w:w="3685"/>
          </w:tcPr>
          <w:p>
            <w:pPr>
              <w:jc w:val="left"/>
            </w:pPr>
            <w:r/>
            <w:r>
              <w:rPr>
                <w:rFonts w:ascii="Calibri" w:hAnsi="Calibri"/>
                <w:b w:val="0"/>
                <w:sz w:val="19"/>
              </w:rPr>
              <w:t>Model Validasyonu</w:t>
            </w:r>
          </w:p>
        </w:tc>
        <w:tc>
          <w:tcPr>
            <w:tcW w:type="dxa" w:w="6520"/>
          </w:tcPr>
          <w:p>
            <w:pPr>
              <w:jc w:val="left"/>
            </w:pPr>
            <w:r/>
            <w:r>
              <w:rPr>
                <w:rFonts w:ascii="Calibri" w:hAnsi="Calibri"/>
                <w:b w:val="0"/>
                <w:sz w:val="19"/>
              </w:rPr>
              <w:t>Bağımsız validasyon/gözden geçirme çalışmalarının kaydı; onay akışı.</w:t>
            </w:r>
          </w:p>
        </w:tc>
      </w:tr>
      <w:tr>
        <w:tc>
          <w:tcPr>
            <w:tcW w:type="dxa" w:w="3685"/>
            <w:shd w:val="clear" w:color="auto" w:fill="F2F2F2"/>
          </w:tcPr>
          <w:p>
            <w:pPr>
              <w:jc w:val="left"/>
            </w:pPr>
            <w:r/>
            <w:r>
              <w:rPr>
                <w:rFonts w:ascii="Calibri" w:hAnsi="Calibri"/>
                <w:b w:val="0"/>
                <w:sz w:val="19"/>
              </w:rPr>
              <w:t>AI/ML Ek Değerlendirmesi</w:t>
            </w:r>
          </w:p>
        </w:tc>
        <w:tc>
          <w:tcPr>
            <w:tcW w:type="dxa" w:w="6520"/>
            <w:shd w:val="clear" w:color="auto" w:fill="F2F2F2"/>
          </w:tcPr>
          <w:p>
            <w:pPr>
              <w:jc w:val="left"/>
            </w:pPr>
            <w:r/>
            <w:r>
              <w:rPr>
                <w:rFonts w:ascii="Calibri" w:hAnsi="Calibri"/>
                <w:b w:val="0"/>
                <w:sz w:val="19"/>
              </w:rPr>
              <w:t>AI/ML/GenAI modellerine özel ek nitelikler ve kontroller (anket).</w:t>
            </w:r>
          </w:p>
        </w:tc>
      </w:tr>
      <w:tr>
        <w:tc>
          <w:tcPr>
            <w:tcW w:type="dxa" w:w="3685"/>
          </w:tcPr>
          <w:p>
            <w:pPr>
              <w:jc w:val="left"/>
            </w:pPr>
            <w:r/>
            <w:r>
              <w:rPr>
                <w:rFonts w:ascii="Calibri" w:hAnsi="Calibri"/>
                <w:b w:val="0"/>
                <w:sz w:val="19"/>
              </w:rPr>
              <w:t>Model Değişiklik Yönetimi</w:t>
            </w:r>
          </w:p>
        </w:tc>
        <w:tc>
          <w:tcPr>
            <w:tcW w:type="dxa" w:w="6520"/>
          </w:tcPr>
          <w:p>
            <w:pPr>
              <w:jc w:val="left"/>
            </w:pPr>
            <w:r/>
            <w:r>
              <w:rPr>
                <w:rFonts w:ascii="Calibri" w:hAnsi="Calibri"/>
                <w:b w:val="0"/>
                <w:sz w:val="19"/>
              </w:rPr>
              <w:t>Değişiklik/versiyon kayıtları; materyal değişiklikte revalidasyon tetiği.</w:t>
            </w:r>
          </w:p>
        </w:tc>
      </w:tr>
      <w:tr>
        <w:tc>
          <w:tcPr>
            <w:tcW w:type="dxa" w:w="3685"/>
            <w:shd w:val="clear" w:color="auto" w:fill="F2F2F2"/>
          </w:tcPr>
          <w:p>
            <w:pPr>
              <w:jc w:val="left"/>
            </w:pPr>
            <w:r/>
            <w:r>
              <w:rPr>
                <w:rFonts w:ascii="Calibri" w:hAnsi="Calibri"/>
                <w:b w:val="0"/>
                <w:sz w:val="19"/>
              </w:rPr>
              <w:t>PMA / İstisna Kayıtları</w:t>
            </w:r>
          </w:p>
        </w:tc>
        <w:tc>
          <w:tcPr>
            <w:tcW w:type="dxa" w:w="6520"/>
            <w:shd w:val="clear" w:color="auto" w:fill="F2F2F2"/>
          </w:tcPr>
          <w:p>
            <w:pPr>
              <w:jc w:val="left"/>
            </w:pPr>
            <w:r/>
            <w:r>
              <w:rPr>
                <w:rFonts w:ascii="Calibri" w:hAnsi="Calibri"/>
                <w:b w:val="0"/>
                <w:sz w:val="19"/>
              </w:rPr>
              <w:t>Model sonrası düzeltme, kullanım kısıtı ve istisna kayıtları.</w:t>
            </w:r>
          </w:p>
        </w:tc>
      </w:tr>
    </w:tbl>
    <w:p>
      <w:pPr>
        <w:pStyle w:val="Heading2"/>
      </w:pPr>
      <w:r>
        <w:t>6.2 Yeniden kullanılan mevcut uygulamalar</w:t>
      </w:r>
    </w:p>
    <w:tbl>
      <w:tblPr>
        <w:tblStyle w:val="TableGrid"/>
        <w:tblW w:type="auto" w:w="0"/>
        <w:jc w:val="center"/>
        <w:tblLook w:firstColumn="1" w:firstRow="1" w:lastColumn="0" w:lastRow="0" w:noHBand="0" w:noVBand="1" w:val="04A0"/>
      </w:tblPr>
      <w:tblGrid>
        <w:gridCol w:w="4320"/>
        <w:gridCol w:w="4320"/>
      </w:tblGrid>
      <w:tr>
        <w:tc>
          <w:tcPr>
            <w:tcW w:type="dxa" w:w="3685"/>
            <w:shd w:val="clear" w:color="auto" w:fill="1F3864"/>
          </w:tcPr>
          <w:p>
            <w:pPr>
              <w:jc w:val="left"/>
            </w:pPr>
            <w:r/>
            <w:r>
              <w:rPr>
                <w:rFonts w:ascii="Calibri" w:hAnsi="Calibri"/>
                <w:b/>
                <w:color w:val="FFFFFF"/>
                <w:sz w:val="19"/>
              </w:rPr>
              <w:t>Mevcut Uygulama</w:t>
            </w:r>
          </w:p>
        </w:tc>
        <w:tc>
          <w:tcPr>
            <w:tcW w:type="dxa" w:w="6520"/>
            <w:shd w:val="clear" w:color="auto" w:fill="1F3864"/>
          </w:tcPr>
          <w:p>
            <w:pPr>
              <w:jc w:val="left"/>
            </w:pPr>
            <w:r/>
            <w:r>
              <w:rPr>
                <w:rFonts w:ascii="Calibri" w:hAnsi="Calibri"/>
                <w:b/>
                <w:color w:val="FFFFFF"/>
                <w:sz w:val="19"/>
              </w:rPr>
              <w:t>MRM’de kullanımı</w:t>
            </w:r>
          </w:p>
        </w:tc>
      </w:tr>
      <w:tr>
        <w:tc>
          <w:tcPr>
            <w:tcW w:type="dxa" w:w="3685"/>
          </w:tcPr>
          <w:p>
            <w:pPr>
              <w:jc w:val="left"/>
            </w:pPr>
            <w:r/>
            <w:r>
              <w:rPr>
                <w:rFonts w:ascii="Calibri" w:hAnsi="Calibri"/>
                <w:b w:val="0"/>
                <w:sz w:val="19"/>
              </w:rPr>
              <w:t>Bulgular + Aksiyon Planları</w:t>
            </w:r>
          </w:p>
        </w:tc>
        <w:tc>
          <w:tcPr>
            <w:tcW w:type="dxa" w:w="6520"/>
          </w:tcPr>
          <w:p>
            <w:pPr>
              <w:jc w:val="left"/>
            </w:pPr>
            <w:r/>
            <w:r>
              <w:rPr>
                <w:rFonts w:ascii="Calibri" w:hAnsi="Calibri"/>
                <w:b w:val="0"/>
                <w:sz w:val="19"/>
              </w:rPr>
              <w:t>Validasyon/izleme bulguları ve remediation (‘Bulgu Kaynağı = Model Validasyonu’ değeri eklenerek).</w:t>
            </w:r>
          </w:p>
        </w:tc>
      </w:tr>
      <w:tr>
        <w:tc>
          <w:tcPr>
            <w:tcW w:type="dxa" w:w="3685"/>
            <w:shd w:val="clear" w:color="auto" w:fill="F2F2F2"/>
          </w:tcPr>
          <w:p>
            <w:pPr>
              <w:jc w:val="left"/>
            </w:pPr>
            <w:r/>
            <w:r>
              <w:rPr>
                <w:rFonts w:ascii="Calibri" w:hAnsi="Calibri"/>
                <w:b w:val="0"/>
                <w:sz w:val="19"/>
              </w:rPr>
              <w:t>Metrikler / Metrik Sonuçları</w:t>
            </w:r>
          </w:p>
        </w:tc>
        <w:tc>
          <w:tcPr>
            <w:tcW w:type="dxa" w:w="6520"/>
            <w:shd w:val="clear" w:color="auto" w:fill="F2F2F2"/>
          </w:tcPr>
          <w:p>
            <w:pPr>
              <w:jc w:val="left"/>
            </w:pPr>
            <w:r/>
            <w:r>
              <w:rPr>
                <w:rFonts w:ascii="Calibri" w:hAnsi="Calibri"/>
                <w:b w:val="0"/>
                <w:sz w:val="19"/>
              </w:rPr>
              <w:t>Sürekli izleme KPI/KRI’ları; eşik aşımı → Bulgu.</w:t>
            </w:r>
          </w:p>
        </w:tc>
      </w:tr>
      <w:tr>
        <w:tc>
          <w:tcPr>
            <w:tcW w:type="dxa" w:w="3685"/>
          </w:tcPr>
          <w:p>
            <w:pPr>
              <w:jc w:val="left"/>
            </w:pPr>
            <w:r/>
            <w:r>
              <w:rPr>
                <w:rFonts w:ascii="Calibri" w:hAnsi="Calibri"/>
                <w:b w:val="0"/>
                <w:sz w:val="19"/>
              </w:rPr>
              <w:t>Risk / Risk Hiyerarşisi</w:t>
            </w:r>
          </w:p>
        </w:tc>
        <w:tc>
          <w:tcPr>
            <w:tcW w:type="dxa" w:w="6520"/>
          </w:tcPr>
          <w:p>
            <w:pPr>
              <w:jc w:val="left"/>
            </w:pPr>
            <w:r/>
            <w:r>
              <w:rPr>
                <w:rFonts w:ascii="Calibri" w:hAnsi="Calibri"/>
                <w:b w:val="0"/>
                <w:sz w:val="19"/>
              </w:rPr>
              <w:t>Toplulaştırılmış model riskinin kurumsal risk taksonomisine bağlanması.</w:t>
            </w:r>
          </w:p>
        </w:tc>
      </w:tr>
      <w:tr>
        <w:tc>
          <w:tcPr>
            <w:tcW w:type="dxa" w:w="3685"/>
            <w:shd w:val="clear" w:color="auto" w:fill="F2F2F2"/>
          </w:tcPr>
          <w:p>
            <w:pPr>
              <w:jc w:val="left"/>
            </w:pPr>
            <w:r/>
            <w:r>
              <w:rPr>
                <w:rFonts w:ascii="Calibri" w:hAnsi="Calibri"/>
                <w:b w:val="0"/>
                <w:sz w:val="19"/>
              </w:rPr>
              <w:t>Kontroller</w:t>
            </w:r>
          </w:p>
        </w:tc>
        <w:tc>
          <w:tcPr>
            <w:tcW w:type="dxa" w:w="6520"/>
            <w:shd w:val="clear" w:color="auto" w:fill="F2F2F2"/>
          </w:tcPr>
          <w:p>
            <w:pPr>
              <w:jc w:val="left"/>
            </w:pPr>
            <w:r/>
            <w:r>
              <w:rPr>
                <w:rFonts w:ascii="Calibri" w:hAnsi="Calibri"/>
                <w:b w:val="0"/>
                <w:sz w:val="19"/>
              </w:rPr>
              <w:t>Model riskini azaltan kontroller.</w:t>
            </w:r>
          </w:p>
        </w:tc>
      </w:tr>
      <w:tr>
        <w:tc>
          <w:tcPr>
            <w:tcW w:type="dxa" w:w="3685"/>
          </w:tcPr>
          <w:p>
            <w:pPr>
              <w:jc w:val="left"/>
            </w:pPr>
            <w:r/>
            <w:r>
              <w:rPr>
                <w:rFonts w:ascii="Calibri" w:hAnsi="Calibri"/>
                <w:b w:val="0"/>
                <w:sz w:val="19"/>
              </w:rPr>
              <w:t>Organizasyon – İş Hiyerarşisi</w:t>
            </w:r>
          </w:p>
        </w:tc>
        <w:tc>
          <w:tcPr>
            <w:tcW w:type="dxa" w:w="6520"/>
          </w:tcPr>
          <w:p>
            <w:pPr>
              <w:jc w:val="left"/>
            </w:pPr>
            <w:r/>
            <w:r>
              <w:rPr>
                <w:rFonts w:ascii="Calibri" w:hAnsi="Calibri"/>
                <w:b w:val="0"/>
                <w:sz w:val="19"/>
              </w:rPr>
              <w:t>Model sahibi birim (GMY/Daire/Bölüm).</w:t>
            </w:r>
          </w:p>
        </w:tc>
      </w:tr>
      <w:tr>
        <w:tc>
          <w:tcPr>
            <w:tcW w:type="dxa" w:w="3685"/>
            <w:shd w:val="clear" w:color="auto" w:fill="F2F2F2"/>
          </w:tcPr>
          <w:p>
            <w:pPr>
              <w:jc w:val="left"/>
            </w:pPr>
            <w:r/>
            <w:r>
              <w:rPr>
                <w:rFonts w:ascii="Calibri" w:hAnsi="Calibri"/>
                <w:b w:val="0"/>
                <w:sz w:val="19"/>
              </w:rPr>
              <w:t>Tedarikçi</w:t>
            </w:r>
          </w:p>
        </w:tc>
        <w:tc>
          <w:tcPr>
            <w:tcW w:type="dxa" w:w="6520"/>
            <w:shd w:val="clear" w:color="auto" w:fill="F2F2F2"/>
          </w:tcPr>
          <w:p>
            <w:pPr>
              <w:jc w:val="left"/>
            </w:pPr>
            <w:r/>
            <w:r>
              <w:rPr>
                <w:rFonts w:ascii="Calibri" w:hAnsi="Calibri"/>
                <w:b w:val="0"/>
                <w:sz w:val="19"/>
              </w:rPr>
              <w:t>Satıcı (vendor) modeller.</w:t>
            </w:r>
          </w:p>
        </w:tc>
      </w:tr>
      <w:tr>
        <w:tc>
          <w:tcPr>
            <w:tcW w:type="dxa" w:w="3685"/>
          </w:tcPr>
          <w:p>
            <w:pPr>
              <w:jc w:val="left"/>
            </w:pPr>
            <w:r/>
            <w:r>
              <w:rPr>
                <w:rFonts w:ascii="Calibri" w:hAnsi="Calibri"/>
                <w:b w:val="0"/>
                <w:sz w:val="19"/>
              </w:rPr>
              <w:t>Uygulamalar / Donanımlar / IT Hizmetleri</w:t>
            </w:r>
          </w:p>
        </w:tc>
        <w:tc>
          <w:tcPr>
            <w:tcW w:type="dxa" w:w="6520"/>
          </w:tcPr>
          <w:p>
            <w:pPr>
              <w:jc w:val="left"/>
            </w:pPr>
            <w:r/>
            <w:r>
              <w:rPr>
                <w:rFonts w:ascii="Calibri" w:hAnsi="Calibri"/>
                <w:b w:val="0"/>
                <w:sz w:val="19"/>
              </w:rPr>
              <w:t>Modelin koştuğu sistem ve altyapı.</w:t>
            </w:r>
          </w:p>
        </w:tc>
      </w:tr>
      <w:tr>
        <w:tc>
          <w:tcPr>
            <w:tcW w:type="dxa" w:w="3685"/>
            <w:shd w:val="clear" w:color="auto" w:fill="F2F2F2"/>
          </w:tcPr>
          <w:p>
            <w:pPr>
              <w:jc w:val="left"/>
            </w:pPr>
            <w:r/>
            <w:r>
              <w:rPr>
                <w:rFonts w:ascii="Calibri" w:hAnsi="Calibri"/>
                <w:b w:val="0"/>
                <w:sz w:val="19"/>
              </w:rPr>
              <w:t>Bilgi Varlıkları Envanteri</w:t>
            </w:r>
          </w:p>
        </w:tc>
        <w:tc>
          <w:tcPr>
            <w:tcW w:type="dxa" w:w="6520"/>
            <w:shd w:val="clear" w:color="auto" w:fill="F2F2F2"/>
          </w:tcPr>
          <w:p>
            <w:pPr>
              <w:jc w:val="left"/>
            </w:pPr>
            <w:r/>
            <w:r>
              <w:rPr>
                <w:rFonts w:ascii="Calibri" w:hAnsi="Calibri"/>
                <w:b w:val="0"/>
                <w:sz w:val="19"/>
              </w:rPr>
              <w:t>Model girdi verisi / veri varlığı ve lineage.</w:t>
            </w:r>
          </w:p>
        </w:tc>
      </w:tr>
      <w:tr>
        <w:tc>
          <w:tcPr>
            <w:tcW w:type="dxa" w:w="3685"/>
          </w:tcPr>
          <w:p>
            <w:pPr>
              <w:jc w:val="left"/>
            </w:pPr>
            <w:r/>
            <w:r>
              <w:rPr>
                <w:rFonts w:ascii="Calibri" w:hAnsi="Calibri"/>
                <w:b w:val="0"/>
                <w:sz w:val="19"/>
              </w:rPr>
              <w:t>Yasal Mevzuatlar / Politikalar ve Standartlar</w:t>
            </w:r>
          </w:p>
        </w:tc>
        <w:tc>
          <w:tcPr>
            <w:tcW w:type="dxa" w:w="6520"/>
          </w:tcPr>
          <w:p>
            <w:pPr>
              <w:jc w:val="left"/>
            </w:pPr>
            <w:r/>
            <w:r>
              <w:rPr>
                <w:rFonts w:ascii="Calibri" w:hAnsi="Calibri"/>
                <w:b w:val="0"/>
                <w:sz w:val="19"/>
              </w:rPr>
              <w:t>Regülasyon eşleme ve MRM politikası/DQF.</w:t>
            </w:r>
          </w:p>
        </w:tc>
      </w:tr>
      <w:tr>
        <w:tc>
          <w:tcPr>
            <w:tcW w:type="dxa" w:w="3685"/>
            <w:shd w:val="clear" w:color="auto" w:fill="F2F2F2"/>
          </w:tcPr>
          <w:p>
            <w:pPr>
              <w:jc w:val="left"/>
            </w:pPr>
            <w:r/>
            <w:r>
              <w:rPr>
                <w:rFonts w:ascii="Calibri" w:hAnsi="Calibri"/>
                <w:b w:val="0"/>
                <w:sz w:val="19"/>
              </w:rPr>
              <w:t>Risk Kabul Talepleri / Denetlenen Görüşleri</w:t>
            </w:r>
          </w:p>
        </w:tc>
        <w:tc>
          <w:tcPr>
            <w:tcW w:type="dxa" w:w="6520"/>
            <w:shd w:val="clear" w:color="auto" w:fill="F2F2F2"/>
          </w:tcPr>
          <w:p>
            <w:pPr>
              <w:jc w:val="left"/>
            </w:pPr>
            <w:r/>
            <w:r>
              <w:rPr>
                <w:rFonts w:ascii="Calibri" w:hAnsi="Calibri"/>
                <w:b w:val="0"/>
                <w:sz w:val="19"/>
              </w:rPr>
              <w:t>İstisna/kabul akışı ve iç denetim (3. hat) gözetimi.</w:t>
            </w:r>
          </w:p>
        </w:tc>
      </w:tr>
    </w:tbl>
    <w:p>
      <w:pPr>
        <w:spacing w:after="120"/>
      </w:pPr>
      <w:r>
        <w:rPr>
          <w:i/>
          <w:sz w:val="21"/>
        </w:rPr>
        <w:t>İlişki haritasının tamamı Excel Sekme 10’dadır.</w:t>
      </w:r>
    </w:p>
    <w:p>
      <w:pPr>
        <w:pStyle w:val="Heading2"/>
      </w:pPr>
      <w:r>
        <w:t>6.3 Archer teknik mekanizmaları</w:t>
      </w:r>
    </w:p>
    <w:p>
      <w:pPr>
        <w:pStyle w:val="ListBullet"/>
      </w:pPr>
      <w:r>
        <w:rPr>
          <w:sz w:val="21"/>
        </w:rPr>
        <w:t>Seçim listeleri (Values Lists): model tipi, kategori, yaşam döngüsü durumu, tier, validasyon türü/sonucu (Excel Sekme 9).</w:t>
      </w:r>
    </w:p>
    <w:p>
      <w:pPr>
        <w:pStyle w:val="ListBullet"/>
      </w:pPr>
      <w:r>
        <w:rPr>
          <w:sz w:val="21"/>
        </w:rPr>
        <w:t>Gelişmiş iş akışı (Advanced Workflow): Geliştirici → Bağımsız Validasyon → Model Risk Komitesi → Onay/Ret/Koşullu.</w:t>
      </w:r>
    </w:p>
    <w:p>
      <w:pPr>
        <w:pStyle w:val="ListBullet"/>
      </w:pPr>
      <w:r>
        <w:rPr>
          <w:sz w:val="21"/>
        </w:rPr>
        <w:t>Hesaplanan alanlar: sonraki validasyon tarihi (= son + tier frekansı), içsel risk skoru, gecikme bayrağı.</w:t>
      </w:r>
    </w:p>
    <w:p>
      <w:pPr>
        <w:pStyle w:val="ListBullet"/>
      </w:pPr>
      <w:r>
        <w:rPr>
          <w:sz w:val="21"/>
        </w:rPr>
        <w:t>Veri-güdümlü olaylar (DDE): durum geçişleri, koşullu alan görünürlüğü/zorunluluğu, validasyon başarısızsa otomatik bulgu.</w:t>
      </w:r>
    </w:p>
    <w:p>
      <w:pPr>
        <w:pStyle w:val="ListBullet"/>
      </w:pPr>
      <w:r>
        <w:rPr>
          <w:sz w:val="21"/>
        </w:rPr>
        <w:t>Bildirimler: yaklaşan/geciken revalidasyon, izleme eşik aşımı, açık bulgu SLA, PMA kaldırma tetiği.</w:t>
      </w:r>
    </w:p>
    <w:p>
      <w:pPr>
        <w:pStyle w:val="ListBullet"/>
      </w:pPr>
      <w:r>
        <w:rPr>
          <w:sz w:val="21"/>
        </w:rPr>
        <w:t>Erişim rolleri: 1./2./3. hat ayrımı; kayıt/alan seviyesi güvenlik ile validasyon bağımsızlığının sistemsel garantisi.</w:t>
      </w:r>
    </w:p>
    <w:p>
      <w:pPr>
        <w:pStyle w:val="ListBullet"/>
      </w:pPr>
      <w:r>
        <w:rPr>
          <w:sz w:val="21"/>
        </w:rPr>
        <w:t>Veri beslemeleri (Data Feeds): MLOps/model geliştirme ortamından envanter ve metrik beslemesi (F4, opsiyonel).</w:t>
      </w:r>
    </w:p>
    <w:p>
      <w:pPr>
        <w:pStyle w:val="Heading1"/>
      </w:pPr>
      <w:r>
        <w:t>7. Model Yaşam Döngüsü ve İş Akışları</w:t>
      </w:r>
    </w:p>
    <w:p>
      <w:pPr>
        <w:spacing w:after="120"/>
      </w:pPr>
      <w:r>
        <w:rPr>
          <w:i w:val="0"/>
          <w:sz w:val="21"/>
        </w:rPr>
        <w:t>Model kaydı bir durum makinesi olarak yönetilir. Aşağıdaki akış Advanced Workflow ve DDE ile uygulanır; tam geçiş kuralları Excel Sekme 12’dedir.</w:t>
      </w:r>
    </w:p>
    <w:p>
      <w:pPr>
        <w:spacing w:after="120"/>
      </w:pPr>
      <w:r>
        <w:rPr>
          <w:i w:val="0"/>
          <w:sz w:val="22"/>
        </w:rPr>
        <w:t>Taslak/Tanımlama → Geliştirme → Bağımsız Validasyonda → Onayda → Onaylı/Prod’da → İzlemede → (Revalidasyonda) → … ; yan durumlar: Koşullu Onaylı (PMA/kısıt ile), Kısıtlı/Askıda, Emekli/Devre Dışı.</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val="clear" w:color="auto" w:fill="1F3864"/>
          </w:tcPr>
          <w:p>
            <w:pPr>
              <w:jc w:val="left"/>
            </w:pPr>
            <w:r/>
            <w:r>
              <w:rPr>
                <w:rFonts w:ascii="Calibri" w:hAnsi="Calibri"/>
                <w:b/>
                <w:color w:val="FFFFFF"/>
                <w:sz w:val="19"/>
              </w:rPr>
              <w:t>Durum</w:t>
            </w:r>
          </w:p>
        </w:tc>
        <w:tc>
          <w:tcPr>
            <w:tcW w:type="dxa" w:w="3685"/>
            <w:shd w:val="clear" w:color="auto" w:fill="1F3864"/>
          </w:tcPr>
          <w:p>
            <w:pPr>
              <w:jc w:val="left"/>
            </w:pPr>
            <w:r/>
            <w:r>
              <w:rPr>
                <w:rFonts w:ascii="Calibri" w:hAnsi="Calibri"/>
                <w:b/>
                <w:color w:val="FFFFFF"/>
                <w:sz w:val="19"/>
              </w:rPr>
              <w:t>Sonraki</w:t>
            </w:r>
          </w:p>
        </w:tc>
        <w:tc>
          <w:tcPr>
            <w:tcW w:type="dxa" w:w="3402"/>
            <w:shd w:val="clear" w:color="auto" w:fill="1F3864"/>
          </w:tcPr>
          <w:p>
            <w:pPr>
              <w:jc w:val="left"/>
            </w:pPr>
            <w:r/>
            <w:r>
              <w:rPr>
                <w:rFonts w:ascii="Calibri" w:hAnsi="Calibri"/>
                <w:b/>
                <w:color w:val="FFFFFF"/>
                <w:sz w:val="19"/>
              </w:rPr>
              <w:t>Geçiş koşulu</w:t>
            </w:r>
          </w:p>
        </w:tc>
      </w:tr>
      <w:tr>
        <w:tc>
          <w:tcPr>
            <w:tcW w:type="dxa" w:w="3118"/>
          </w:tcPr>
          <w:p>
            <w:pPr>
              <w:jc w:val="left"/>
            </w:pPr>
            <w:r/>
            <w:r>
              <w:rPr>
                <w:rFonts w:ascii="Calibri" w:hAnsi="Calibri"/>
                <w:b w:val="0"/>
                <w:sz w:val="19"/>
              </w:rPr>
              <w:t>Geliştirme</w:t>
            </w:r>
          </w:p>
        </w:tc>
        <w:tc>
          <w:tcPr>
            <w:tcW w:type="dxa" w:w="3685"/>
          </w:tcPr>
          <w:p>
            <w:pPr>
              <w:jc w:val="left"/>
            </w:pPr>
            <w:r/>
            <w:r>
              <w:rPr>
                <w:rFonts w:ascii="Calibri" w:hAnsi="Calibri"/>
                <w:b w:val="0"/>
                <w:sz w:val="19"/>
              </w:rPr>
              <w:t>Bağımsız Validasyonda</w:t>
            </w:r>
          </w:p>
        </w:tc>
        <w:tc>
          <w:tcPr>
            <w:tcW w:type="dxa" w:w="3402"/>
          </w:tcPr>
          <w:p>
            <w:pPr>
              <w:jc w:val="left"/>
            </w:pPr>
            <w:r/>
            <w:r>
              <w:rPr>
                <w:rFonts w:ascii="Calibri" w:hAnsi="Calibri"/>
                <w:b w:val="0"/>
                <w:sz w:val="19"/>
              </w:rPr>
              <w:t>Geliştirme testleri + dokümantasyon tamam</w:t>
            </w:r>
          </w:p>
        </w:tc>
      </w:tr>
      <w:tr>
        <w:tc>
          <w:tcPr>
            <w:tcW w:type="dxa" w:w="3118"/>
            <w:shd w:val="clear" w:color="auto" w:fill="F2F2F2"/>
          </w:tcPr>
          <w:p>
            <w:pPr>
              <w:jc w:val="left"/>
            </w:pPr>
            <w:r/>
            <w:r>
              <w:rPr>
                <w:rFonts w:ascii="Calibri" w:hAnsi="Calibri"/>
                <w:b w:val="0"/>
                <w:sz w:val="19"/>
              </w:rPr>
              <w:t>Bağımsız Validasyonda</w:t>
            </w:r>
          </w:p>
        </w:tc>
        <w:tc>
          <w:tcPr>
            <w:tcW w:type="dxa" w:w="3685"/>
            <w:shd w:val="clear" w:color="auto" w:fill="F2F2F2"/>
          </w:tcPr>
          <w:p>
            <w:pPr>
              <w:jc w:val="left"/>
            </w:pPr>
            <w:r/>
            <w:r>
              <w:rPr>
                <w:rFonts w:ascii="Calibri" w:hAnsi="Calibri"/>
                <w:b w:val="0"/>
                <w:sz w:val="19"/>
              </w:rPr>
              <w:t>Onayda / Geliştirme</w:t>
            </w:r>
          </w:p>
        </w:tc>
        <w:tc>
          <w:tcPr>
            <w:tcW w:type="dxa" w:w="3402"/>
            <w:shd w:val="clear" w:color="auto" w:fill="F2F2F2"/>
          </w:tcPr>
          <w:p>
            <w:pPr>
              <w:jc w:val="left"/>
            </w:pPr>
            <w:r/>
            <w:r>
              <w:rPr>
                <w:rFonts w:ascii="Calibri" w:hAnsi="Calibri"/>
                <w:b w:val="0"/>
                <w:sz w:val="19"/>
              </w:rPr>
              <w:t>Validasyon raporu + öneri hazır</w:t>
            </w:r>
          </w:p>
        </w:tc>
      </w:tr>
      <w:tr>
        <w:tc>
          <w:tcPr>
            <w:tcW w:type="dxa" w:w="3118"/>
          </w:tcPr>
          <w:p>
            <w:pPr>
              <w:jc w:val="left"/>
            </w:pPr>
            <w:r/>
            <w:r>
              <w:rPr>
                <w:rFonts w:ascii="Calibri" w:hAnsi="Calibri"/>
                <w:b w:val="0"/>
                <w:sz w:val="19"/>
              </w:rPr>
              <w:t>Onayda</w:t>
            </w:r>
          </w:p>
        </w:tc>
        <w:tc>
          <w:tcPr>
            <w:tcW w:type="dxa" w:w="3685"/>
          </w:tcPr>
          <w:p>
            <w:pPr>
              <w:jc w:val="left"/>
            </w:pPr>
            <w:r/>
            <w:r>
              <w:rPr>
                <w:rFonts w:ascii="Calibri" w:hAnsi="Calibri"/>
                <w:b w:val="0"/>
                <w:sz w:val="19"/>
              </w:rPr>
              <w:t>Onaylı/Prod · Koşullu · Reddedildi</w:t>
            </w:r>
          </w:p>
        </w:tc>
        <w:tc>
          <w:tcPr>
            <w:tcW w:type="dxa" w:w="3402"/>
          </w:tcPr>
          <w:p>
            <w:pPr>
              <w:jc w:val="left"/>
            </w:pPr>
            <w:r/>
            <w:r>
              <w:rPr>
                <w:rFonts w:ascii="Calibri" w:hAnsi="Calibri"/>
                <w:b w:val="0"/>
                <w:sz w:val="19"/>
              </w:rPr>
              <w:t>Onay makamı kararı (validasyondan ayrı)</w:t>
            </w:r>
          </w:p>
        </w:tc>
      </w:tr>
      <w:tr>
        <w:tc>
          <w:tcPr>
            <w:tcW w:type="dxa" w:w="3118"/>
            <w:shd w:val="clear" w:color="auto" w:fill="F2F2F2"/>
          </w:tcPr>
          <w:p>
            <w:pPr>
              <w:jc w:val="left"/>
            </w:pPr>
            <w:r/>
            <w:r>
              <w:rPr>
                <w:rFonts w:ascii="Calibri" w:hAnsi="Calibri"/>
                <w:b w:val="0"/>
                <w:sz w:val="19"/>
              </w:rPr>
              <w:t>Onaylı/Prod</w:t>
            </w:r>
          </w:p>
        </w:tc>
        <w:tc>
          <w:tcPr>
            <w:tcW w:type="dxa" w:w="3685"/>
            <w:shd w:val="clear" w:color="auto" w:fill="F2F2F2"/>
          </w:tcPr>
          <w:p>
            <w:pPr>
              <w:jc w:val="left"/>
            </w:pPr>
            <w:r/>
            <w:r>
              <w:rPr>
                <w:rFonts w:ascii="Calibri" w:hAnsi="Calibri"/>
                <w:b w:val="0"/>
                <w:sz w:val="19"/>
              </w:rPr>
              <w:t>İzlemede</w:t>
            </w:r>
          </w:p>
        </w:tc>
        <w:tc>
          <w:tcPr>
            <w:tcW w:type="dxa" w:w="3402"/>
            <w:shd w:val="clear" w:color="auto" w:fill="F2F2F2"/>
          </w:tcPr>
          <w:p>
            <w:pPr>
              <w:jc w:val="left"/>
            </w:pPr>
            <w:r/>
            <w:r>
              <w:rPr>
                <w:rFonts w:ascii="Calibri" w:hAnsi="Calibri"/>
                <w:b w:val="0"/>
                <w:sz w:val="19"/>
              </w:rPr>
              <w:t>Deployment testleri tamam</w:t>
            </w:r>
          </w:p>
        </w:tc>
      </w:tr>
      <w:tr>
        <w:tc>
          <w:tcPr>
            <w:tcW w:type="dxa" w:w="3118"/>
          </w:tcPr>
          <w:p>
            <w:pPr>
              <w:jc w:val="left"/>
            </w:pPr>
            <w:r/>
            <w:r>
              <w:rPr>
                <w:rFonts w:ascii="Calibri" w:hAnsi="Calibri"/>
                <w:b w:val="0"/>
                <w:sz w:val="19"/>
              </w:rPr>
              <w:t>İzlemede</w:t>
            </w:r>
          </w:p>
        </w:tc>
        <w:tc>
          <w:tcPr>
            <w:tcW w:type="dxa" w:w="3685"/>
          </w:tcPr>
          <w:p>
            <w:pPr>
              <w:jc w:val="left"/>
            </w:pPr>
            <w:r/>
            <w:r>
              <w:rPr>
                <w:rFonts w:ascii="Calibri" w:hAnsi="Calibri"/>
                <w:b w:val="0"/>
                <w:sz w:val="19"/>
              </w:rPr>
              <w:t>Revalidasyonda · Kısıtlı · Değişiklik</w:t>
            </w:r>
          </w:p>
        </w:tc>
        <w:tc>
          <w:tcPr>
            <w:tcW w:type="dxa" w:w="3402"/>
          </w:tcPr>
          <w:p>
            <w:pPr>
              <w:jc w:val="left"/>
            </w:pPr>
            <w:r/>
            <w:r>
              <w:rPr>
                <w:rFonts w:ascii="Calibri" w:hAnsi="Calibri"/>
                <w:b w:val="0"/>
                <w:sz w:val="19"/>
              </w:rPr>
              <w:t>Frekans dolumu / eşik aşımı / değişiklik</w:t>
            </w:r>
          </w:p>
        </w:tc>
      </w:tr>
      <w:tr>
        <w:tc>
          <w:tcPr>
            <w:tcW w:type="dxa" w:w="3118"/>
            <w:shd w:val="clear" w:color="auto" w:fill="F2F2F2"/>
          </w:tcPr>
          <w:p>
            <w:pPr>
              <w:jc w:val="left"/>
            </w:pPr>
            <w:r/>
            <w:r>
              <w:rPr>
                <w:rFonts w:ascii="Calibri" w:hAnsi="Calibri"/>
                <w:b w:val="0"/>
                <w:sz w:val="19"/>
              </w:rPr>
              <w:t>Kısıtlı/Askıda</w:t>
            </w:r>
          </w:p>
        </w:tc>
        <w:tc>
          <w:tcPr>
            <w:tcW w:type="dxa" w:w="3685"/>
            <w:shd w:val="clear" w:color="auto" w:fill="F2F2F2"/>
          </w:tcPr>
          <w:p>
            <w:pPr>
              <w:jc w:val="left"/>
            </w:pPr>
            <w:r/>
            <w:r>
              <w:rPr>
                <w:rFonts w:ascii="Calibri" w:hAnsi="Calibri"/>
                <w:b w:val="0"/>
                <w:sz w:val="19"/>
              </w:rPr>
              <w:t>İzlemede · Emekli</w:t>
            </w:r>
          </w:p>
        </w:tc>
        <w:tc>
          <w:tcPr>
            <w:tcW w:type="dxa" w:w="3402"/>
            <w:shd w:val="clear" w:color="auto" w:fill="F2F2F2"/>
          </w:tcPr>
          <w:p>
            <w:pPr>
              <w:jc w:val="left"/>
            </w:pPr>
            <w:r/>
            <w:r>
              <w:rPr>
                <w:rFonts w:ascii="Calibri" w:hAnsi="Calibri"/>
                <w:b w:val="0"/>
                <w:sz w:val="19"/>
              </w:rPr>
              <w:t>Ciddi eksik giderildi / karar</w:t>
            </w:r>
          </w:p>
        </w:tc>
      </w:tr>
      <w:tr>
        <w:tc>
          <w:tcPr>
            <w:tcW w:type="dxa" w:w="3118"/>
          </w:tcPr>
          <w:p>
            <w:pPr>
              <w:jc w:val="left"/>
            </w:pPr>
            <w:r/>
            <w:r>
              <w:rPr>
                <w:rFonts w:ascii="Calibri" w:hAnsi="Calibri"/>
                <w:b w:val="0"/>
                <w:sz w:val="19"/>
              </w:rPr>
              <w:t>Emekli</w:t>
            </w:r>
          </w:p>
        </w:tc>
        <w:tc>
          <w:tcPr>
            <w:tcW w:type="dxa" w:w="3685"/>
          </w:tcPr>
          <w:p>
            <w:pPr>
              <w:jc w:val="left"/>
            </w:pPr>
            <w:r/>
            <w:r>
              <w:rPr>
                <w:rFonts w:ascii="Calibri" w:hAnsi="Calibri"/>
                <w:b w:val="0"/>
                <w:sz w:val="19"/>
              </w:rPr>
              <w:t>(son)</w:t>
            </w:r>
          </w:p>
        </w:tc>
        <w:tc>
          <w:tcPr>
            <w:tcW w:type="dxa" w:w="3402"/>
          </w:tcPr>
          <w:p>
            <w:pPr>
              <w:jc w:val="left"/>
            </w:pPr>
            <w:r/>
            <w:r>
              <w:rPr>
                <w:rFonts w:ascii="Calibri" w:hAnsi="Calibri"/>
                <w:b w:val="0"/>
                <w:sz w:val="19"/>
              </w:rPr>
              <w:t>Ciddi hata / tekrar ihlal / obsolescence</w:t>
            </w:r>
          </w:p>
        </w:tc>
      </w:tr>
    </w:tbl>
    <w:p>
      <w:pPr>
        <w:pStyle w:val="Heading1"/>
      </w:pPr>
      <w:r>
        <w:t>8. Uygulama Bazında Alan Tasarımı (Özet)</w:t>
      </w:r>
    </w:p>
    <w:p>
      <w:pPr>
        <w:spacing w:after="120"/>
      </w:pPr>
      <w:r>
        <w:rPr>
          <w:i w:val="0"/>
          <w:sz w:val="21"/>
        </w:rPr>
        <w:t>Her uygulamanın tam alan tasarımı (alan adı, Archer alan tipi, seçim listesi, zorunluluk, hesaplama/çapraz referans, açıklama) Excel’de ilgili sekmededir. Öne çıkanlar:</w:t>
      </w:r>
    </w:p>
    <w:p>
      <w:pPr>
        <w:pStyle w:val="ListBullet"/>
      </w:pPr>
      <w:r>
        <w:rPr>
          <w:sz w:val="21"/>
        </w:rPr>
        <w:t>Model Envanteri (Sekme 2): kimlik, sınıflandırma/bayraklar, köken, amaç/tasarım, kritiklik (Tier + skorlar), roller, bağımlılıklar, sistem/veri linkleri, yaşam döngüsü, validasyon takibi, kısıt, dokümantasyon, saklama.</w:t>
      </w:r>
    </w:p>
    <w:p>
      <w:pPr>
        <w:pStyle w:val="ListBullet"/>
      </w:pPr>
      <w:r>
        <w:rPr>
          <w:sz w:val="21"/>
        </w:rPr>
        <w:t>Model Validasyonu (Sekme 3): tür, kapsam, bağımsızlık teyidi, kavramsal sağlamlık, süreç doğrulama, çıktı analizi, etkin sorgulama, validasyon ÖNERİSİ ve ONAY kararı (ayrı alanlar), rapor.</w:t>
      </w:r>
    </w:p>
    <w:p>
      <w:pPr>
        <w:pStyle w:val="ListBullet"/>
      </w:pPr>
      <w:r>
        <w:rPr>
          <w:sz w:val="21"/>
        </w:rPr>
        <w:t>Kritiklik/Tiering (Sekme 4): materyalite + karmaşıklık + bağımlılık/otonomi soruları, ağırlıklar ve tier eşleme tablosu.</w:t>
      </w:r>
    </w:p>
    <w:p>
      <w:pPr>
        <w:pStyle w:val="ListBullet"/>
      </w:pPr>
      <w:r>
        <w:rPr>
          <w:sz w:val="21"/>
        </w:rPr>
        <w:t>AI/ML Ek (Sekme 5): algoritma ailesi, temel model/3. taraf, veri/eğitim, açıklanabilirlik, fairness, robustluk, izleme/drift, retraining, insan gözetimi, etik/FRIA, EU AI Act risk kategorisi.</w:t>
      </w:r>
    </w:p>
    <w:p>
      <w:pPr>
        <w:pStyle w:val="ListBullet"/>
      </w:pPr>
      <w:r>
        <w:rPr>
          <w:sz w:val="21"/>
        </w:rPr>
        <w:t>PMA/İstisna (Sekme 7) ve Model Değişiklik (Sekme 8): azaltıcılar ve değişiklik/revalidasyon tetikleri.</w:t>
      </w:r>
    </w:p>
    <w:p>
      <w:pPr>
        <w:pStyle w:val="Heading1"/>
      </w:pPr>
      <w:r>
        <w:t>9. Roller ve Sorumluluklar (Üç Savunma Hattı)</w:t>
      </w:r>
    </w:p>
    <w:p>
      <w:pPr>
        <w:pStyle w:val="ListBullet"/>
      </w:pPr>
      <w:r>
        <w:rPr>
          <w:b/>
          <w:sz w:val="21"/>
        </w:rPr>
        <w:t>1. hat</w:t>
      </w:r>
      <w:r>
        <w:rPr>
          <w:sz w:val="21"/>
        </w:rPr>
        <w:t xml:space="preserve"> – Model sahibi, geliştirici ve kullanıcı; modeli geliştirir, kullanır ve günlük performansı izler.</w:t>
      </w:r>
    </w:p>
    <w:p>
      <w:pPr>
        <w:pStyle w:val="ListBullet"/>
      </w:pPr>
      <w:r>
        <w:rPr>
          <w:b/>
          <w:sz w:val="21"/>
        </w:rPr>
        <w:t>2. hat</w:t>
      </w:r>
      <w:r>
        <w:rPr>
          <w:sz w:val="21"/>
        </w:rPr>
        <w:t xml:space="preserve"> – MRM fonksiyonu ve bağımsız validasyon; çerçeve, kontroller, etkin sorgulama ve onay önerisi.</w:t>
      </w:r>
    </w:p>
    <w:p>
      <w:pPr>
        <w:pStyle w:val="ListBullet"/>
      </w:pPr>
      <w:r>
        <w:rPr>
          <w:b/>
          <w:sz w:val="21"/>
        </w:rPr>
        <w:t>3. hat</w:t>
      </w:r>
      <w:r>
        <w:rPr>
          <w:sz w:val="21"/>
        </w:rPr>
        <w:t xml:space="preserve"> – İç denetim; MRM çerçevesinin etkinliğini ve validasyon fonksiyonunu bağımsızca denetler.</w:t>
      </w:r>
    </w:p>
    <w:p>
      <w:pPr>
        <w:spacing w:after="120"/>
      </w:pPr>
      <w:r>
        <w:rPr>
          <w:i w:val="0"/>
          <w:sz w:val="21"/>
        </w:rPr>
        <w:t>Onay yetkisi, validasyondan ayrı olarak Model Risk Komitesi/üst yönetimdedir. Ayrıntılı RACI matrisi Excel Sekme 11’dedir.</w:t>
      </w:r>
    </w:p>
    <w:p>
      <w:pPr>
        <w:pStyle w:val="Heading1"/>
      </w:pPr>
      <w:r>
        <w:t>10. Raporlama ve Dashboard’lar</w:t>
      </w:r>
    </w:p>
    <w:p>
      <w:pPr>
        <w:pStyle w:val="ListBullet"/>
      </w:pPr>
      <w:r>
        <w:rPr>
          <w:sz w:val="21"/>
        </w:rPr>
        <w:t>Model envanteri kırılımı (tier/tip/kategori/durum).</w:t>
      </w:r>
    </w:p>
    <w:p>
      <w:pPr>
        <w:pStyle w:val="ListBullet"/>
      </w:pPr>
      <w:r>
        <w:rPr>
          <w:sz w:val="21"/>
        </w:rPr>
        <w:t>Validasyon takvimi ve gecikmeler; açık model bulguları ve remediation durumu.</w:t>
      </w:r>
    </w:p>
    <w:p>
      <w:pPr>
        <w:pStyle w:val="ListBullet"/>
      </w:pPr>
      <w:r>
        <w:rPr>
          <w:sz w:val="21"/>
        </w:rPr>
        <w:t>Toplulaştırılmış model riski ısı haritası; iştaha karşı profil (board paneli).</w:t>
      </w:r>
    </w:p>
    <w:p>
      <w:pPr>
        <w:pStyle w:val="ListBullet"/>
      </w:pPr>
      <w:r>
        <w:rPr>
          <w:sz w:val="21"/>
        </w:rPr>
        <w:t>AI/ML model portföyü ve drift/izleme durumu; Model Risk Komitesi paneli.</w:t>
      </w:r>
    </w:p>
    <w:p>
      <w:pPr>
        <w:pStyle w:val="ListBullet"/>
      </w:pPr>
      <w:r>
        <w:rPr>
          <w:sz w:val="21"/>
        </w:rPr>
        <w:t>BDDK İçsel Model Validasyon raporu ve İSEDES model bölümlerinin talep üzerine üretimi.</w:t>
      </w:r>
    </w:p>
    <w:p>
      <w:pPr>
        <w:pStyle w:val="Heading1"/>
      </w:pPr>
      <w:r>
        <w:t>11. Uygulama Yol Haritası</w:t>
      </w:r>
    </w:p>
    <w:tbl>
      <w:tblPr>
        <w:tblStyle w:val="TableGrid"/>
        <w:tblW w:type="auto" w:w="0"/>
        <w:jc w:val="center"/>
        <w:tblLook w:firstColumn="1" w:firstRow="1" w:lastColumn="0" w:lastRow="0" w:noHBand="0" w:noVBand="1" w:val="04A0"/>
      </w:tblPr>
      <w:tblGrid>
        <w:gridCol w:w="2880"/>
        <w:gridCol w:w="2880"/>
        <w:gridCol w:w="2880"/>
      </w:tblGrid>
      <w:tr>
        <w:tc>
          <w:tcPr>
            <w:tcW w:type="dxa" w:w="2721"/>
            <w:shd w:val="clear" w:color="auto" w:fill="1F3864"/>
          </w:tcPr>
          <w:p>
            <w:pPr>
              <w:jc w:val="left"/>
            </w:pPr>
            <w:r/>
            <w:r>
              <w:rPr>
                <w:rFonts w:ascii="Calibri" w:hAnsi="Calibri"/>
                <w:b/>
                <w:color w:val="FFFFFF"/>
                <w:sz w:val="18"/>
              </w:rPr>
              <w:t>Faz</w:t>
            </w:r>
          </w:p>
        </w:tc>
        <w:tc>
          <w:tcPr>
            <w:tcW w:type="dxa" w:w="4365"/>
            <w:shd w:val="clear" w:color="auto" w:fill="1F3864"/>
          </w:tcPr>
          <w:p>
            <w:pPr>
              <w:jc w:val="left"/>
            </w:pPr>
            <w:r/>
            <w:r>
              <w:rPr>
                <w:rFonts w:ascii="Calibri" w:hAnsi="Calibri"/>
                <w:b/>
                <w:color w:val="FFFFFF"/>
                <w:sz w:val="18"/>
              </w:rPr>
              <w:t>Kapsam</w:t>
            </w:r>
          </w:p>
        </w:tc>
        <w:tc>
          <w:tcPr>
            <w:tcW w:type="dxa" w:w="3118"/>
            <w:shd w:val="clear" w:color="auto" w:fill="1F3864"/>
          </w:tcPr>
          <w:p>
            <w:pPr>
              <w:jc w:val="left"/>
            </w:pPr>
            <w:r/>
            <w:r>
              <w:rPr>
                <w:rFonts w:ascii="Calibri" w:hAnsi="Calibri"/>
                <w:b/>
                <w:color w:val="FFFFFF"/>
                <w:sz w:val="18"/>
              </w:rPr>
              <w:t>Temel çıktı</w:t>
            </w:r>
          </w:p>
        </w:tc>
      </w:tr>
      <w:tr>
        <w:tc>
          <w:tcPr>
            <w:tcW w:type="dxa" w:w="2721"/>
          </w:tcPr>
          <w:p>
            <w:pPr>
              <w:jc w:val="left"/>
            </w:pPr>
            <w:r/>
            <w:r>
              <w:rPr>
                <w:rFonts w:ascii="Calibri" w:hAnsi="Calibri"/>
                <w:b w:val="0"/>
                <w:sz w:val="18"/>
              </w:rPr>
              <w:t>F1 – Temel Envanter &amp; Yönetişim (MVP)</w:t>
            </w:r>
          </w:p>
        </w:tc>
        <w:tc>
          <w:tcPr>
            <w:tcW w:type="dxa" w:w="4365"/>
          </w:tcPr>
          <w:p>
            <w:pPr>
              <w:jc w:val="left"/>
            </w:pPr>
            <w:r/>
            <w:r>
              <w:rPr>
                <w:rFonts w:ascii="Calibri" w:hAnsi="Calibri"/>
                <w:b w:val="0"/>
                <w:sz w:val="18"/>
              </w:rPr>
              <w:t>Model Envanteri, tiering anketi, roller, durum makinesi, seçim listeleri, erişim rolleri</w:t>
            </w:r>
          </w:p>
        </w:tc>
        <w:tc>
          <w:tcPr>
            <w:tcW w:type="dxa" w:w="3118"/>
          </w:tcPr>
          <w:p>
            <w:pPr>
              <w:jc w:val="left"/>
            </w:pPr>
            <w:r/>
            <w:r>
              <w:rPr>
                <w:rFonts w:ascii="Calibri" w:hAnsi="Calibri"/>
                <w:b w:val="0"/>
                <w:sz w:val="18"/>
              </w:rPr>
              <w:t>Kurum geneli envanter + kritiklik + MRM politikası + board paneli iskeleti</w:t>
            </w:r>
          </w:p>
        </w:tc>
      </w:tr>
      <w:tr>
        <w:tc>
          <w:tcPr>
            <w:tcW w:type="dxa" w:w="2721"/>
            <w:shd w:val="clear" w:color="auto" w:fill="F2F2F2"/>
          </w:tcPr>
          <w:p>
            <w:pPr>
              <w:jc w:val="left"/>
            </w:pPr>
            <w:r/>
            <w:r>
              <w:rPr>
                <w:rFonts w:ascii="Calibri" w:hAnsi="Calibri"/>
                <w:b w:val="0"/>
                <w:sz w:val="18"/>
              </w:rPr>
              <w:t>F2 – Validasyon &amp; Bulgu Döngüsü</w:t>
            </w:r>
          </w:p>
        </w:tc>
        <w:tc>
          <w:tcPr>
            <w:tcW w:type="dxa" w:w="4365"/>
            <w:shd w:val="clear" w:color="auto" w:fill="F2F2F2"/>
          </w:tcPr>
          <w:p>
            <w:pPr>
              <w:jc w:val="left"/>
            </w:pPr>
            <w:r/>
            <w:r>
              <w:rPr>
                <w:rFonts w:ascii="Calibri" w:hAnsi="Calibri"/>
                <w:b w:val="0"/>
                <w:sz w:val="18"/>
              </w:rPr>
              <w:t>Model Validasyonu, Bulgular entegrasyonu, geliştirme alanları, bağımlılıklar, satıcı model</w:t>
            </w:r>
          </w:p>
        </w:tc>
        <w:tc>
          <w:tcPr>
            <w:tcW w:type="dxa" w:w="3118"/>
            <w:shd w:val="clear" w:color="auto" w:fill="F2F2F2"/>
          </w:tcPr>
          <w:p>
            <w:pPr>
              <w:jc w:val="left"/>
            </w:pPr>
            <w:r/>
            <w:r>
              <w:rPr>
                <w:rFonts w:ascii="Calibri" w:hAnsi="Calibri"/>
                <w:b w:val="0"/>
                <w:sz w:val="18"/>
              </w:rPr>
              <w:t>Bağımsız validasyon iş akışı + validasyon→bulgu→aksiyon + BDDK raporu</w:t>
            </w:r>
          </w:p>
        </w:tc>
      </w:tr>
      <w:tr>
        <w:tc>
          <w:tcPr>
            <w:tcW w:type="dxa" w:w="2721"/>
          </w:tcPr>
          <w:p>
            <w:pPr>
              <w:jc w:val="left"/>
            </w:pPr>
            <w:r/>
            <w:r>
              <w:rPr>
                <w:rFonts w:ascii="Calibri" w:hAnsi="Calibri"/>
                <w:b w:val="0"/>
                <w:sz w:val="18"/>
              </w:rPr>
              <w:t>F3 – İzleme &amp; Raporlama</w:t>
            </w:r>
          </w:p>
        </w:tc>
        <w:tc>
          <w:tcPr>
            <w:tcW w:type="dxa" w:w="4365"/>
          </w:tcPr>
          <w:p>
            <w:pPr>
              <w:jc w:val="left"/>
            </w:pPr>
            <w:r/>
            <w:r>
              <w:rPr>
                <w:rFonts w:ascii="Calibri" w:hAnsi="Calibri"/>
                <w:b w:val="0"/>
                <w:sz w:val="18"/>
              </w:rPr>
              <w:t>Metrik seti, dashboard’lar, toplulaştırılmış raporlama, öz-değerlendirme</w:t>
            </w:r>
          </w:p>
        </w:tc>
        <w:tc>
          <w:tcPr>
            <w:tcW w:type="dxa" w:w="3118"/>
          </w:tcPr>
          <w:p>
            <w:pPr>
              <w:jc w:val="left"/>
            </w:pPr>
            <w:r/>
            <w:r>
              <w:rPr>
                <w:rFonts w:ascii="Calibri" w:hAnsi="Calibri"/>
                <w:b w:val="0"/>
                <w:sz w:val="18"/>
              </w:rPr>
              <w:t>İzleme metrik kataloğu + risk ısı haritası + yıllık öz-değerlendirme</w:t>
            </w:r>
          </w:p>
        </w:tc>
      </w:tr>
      <w:tr>
        <w:tc>
          <w:tcPr>
            <w:tcW w:type="dxa" w:w="2721"/>
            <w:shd w:val="clear" w:color="auto" w:fill="F2F2F2"/>
          </w:tcPr>
          <w:p>
            <w:pPr>
              <w:jc w:val="left"/>
            </w:pPr>
            <w:r/>
            <w:r>
              <w:rPr>
                <w:rFonts w:ascii="Calibri" w:hAnsi="Calibri"/>
                <w:b w:val="0"/>
                <w:sz w:val="18"/>
              </w:rPr>
              <w:t>F4 – AI/ML İleri &amp; Entegrasyon</w:t>
            </w:r>
          </w:p>
        </w:tc>
        <w:tc>
          <w:tcPr>
            <w:tcW w:type="dxa" w:w="4365"/>
            <w:shd w:val="clear" w:color="auto" w:fill="F2F2F2"/>
          </w:tcPr>
          <w:p>
            <w:pPr>
              <w:jc w:val="left"/>
            </w:pPr>
            <w:r/>
            <w:r>
              <w:rPr>
                <w:rFonts w:ascii="Calibri" w:hAnsi="Calibri"/>
                <w:b w:val="0"/>
                <w:sz w:val="18"/>
              </w:rPr>
              <w:t>AI/ML derinleştirme, GenAI guardrail, DQF/BCBS239, data feeds</w:t>
            </w:r>
          </w:p>
        </w:tc>
        <w:tc>
          <w:tcPr>
            <w:tcW w:type="dxa" w:w="3118"/>
            <w:shd w:val="clear" w:color="auto" w:fill="F2F2F2"/>
          </w:tcPr>
          <w:p>
            <w:pPr>
              <w:jc w:val="left"/>
            </w:pPr>
            <w:r/>
            <w:r>
              <w:rPr>
                <w:rFonts w:ascii="Calibri" w:hAnsi="Calibri"/>
                <w:b w:val="0"/>
                <w:sz w:val="18"/>
              </w:rPr>
              <w:t>GenAI izleme + DQF + MLOps beslemesi (opsiyonel)</w:t>
            </w:r>
          </w:p>
        </w:tc>
      </w:tr>
    </w:tbl>
    <w:p>
      <w:pPr>
        <w:pStyle w:val="Heading1"/>
      </w:pPr>
      <w:r>
        <w:t>12. Varsayımlar, Bağımlılıklar ve Riskler</w:t>
      </w:r>
    </w:p>
    <w:p>
      <w:pPr>
        <w:pStyle w:val="Heading2"/>
      </w:pPr>
      <w:r>
        <w:t>12.1 Varsayımlar</w:t>
      </w:r>
    </w:p>
    <w:p>
      <w:pPr>
        <w:pStyle w:val="ListBullet"/>
      </w:pPr>
      <w:r>
        <w:rPr>
          <w:sz w:val="21"/>
        </w:rPr>
        <w:t>Mevcut Archer uygulamaları (Bulgular, Metrikler, Risk, Kontroller, Organizasyon, Tedarikçi, Uygulamalar, Bilgi Varlıkları) erişilebilir ve cross-reference’a uygundur.</w:t>
      </w:r>
    </w:p>
    <w:p>
      <w:pPr>
        <w:pStyle w:val="ListBullet"/>
      </w:pPr>
      <w:r>
        <w:rPr>
          <w:sz w:val="21"/>
        </w:rPr>
        <w:t>Tier→frekans eşlemesi banka MRM politikasınca belirlenecek bir parametredir (regülasyon sabit sayı dayatmaz).</w:t>
      </w:r>
    </w:p>
    <w:p>
      <w:pPr>
        <w:pStyle w:val="ListBullet"/>
      </w:pPr>
      <w:r>
        <w:rPr>
          <w:sz w:val="21"/>
        </w:rPr>
        <w:t>Bağımsız validasyon fonksiyonu ikinci hatta organizasyonel olarak konumlandırılabilir.</w:t>
      </w:r>
    </w:p>
    <w:p>
      <w:pPr>
        <w:pStyle w:val="Heading2"/>
      </w:pPr>
      <w:r>
        <w:t>12.2 Bağımlılıklar</w:t>
      </w:r>
    </w:p>
    <w:p>
      <w:pPr>
        <w:pStyle w:val="ListBullet"/>
      </w:pPr>
      <w:r>
        <w:rPr>
          <w:sz w:val="21"/>
        </w:rPr>
        <w:t>MRM politikası, model risk iştahı ve tiering metodolojisinin iş tarafınca onaylanması (F1 önkoşulu).</w:t>
      </w:r>
    </w:p>
    <w:p>
      <w:pPr>
        <w:pStyle w:val="ListBullet"/>
      </w:pPr>
      <w:r>
        <w:rPr>
          <w:sz w:val="21"/>
        </w:rPr>
        <w:t>MLOps/model geliştirme ortamıyla veri beslemesi entegrasyonu (F4, opsiyonel).</w:t>
      </w:r>
    </w:p>
    <w:p>
      <w:pPr>
        <w:pStyle w:val="Heading2"/>
      </w:pPr>
      <w:r>
        <w:t>12.3 Riskler</w:t>
      </w:r>
    </w:p>
    <w:p>
      <w:pPr>
        <w:pStyle w:val="ListBullet"/>
      </w:pPr>
      <w:r>
        <w:rPr>
          <w:sz w:val="21"/>
        </w:rPr>
        <w:t>Kapsam genişliği: tüm risk türleri + AI/ML aynı anda; fazlama ile yönetilir (MVP → tam süreç).</w:t>
      </w:r>
    </w:p>
    <w:p>
      <w:pPr>
        <w:pStyle w:val="ListBullet"/>
      </w:pPr>
      <w:r>
        <w:rPr>
          <w:sz w:val="21"/>
        </w:rPr>
        <w:t>Veri kalitesi ve envanter güncelliği (evergreen) olmadan raporlama güvenilirliği düşer.</w:t>
      </w:r>
    </w:p>
    <w:p>
      <w:pPr>
        <w:pStyle w:val="ListBullet"/>
      </w:pPr>
      <w:r>
        <w:rPr>
          <w:sz w:val="21"/>
        </w:rPr>
        <w:t>BDDK düzenlemesi yayımlandığında bazı alanların yeniden eşlenmesi gerekebilir; regülasyon eşleme tablosu bunu mekanik kılar.</w:t>
      </w:r>
    </w:p>
    <w:p>
      <w:pPr>
        <w:pStyle w:val="Heading1"/>
      </w:pPr>
      <w:r>
        <w:t>13. Ekler</w:t>
      </w:r>
    </w:p>
    <w:p>
      <w:pPr>
        <w:pStyle w:val="ListBullet"/>
      </w:pPr>
      <w:r>
        <w:rPr>
          <w:sz w:val="21"/>
        </w:rPr>
        <w:t>Ek-A: MRM_Archer_İş_Analizi_Gereklilik_Kitabı.xlsx — 16 sekme (gereklilik matrisi, alan tasarımları, metrik kataloğu, values list’ler, ilişki haritası, RACI, yaşam döngüsü, yol haritası, regülasyon eşleme, referanslar).</w:t>
      </w:r>
    </w:p>
    <w:p>
      <w:pPr>
        <w:pStyle w:val="ListBullet"/>
      </w:pPr>
      <w:r>
        <w:rPr>
          <w:sz w:val="21"/>
        </w:rPr>
        <w:t>Ek-B: Birincil kaynak URL’leri — Excel Sekme 15.</w:t>
      </w:r>
    </w:p>
    <w:p>
      <w:pPr>
        <w:spacing w:after="120"/>
      </w:pPr>
      <w:r>
        <w:rPr>
          <w:i w:val="0"/>
          <w:sz w:val="21"/>
        </w:rPr>
      </w:r>
    </w:p>
    <w:p>
      <w:pPr>
        <w:spacing w:after="120"/>
      </w:pPr>
      <w:r>
        <w:rPr>
          <w:i/>
          <w:color w:val="595959"/>
          <w:sz w:val="19"/>
        </w:rPr>
        <w:t>Not: Bu taslak, regülasyon araştırmasına dayalı bir başlangıç setidir; bankanın mevcut model politikası, organizasyon yapısı ve Archer lisans/modül kapsamına göre birlikte netleştirilerek nihai hale getirilecektir.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