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MODEL VALİDASYONU</w:t>
      </w:r>
    </w:p>
    <w:p>
      <w:pPr>
        <w:jc w:val="center"/>
      </w:pPr>
      <w:r>
        <w:rPr>
          <w:b/>
          <w:color w:val="2E5496"/>
          <w:sz w:val="30"/>
        </w:rPr>
        <w:t>Archer Field-Config – Teknik Kurulum Notu</w:t>
      </w:r>
    </w:p>
    <w:p>
      <w:pPr>
        <w:jc w:val="center"/>
      </w:pPr>
      <w:r>
        <w:rPr>
          <w:color w:val="595959"/>
          <w:sz w:val="22"/>
        </w:rPr>
        <w:t>Hedef birim: Yazılım Geliştirme Daire Başkanlığı</w:t>
      </w:r>
    </w:p>
    <w:p>
      <w:pPr>
        <w:jc w:val="center"/>
      </w:pPr>
      <w:r>
        <w:rPr>
          <w:color w:val="595959"/>
          <w:sz w:val="22"/>
        </w:rPr>
        <w:t>Ek: Model_Validasyonu_Archer_Field_Config.xlsx (13 sekme, 60 alan)</w:t>
      </w:r>
    </w:p>
    <w:p>
      <w:pPr>
        <w:jc w:val="center"/>
      </w:pPr>
      <w:r>
        <w:rPr>
          <w:color w:val="595959"/>
          <w:sz w:val="22"/>
        </w:rPr>
        <w:t>Taslak v0.1</w:t>
      </w:r>
    </w:p>
    <w:p/>
    <w:p>
      <w:r>
        <w:rPr>
          <w:i/>
          <w:color w:val="595959"/>
          <w:sz w:val="19"/>
        </w:rPr>
        <w:t>Bu not, Model Validasyonu uygulamasının Archer üzerinde kurulumunu anlatır; alan-seviyesi tam konfigürasyon ekteki Excel’dedir. Metodolojik omurga: SR 11-7 üç bileşen (kavramsal sağlamlık · süreç doğrulama · çıktı analizi), PRA SS1/23 Principle 4 (4.1–4.5) ve ECB TRIM validasyon test kataloğu; Archer MRM App-Pack 'Model Validation' yapısıyla hizalıdır.</w:t>
      </w:r>
    </w:p>
    <w:p>
      <w:r>
        <w:br w:type="page"/>
      </w:r>
    </w:p>
    <w:p>
      <w:pPr>
        <w:pStyle w:val="Heading1"/>
      </w:pPr>
      <w:r>
        <w:t>1. Uygulama Künyesi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765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Değer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Uygulama adı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Model Validasyonu (Model Validation)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Workspace</w:t>
            </w:r>
          </w:p>
        </w:tc>
        <w:tc>
          <w:tcPr>
            <w:tcW w:type="dxa" w:w="765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Model Riski Yönetimi (MRM)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Anahtar alan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Validasyon Başlığı (Text). Tekil kimlik: Validasyon ID (Tracking ID).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Ana ilişki</w:t>
            </w:r>
          </w:p>
        </w:tc>
        <w:tc>
          <w:tcPr>
            <w:tcW w:type="dxa" w:w="765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İlgili Model → Model Envanteri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9"/>
              </w:rPr>
              <w:t>İş akışı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/>
                <w:b w:val="0"/>
                <w:sz w:val="19"/>
              </w:rPr>
              <w:t>Planlandı → Devam → Bulgu Gözden Geçirme → Onayda → Tamamlandı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Alan sayısı</w:t>
            </w:r>
          </w:p>
        </w:tc>
        <w:tc>
          <w:tcPr>
            <w:tcW w:type="dxa" w:w="765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60 (Kimlik/Bağımsızlık, Kavramsal Sağlamlık, Süreç Doğrulama, Çıktı Analizi, Sonuç, Onay, Takip, Sistem)</w:t>
            </w:r>
          </w:p>
        </w:tc>
      </w:tr>
    </w:tbl>
    <w:p>
      <w:pPr>
        <w:pStyle w:val="Heading1"/>
      </w:pPr>
      <w:r>
        <w:t>2. Temel Tasarım İlkesi: ÖNERİ ≠ KARAR</w:t>
      </w:r>
    </w:p>
    <w:p>
      <w:r>
        <w:rPr>
          <w:i w:val="0"/>
          <w:sz w:val="21"/>
        </w:rPr>
        <w:t>SS1/23 4.1b ve 2.13 uyarınca bağımsız validasyon fonksiyonu bir ÖNERİ üretir; ONAY yetkisi ayrı bir onay makamındadır (Model Risk Komitesi / üst yönetim). Bu nedenle uygulamada:</w:t>
      </w:r>
    </w:p>
    <w:p>
      <w:pPr>
        <w:pStyle w:val="ListBullet"/>
      </w:pPr>
      <w:r>
        <w:rPr>
          <w:b/>
        </w:rPr>
        <w:t>İki ayrı alan</w:t>
      </w:r>
      <w:r>
        <w:t xml:space="preserve"> – [Validasyon Sonucu (ÖNERİ)] ve [Onay Kararı] AYRI iki alandır.</w:t>
      </w:r>
    </w:p>
    <w:p>
      <w:pPr>
        <w:pStyle w:val="ListBullet"/>
      </w:pPr>
      <w:r>
        <w:rPr>
          <w:b/>
        </w:rPr>
        <w:t>İki ayrı rol</w:t>
      </w:r>
      <w:r>
        <w:t xml:space="preserve"> – Öneri alanları yalnız 2. hat bağımsız validasyona; onay alanları yalnız Model Risk Komitesine yazılabilir (FLS).</w:t>
      </w:r>
    </w:p>
    <w:p>
      <w:pPr>
        <w:pStyle w:val="ListBullet"/>
      </w:pPr>
      <w:r>
        <w:rPr>
          <w:b/>
        </w:rPr>
        <w:t>İki ayrı adım</w:t>
      </w:r>
      <w:r>
        <w:t xml:space="preserve"> – Advanced Workflow’da öneri (N4) ile onay (N5) ayrı node’lardır.</w:t>
      </w:r>
    </w:p>
    <w:p>
      <w:pPr>
        <w:pStyle w:val="Heading1"/>
      </w:pPr>
      <w:r>
        <w:t>3. Alan Grupları (Özet)</w:t>
      </w:r>
    </w:p>
    <w:p>
      <w:pPr>
        <w:pStyle w:val="ListBullet"/>
      </w:pPr>
      <w:r>
        <w:rPr>
          <w:b/>
        </w:rPr>
        <w:t>Kimlik (1-9)</w:t>
      </w:r>
      <w:r>
        <w:t xml:space="preserve"> – Validasyon ID/başlık, ilgili model, getirilen tier, validasyon türü, gerekçe/tetik, kapsam, planlı/fiili tarihler</w:t>
      </w:r>
    </w:p>
    <w:p>
      <w:pPr>
        <w:pStyle w:val="ListBullet"/>
      </w:pPr>
      <w:r>
        <w:rPr>
          <w:b/>
        </w:rPr>
        <w:t>Bağımsızlık (10-13)</w:t>
      </w:r>
      <w:r>
        <w:t xml:space="preserve"> – Validatör, validasyon birimi, bağımsızlık teyidi (ECB 3 opsiyon + dış uzman), dış uzman kuruluş</w:t>
      </w:r>
    </w:p>
    <w:p>
      <w:pPr>
        <w:pStyle w:val="ListBullet"/>
      </w:pPr>
      <w:r>
        <w:rPr>
          <w:b/>
        </w:rPr>
        <w:t>Kavramsal Sağlamlık (14-21)</w:t>
      </w:r>
      <w:r>
        <w:t xml:space="preserve"> – Teori/metodoloji, amaca uygunluk, varsayım, duyarlılık, veri kalitesi/temsil, geliştirme kanıtı, nitel değerlendirme, sonuç</w:t>
      </w:r>
    </w:p>
    <w:p>
      <w:pPr>
        <w:pStyle w:val="ListBullet"/>
      </w:pPr>
      <w:r>
        <w:rPr>
          <w:b/>
        </w:rPr>
        <w:t>Süreç Doğrulama (22-27)</w:t>
      </w:r>
      <w:r>
        <w:t xml:space="preserve"> – Girdi/hesaplama-kod QA/entegrasyon/çıktı doğrulama, IT birebir üretim teyidi, sonuç</w:t>
      </w:r>
    </w:p>
    <w:p>
      <w:pPr>
        <w:pStyle w:val="ListBullet"/>
      </w:pPr>
      <w:r>
        <w:rPr>
          <w:b/>
        </w:rPr>
        <w:t>Çıktı Analizi &amp; Testler (28-37)</w:t>
      </w:r>
      <w:r>
        <w:t xml:space="preserve"> – Backtesting, ayrım gücü, temsil, override, stabilite, benchmarking, paralel çıktı, eşik ihlali, metrik linki, ilk-only görevler</w:t>
      </w:r>
    </w:p>
    <w:p>
      <w:pPr>
        <w:pStyle w:val="ListBullet"/>
      </w:pPr>
      <w:r>
        <w:rPr>
          <w:b/>
        </w:rPr>
        <w:t>Sonuç ve Bulgular (38-46)</w:t>
      </w:r>
      <w:r>
        <w:t xml:space="preserve"> – Etkin sorgulama, sınırlamalar, üretilen bulgular, ÖNERİ, rating, koşullar, rapor/tarih</w:t>
      </w:r>
    </w:p>
    <w:p>
      <w:pPr>
        <w:pStyle w:val="ListBullet"/>
      </w:pPr>
      <w:r>
        <w:rPr>
          <w:b/>
        </w:rPr>
        <w:t>Onay (47-52)</w:t>
      </w:r>
      <w:r>
        <w:t xml:space="preserve"> – Onaya sunum, onay makamı, ONAY KARARI, tarih, koşullar, üst yönetime raporlama</w:t>
      </w:r>
    </w:p>
    <w:p>
      <w:pPr>
        <w:pStyle w:val="ListBullet"/>
      </w:pPr>
      <w:r>
        <w:rPr>
          <w:b/>
        </w:rPr>
        <w:t>Takip (53-55)</w:t>
      </w:r>
      <w:r>
        <w:t xml:space="preserve"> – Sonraki revalidasyon tarihi (hesaplanan), açık aksiyonlar, validasyon durumu</w:t>
      </w:r>
    </w:p>
    <w:p>
      <w:pPr>
        <w:pStyle w:val="ListBullet"/>
      </w:pPr>
      <w:r>
        <w:rPr>
          <w:b/>
        </w:rPr>
        <w:t>Sistem (56-60)</w:t>
      </w:r>
      <w:r>
        <w:t xml:space="preserve"> – Kayıt izinleri, tarihler, History Log</w:t>
      </w:r>
    </w:p>
    <w:p>
      <w:pPr>
        <w:pStyle w:val="Heading1"/>
      </w:pPr>
      <w:r>
        <w:t>4. Validasyon Test Kataloğu</w:t>
      </w:r>
    </w:p>
    <w:p>
      <w:r>
        <w:rPr>
          <w:i w:val="0"/>
          <w:sz w:val="21"/>
        </w:rPr>
        <w:t>Çıktı analizi bölümü, ECB TRIM ve SR 11-7 test setine göre kurulmuştur; testlerin sıklığı (ilk / yıllık / periyodik / ilk-only) ve alan eşlemesi Excel “5. Validasyon Test Kataloğu” sekmesindedir. Öne çıkanlar:</w:t>
      </w:r>
    </w:p>
    <w:p>
      <w:pPr>
        <w:pStyle w:val="ListBullet"/>
      </w:pPr>
      <w:r>
        <w:t>Her validasyon: kavramsal sağlamlık + süreç doğrulama + nitel analizler + eşik değerlendirmesi.</w:t>
      </w:r>
    </w:p>
    <w:p>
      <w:pPr>
        <w:pStyle w:val="ListBullet"/>
      </w:pPr>
      <w:r>
        <w:t>En az yıllık: backtesting, ayrım gücü (AUC/Gini/KS), temsil, override, stabilite analizleri (tier’e göre yoğunluk).</w:t>
      </w:r>
    </w:p>
    <w:p>
      <w:pPr>
        <w:pStyle w:val="ListBullet"/>
      </w:pPr>
      <w:r>
        <w:t>Periyodik: benchmarking / kıyaslama.</w:t>
      </w:r>
    </w:p>
    <w:p>
      <w:pPr>
        <w:pStyle w:val="ListBullet"/>
      </w:pPr>
      <w:r>
        <w:t>Yalnız ilk validasyon + materyal değişiklik: model geliştirme replikasyonu, kod QA, IT birebir üretim teyidi.</w:t>
      </w:r>
    </w:p>
    <w:p>
      <w:pPr>
        <w:pStyle w:val="Heading1"/>
      </w:pPr>
      <w:r>
        <w:t>5. Kritik Mekanizmalar</w:t>
      </w:r>
    </w:p>
    <w:p>
      <w:pPr>
        <w:pStyle w:val="Heading2"/>
      </w:pPr>
      <w:r>
        <w:t>5.1 Hesaplanan alanlar</w:t>
      </w:r>
    </w:p>
    <w:p>
      <w:r>
        <w:rPr>
          <w:i w:val="0"/>
          <w:sz w:val="21"/>
        </w:rPr>
        <w:t>Sonraki revalidasyon tarihi, rapor tarihine modelin validasyon frekansının (ay) eklenmesiyle hesaplanır:</w:t>
      </w:r>
    </w:p>
    <w:p>
      <w:r>
        <w:rPr>
          <w:rFonts w:ascii="Consolas" w:hAnsi="Consolas"/>
          <w:sz w:val="17"/>
        </w:rPr>
        <w:t>IF(ISEMPTY([Rapor Tarihi]),"",DATEADD([Rapor Tarihi],"m",SELECTEDVALUENUMBER(MOSTRECENTVALUE(REF([İlgili Model],[Validasyon Frekansı])))))</w:t>
      </w:r>
    </w:p>
    <w:p>
      <w:pPr>
        <w:pStyle w:val="ListBullet"/>
      </w:pPr>
      <w:r>
        <w:t>Model Tier getirilen alanı: MOSTRECENTVALUE(REF([İlgili Model],[Tier])) — kapsam/yoğunluğu yönlendirir.</w:t>
      </w:r>
    </w:p>
    <w:p>
      <w:pPr>
        <w:pStyle w:val="ListBullet"/>
      </w:pPr>
      <w:r>
        <w:t>Süre (gün) = DATEDIF(Fiili Başlangıç, Fiili Bitiş); Bulgu Sayısı ilişkili bulgu adedi.</w:t>
      </w:r>
    </w:p>
    <w:p>
      <w:pPr>
        <w:pStyle w:val="Heading2"/>
      </w:pPr>
      <w:r>
        <w:t>5.2 DDE (koşullu davranış)</w:t>
      </w:r>
    </w:p>
    <w:p>
      <w:pPr>
        <w:pStyle w:val="ListBullet"/>
      </w:pPr>
      <w:r>
        <w:t>Validasyon Türü = İlk → replikasyon/kod QA/IT uygunluk alanları görünür ve zorunlu.</w:t>
      </w:r>
    </w:p>
    <w:p>
      <w:pPr>
        <w:pStyle w:val="ListBullet"/>
      </w:pPr>
      <w:r>
        <w:t>Model Tier = Tier 1 → backtesting/ayrım gücü/derin kapsam alanları zorunlu.</w:t>
      </w:r>
    </w:p>
    <w:p>
      <w:pPr>
        <w:pStyle w:val="ListBullet"/>
      </w:pPr>
      <w:r>
        <w:t>Bağımsızlık = Dış Uzman → Dış Uzman Kuruluş (Tedarikçi) zorunlu.</w:t>
      </w:r>
    </w:p>
    <w:p>
      <w:pPr>
        <w:pStyle w:val="ListBullet"/>
      </w:pPr>
      <w:r>
        <w:t>Eşik İhlali = İhlal → bulgu oluştur uyarısı + Üretilen Bulgular öne çıkar.</w:t>
      </w:r>
    </w:p>
    <w:p>
      <w:pPr>
        <w:pStyle w:val="ListBullet"/>
      </w:pPr>
      <w:r>
        <w:t>Sonuç = Koşullu Onay Önerilir → Önerilen Koşullar zorunlu; Onay = Koşullu → Onay Koşulları zorunlu.</w:t>
      </w:r>
    </w:p>
    <w:p>
      <w:pPr>
        <w:pStyle w:val="Heading2"/>
      </w:pPr>
      <w:r>
        <w:t>5.3 Advanced Workflow</w:t>
      </w:r>
    </w:p>
    <w:p>
      <w:r>
        <w:rPr>
          <w:i w:val="0"/>
          <w:sz w:val="21"/>
        </w:rPr>
        <w:t>Planlandı → Devam Ediyor → Bulgu Gözden Geçirme → (öneri damgalanır) → Onayda → Onayla/Koşullu/Reddet → Tamamlandı. Onay node’unda Model Envanteri otomatik güncellenir (durum + son validasyon tarihi + sonraki revalidasyon tarihi).</w:t>
      </w:r>
    </w:p>
    <w:p>
      <w:pPr>
        <w:pStyle w:val="Heading2"/>
      </w:pPr>
      <w:r>
        <w:t>5.4 Bağımsızlık (FLS)</w:t>
      </w:r>
    </w:p>
    <w:p>
      <w:r>
        <w:rPr>
          <w:i w:val="0"/>
          <w:sz w:val="21"/>
        </w:rPr>
        <w:t>1. hat (geliştirici/sahip) validasyon kaydının Etkin Sorgulama / Sonuç / ÖNERİ bölümlerini göremez/değiştiremez; bu bölümler yalnız bağımsız validasyona açıktır. Onay alanları yalnız Model Risk Komitesine yazılabilir. Detay: Excel “9. Erişim &amp; FLS”. Bu düzen SR 11-7 / SS1/23 / ECB bağımsızlık ilkesinin sistemsel karşılığıdır.</w:t>
      </w:r>
    </w:p>
    <w:p>
      <w:pPr>
        <w:pStyle w:val="Heading1"/>
      </w:pPr>
      <w:r>
        <w:t>6. Mevcut Uygulamalarla Bağlantı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Validasyon alanı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Bağlanan mevcut uygulama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İlgili Model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Model Envanteri (ters: Validasyon Kayıtları)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Üretilen Bulgular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Bulgular (=Issues Management)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Açık Aksiyonlar / Remediation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Aksiyon Planları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İlgili İzleme Metrikleri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Metrik Sonuçları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sz w:val="19"/>
              </w:rPr>
              <w:t>Dış Uzman Kuruluş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Tedarikçi (BDDK 'uzman kuruluş')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Validasyon Birimi</w:t>
            </w:r>
          </w:p>
        </w:tc>
        <w:tc>
          <w:tcPr>
            <w:tcW w:type="dxa" w:w="623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sz w:val="19"/>
              </w:rPr>
              <w:t>Organizasyon / İş Hiyerarşisi (2. hat)</w:t>
            </w:r>
          </w:p>
        </w:tc>
      </w:tr>
    </w:tbl>
    <w:p>
      <w:pPr>
        <w:pStyle w:val="Heading1"/>
      </w:pPr>
      <w:r>
        <w:t>7. Doğrulanacak Noktalar</w:t>
      </w:r>
    </w:p>
    <w:p>
      <w:pPr>
        <w:pStyle w:val="ListBullet"/>
      </w:pPr>
      <w:r>
        <w:t>DATEADD ay-jetonu ('m') ve referanslı Values List üzerinde SELECTEDVALUENUMBER kullanımı canlı Archer örneğinde teyit edilmeli (alternatif: frekansı sayısal alan olarak REF ile bu kayda çekip DATEADD uygulamak).</w:t>
      </w:r>
    </w:p>
    <w:p>
      <w:pPr>
        <w:pStyle w:val="ListBullet"/>
      </w:pPr>
      <w:r>
        <w:t>Bulgu sayısı için REF/COUNT davranışı canlı örnekte doğrulanmalı; gerekirse rollup alanı kullanılmalı.</w:t>
      </w:r>
    </w:p>
    <w:p>
      <w:pPr>
        <w:pStyle w:val="ListBullet"/>
      </w:pPr>
      <w:r>
        <w:t>App-Pack lisans durumu → alan adları App-Pack 'Model Validation' veri sözlüğüyle hizalanmalı.</w:t>
      </w:r>
    </w:p>
    <w:p>
      <w:pPr>
        <w:pStyle w:val="ListBullet"/>
      </w:pPr>
      <w:r>
        <w:t>Tier→validasyon kapsam/frekans eşiği ve test eşikleri (threshold) banka MRM politikasıyla kalibre edilmeli.</w:t>
      </w:r>
    </w:p>
    <w:p>
      <w:pPr>
        <w:pStyle w:val="ListBullet"/>
      </w:pPr>
      <w:r>
        <w:t>BDDK 'uzman kuruluş' ile dış validasyon senaryosunda sözleşme/gizlilik gereklilikleri hukukla teyit edilmeli.</w:t>
      </w:r>
    </w:p>
    <w:p>
      <w:r>
        <w:rPr>
          <w:i w:val="0"/>
          <w:sz w:val="21"/>
        </w:rPr>
      </w:r>
    </w:p>
    <w:p>
      <w:r>
        <w:rPr>
          <w:i/>
          <w:color w:val="595959"/>
          <w:sz w:val="19"/>
        </w:rPr>
        <w:t>Not: Bu, regülasyon ve Archer platform araştırmasına dayalı eksiksiz bir başlangıç konfigürasyonudur; banka Archer sürümü, lisanslı modüller ve mevcut uygulama şemalarıyla birlikte nihai hale getirilecektir.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