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MODEL ENVANTERİ</w:t>
      </w:r>
    </w:p>
    <w:p>
      <w:pPr>
        <w:jc w:val="center"/>
      </w:pPr>
      <w:r>
        <w:rPr>
          <w:b/>
          <w:color w:val="2E5496"/>
          <w:sz w:val="30"/>
        </w:rPr>
        <w:t>Archer Field-Config – Teknik Kurulum Notu</w:t>
      </w:r>
    </w:p>
    <w:p>
      <w:pPr>
        <w:jc w:val="center"/>
      </w:pPr>
      <w:r>
        <w:rPr>
          <w:color w:val="595959"/>
          <w:sz w:val="22"/>
        </w:rPr>
        <w:t>Hedef birim: Yazılım Geliştirme Daire Başkanlığı</w:t>
      </w:r>
    </w:p>
    <w:p>
      <w:pPr>
        <w:jc w:val="center"/>
      </w:pPr>
      <w:r>
        <w:rPr>
          <w:color w:val="595959"/>
          <w:sz w:val="22"/>
        </w:rPr>
        <w:t>Ek: Model_Envanteri_Archer_Field_Config.xlsx (12 sekme, 79 alan)</w:t>
      </w:r>
    </w:p>
    <w:p>
      <w:pPr>
        <w:jc w:val="center"/>
      </w:pPr>
      <w:r>
        <w:rPr>
          <w:color w:val="595959"/>
          <w:sz w:val="22"/>
        </w:rPr>
        <w:t>Taslak v0.1</w:t>
      </w:r>
    </w:p>
    <w:p/>
    <w:p>
      <w:r>
        <w:rPr>
          <w:i/>
          <w:color w:val="595959"/>
          <w:sz w:val="19"/>
        </w:rPr>
        <w:t>Bu not, Model Envanteri uygulamasının Archer üzerinde nasıl kurulacağını anlatır; alan-seviyesi tam konfigürasyon (her alanın Archer tipi, zorunluluğu, seçim listesi, cross-reference hedefi, hesaplama formülü, DDE davranışı), ekteki Excel çalışma kitabındadır. Tasarım, OSFI E-23 asgari envanter şeması + PRA SS1/23 §1.2c + SR 11-7 + Archer MRM App-Pack yapısı çapraz doğrulamasına dayanır.</w:t>
      </w:r>
    </w:p>
    <w:p>
      <w:r>
        <w:br w:type="page"/>
      </w:r>
    </w:p>
    <w:p>
      <w:pPr>
        <w:pStyle w:val="Heading1"/>
      </w:pPr>
      <w:r>
        <w:t>1. Uygulama Künyesi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Özellik</w:t>
            </w:r>
          </w:p>
        </w:tc>
        <w:tc>
          <w:tcPr>
            <w:tcW w:type="dxa" w:w="765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Değer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Uygulama adı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Model Envanteri (Model Inventory)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Workspace</w:t>
            </w:r>
          </w:p>
        </w:tc>
        <w:tc>
          <w:tcPr>
            <w:tcW w:type="dxa" w:w="765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Model Riski Yönetimi (MRM) – yeni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Uygulama tipi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Standart (leveled değil); kayıt-seviyesi güvenlik açık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Anahtar alan</w:t>
            </w:r>
          </w:p>
        </w:tc>
        <w:tc>
          <w:tcPr>
            <w:tcW w:type="dxa" w:w="765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Model Adı (Text, unique). Tekil sistem kimliği: Model ID (Tracking ID).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İş akışı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Advanced Workflow (yaşam döngüsü + validasyon/onay + sertifikasyon)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Alan sayısı</w:t>
            </w:r>
          </w:p>
        </w:tc>
        <w:tc>
          <w:tcPr>
            <w:tcW w:type="dxa" w:w="765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79 (12 mantıksal grup, 6 kullanıcı sekmesi + Sistem)</w:t>
            </w:r>
          </w:p>
        </w:tc>
      </w:tr>
    </w:tbl>
    <w:p>
      <w:pPr>
        <w:pStyle w:val="Heading1"/>
      </w:pPr>
      <w:r>
        <w:t>2. Tasarım Kararları</w:t>
      </w:r>
    </w:p>
    <w:p>
      <w:pPr>
        <w:pStyle w:val="Heading2"/>
      </w:pPr>
      <w:r>
        <w:t>2.1 App-Pack mı, özel kurulum mu?</w:t>
      </w:r>
    </w:p>
    <w:p>
      <w:r>
        <w:rPr>
          <w:i w:val="0"/>
          <w:sz w:val="21"/>
        </w:rPr>
        <w:t>Archer, hazır bir “Model Risk Management App-Pack” sunar (Platform 6.10+; Business Unit ve Issues Management kullanım senaryolarını gerektirir). Bunun Model Inventory uygulaması General Information alanları — Model Name, Model Version, Model Type, Model Category, Priority, Model Implementation, Purpose — ve Business Unit Owner / Model Risk Program Manager rolleri, bu tasarımla birebir örtüşür.</w:t>
      </w:r>
    </w:p>
    <w:p>
      <w:pPr>
        <w:pStyle w:val="ListBullet"/>
      </w:pPr>
      <w:r>
        <w:rPr>
          <w:b/>
        </w:rPr>
        <w:t>Senaryo A</w:t>
      </w:r>
      <w:r>
        <w:t xml:space="preserve"> – Banka App-Pack’i lisanslıyorsa: yeni Model Envanteri/Validasyon/Değişiklik/Sertifikasyon yapısını App-Pack tabanına hizalayın; Business Unit ve Issues Management cross-reference’larını yeniden kullanın; paralel yapı kurmayın.</w:t>
      </w:r>
    </w:p>
    <w:p>
      <w:pPr>
        <w:pStyle w:val="ListBullet"/>
      </w:pPr>
      <w:r>
        <w:rPr>
          <w:b/>
        </w:rPr>
        <w:t>Senaryo B</w:t>
      </w:r>
      <w:r>
        <w:t xml:space="preserve"> – Lisans yoksa: aynı yapıyı core Archer alan tipleriyle kurun (bu Excel tam bunu tarifler). Her iki senaryoya da uygundur.</w:t>
      </w:r>
    </w:p>
    <w:p>
      <w:pPr>
        <w:pStyle w:val="Heading2"/>
      </w:pPr>
      <w:r>
        <w:t>2.2 Mevcut uygulamaların yeniden kullanımı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Model Envanteri alanı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Mevcut Archer uygulaması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Sahip İş Birimi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Organizasyon / İş Hiyerarşisi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= Archer 'Business Unit'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Açık Bulgular / Aksiyon Planları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Bulgular + Aksiyon Planları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= 'Issues Management'; yeni bulgu uygulaması AÇILMAZ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Barındıran Sistem / Donanım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Uygulamalar / Donanımlar / IT Hizmetleri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BT altyapısı bağı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Girdi Veri Varlıkları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Bilgi Varlıkları Envanteri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Veri/lineage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Telafi Edici Kontroller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Kontroller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Model riskini azaltan kontroller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İzleme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Metrikler / Metrik Sonuçları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MRM metrik seti; eşik aşımı → Bulgu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İlgili Mevzuat / Politika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Yasal Mevzuatlar / Politikalar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BDDK eşleme ve MRM politikası</w:t>
            </w:r>
          </w:p>
        </w:tc>
      </w:tr>
    </w:tbl>
    <w:p>
      <w:pPr>
        <w:pStyle w:val="Heading1"/>
      </w:pPr>
      <w:r>
        <w:t>3. Alan Grupları (Özet)</w:t>
      </w:r>
    </w:p>
    <w:p>
      <w:r>
        <w:rPr>
          <w:i w:val="0"/>
          <w:sz w:val="21"/>
        </w:rPr>
        <w:t>Tam alan listesi Excel “1. Field Config” sekmesindedir. 79 alan, kaynağıyla birlikte şu gruplara ayrılır:</w:t>
      </w:r>
    </w:p>
    <w:p>
      <w:pPr>
        <w:pStyle w:val="ListBullet"/>
      </w:pPr>
      <w:r>
        <w:rPr>
          <w:b/>
        </w:rPr>
        <w:t>Kimlik (1-4)</w:t>
      </w:r>
      <w:r>
        <w:t xml:space="preserve"> – Model ID (Tracking ID), Model Adı (key/unique), tanım, versiyon</w:t>
      </w:r>
    </w:p>
    <w:p>
      <w:pPr>
        <w:pStyle w:val="ListBullet"/>
      </w:pPr>
      <w:r>
        <w:rPr>
          <w:b/>
        </w:rPr>
        <w:t>Sınıflandırma (5-11)</w:t>
      </w:r>
      <w:r>
        <w:t xml:space="preserve"> – Tip, kategori (çoklu), öncelik, AI/ML·GenAI·Dinamik·Deterministik bayrakları</w:t>
      </w:r>
    </w:p>
    <w:p>
      <w:pPr>
        <w:pStyle w:val="ListBullet"/>
      </w:pPr>
      <w:r>
        <w:rPr>
          <w:b/>
        </w:rPr>
        <w:t>Amaç ve Kullanım (12-17)</w:t>
      </w:r>
      <w:r>
        <w:t xml:space="preserve"> – Amaç, ürün/portföy, onaylı vs fiili kullanım, kısıtlar, operasyonel sınırlar</w:t>
      </w:r>
    </w:p>
    <w:p>
      <w:pPr>
        <w:pStyle w:val="ListBullet"/>
      </w:pPr>
      <w:r>
        <w:rPr>
          <w:b/>
        </w:rPr>
        <w:t>Sahiplik ve Roller (18-24)</w:t>
      </w:r>
      <w:r>
        <w:t xml:space="preserve"> – Sahip birim, owner, developer, user, validator, approver, MRM programı</w:t>
      </w:r>
    </w:p>
    <w:p>
      <w:pPr>
        <w:pStyle w:val="ListBullet"/>
      </w:pPr>
      <w:r>
        <w:rPr>
          <w:b/>
        </w:rPr>
        <w:t>Köken ve Barındırma (25-29)</w:t>
      </w:r>
      <w:r>
        <w:t xml:space="preserve"> – Köken, tedarikçi, grup validasyonu, barındıran sistem/donanım</w:t>
      </w:r>
    </w:p>
    <w:p>
      <w:pPr>
        <w:pStyle w:val="ListBullet"/>
      </w:pPr>
      <w:r>
        <w:rPr>
          <w:b/>
        </w:rPr>
        <w:t>Kritiklik ve Risk (30-36)</w:t>
      </w:r>
      <w:r>
        <w:t xml:space="preserve"> – Kritiklik anketi linki, materyalite/karmaşıklık/içsel risk skorları, tier, risk derecesi, artık risk</w:t>
      </w:r>
    </w:p>
    <w:p>
      <w:pPr>
        <w:pStyle w:val="ListBullet"/>
      </w:pPr>
      <w:r>
        <w:rPr>
          <w:b/>
        </w:rPr>
        <w:t>Metodoloji ve Veri (37-46)</w:t>
      </w:r>
      <w:r>
        <w:t xml:space="preserve"> – Metodoloji, hedef değişken, algoritma, veri kaynakları/varlıkları, çıktı, upstream/downstream, dokümantasyon</w:t>
      </w:r>
    </w:p>
    <w:p>
      <w:pPr>
        <w:pStyle w:val="ListBullet"/>
      </w:pPr>
      <w:r>
        <w:rPr>
          <w:b/>
        </w:rPr>
        <w:t>Varsayım-Sınır-Bulgu (47-56)</w:t>
      </w:r>
      <w:r>
        <w:t xml:space="preserve"> – Varsayım, sınırlama, yakalanamayan risk, telafi kontrolleri, sağlık göstergesi, açık bulgular, mevzuat/politika</w:t>
      </w:r>
    </w:p>
    <w:p>
      <w:pPr>
        <w:pStyle w:val="ListBullet"/>
      </w:pPr>
      <w:r>
        <w:rPr>
          <w:b/>
        </w:rPr>
        <w:t>Yaşam Döngüsü ve Takvim (57-71)</w:t>
      </w:r>
      <w:r>
        <w:t xml:space="preserve"> – Durum, tarihler, frekans, sonraki validasyon (hesaplanan), izleme/sertifikasyon durumu, ilişkili kayıtlar</w:t>
      </w:r>
    </w:p>
    <w:p>
      <w:pPr>
        <w:pStyle w:val="ListBullet"/>
      </w:pPr>
      <w:r>
        <w:rPr>
          <w:b/>
        </w:rPr>
        <w:t>Emeklilik (72-74)</w:t>
      </w:r>
      <w:r>
        <w:t xml:space="preserve"> – Gerekçe, tarih, saklama süresi</w:t>
      </w:r>
    </w:p>
    <w:p>
      <w:pPr>
        <w:pStyle w:val="ListBullet"/>
      </w:pPr>
      <w:r>
        <w:rPr>
          <w:b/>
        </w:rPr>
        <w:t>Sistem (75-79)</w:t>
      </w:r>
      <w:r>
        <w:t xml:space="preserve"> – Kayıt izinleri, tarihler, History Log</w:t>
      </w:r>
    </w:p>
    <w:p>
      <w:pPr>
        <w:pStyle w:val="Heading1"/>
      </w:pPr>
      <w:r>
        <w:t>4. Kritik Mekanizmalar</w:t>
      </w:r>
    </w:p>
    <w:p>
      <w:pPr>
        <w:pStyle w:val="Heading2"/>
      </w:pPr>
      <w:r>
        <w:t>4.1 Hesaplanan alanlar (Archer formülü)</w:t>
      </w:r>
    </w:p>
    <w:p>
      <w:r>
        <w:rPr>
          <w:i w:val="0"/>
          <w:sz w:val="21"/>
        </w:rPr>
        <w:t>Sonraki validasyon tarihi, frekansın (ay olarak sayısal eşlenmiş) son validasyon tarihine eklenmesiyle hesaplanır:</w:t>
      </w:r>
    </w:p>
    <w:p>
      <w:r>
        <w:rPr>
          <w:rFonts w:ascii="Consolas" w:hAnsi="Consolas"/>
          <w:sz w:val="18"/>
        </w:rPr>
        <w:t>IF(ISEMPTY([Son Validasyon Tarihi]),"",DATEADD([Son Validasyon Tarihi],"m",SELECTEDVALUENUMBER([Validasyon Frekansı])))</w:t>
      </w:r>
    </w:p>
    <w:p>
      <w:pPr>
        <w:pStyle w:val="ListBullet"/>
      </w:pPr>
      <w:r>
        <w:t>Gecikme bayrağı: sonraki tarih geçmişse 'Gecikmiş', 30 gün içindeyse 'Yaklaşan', aksi 'Zamanında'.</w:t>
      </w:r>
    </w:p>
    <w:p>
      <w:pPr>
        <w:pStyle w:val="ListBullet"/>
      </w:pPr>
      <w:r>
        <w:t>Materyalite/karmaşıklık skorları: Kritiklik questionnaire'inden WEIGHTEDSCORE ile hesaplanıp REF/MOSTRECENTVALUE ile envantere çekilir (WEIGHTEDSCORE yalnız questionnaire'de çalışır).</w:t>
      </w:r>
    </w:p>
    <w:p>
      <w:pPr>
        <w:pStyle w:val="ListBullet"/>
      </w:pPr>
      <w:r>
        <w:t>İçsel risk skoru = materyalite × karmaşıklık; tier bu skordan politika eşikleriyle önerilir, validasyonda teyit edilir.</w:t>
      </w:r>
    </w:p>
    <w:p>
      <w:pPr>
        <w:pStyle w:val="Heading2"/>
      </w:pPr>
      <w:r>
        <w:t>4.2 Data-Driven Events (koşullu davranış)</w:t>
      </w:r>
    </w:p>
    <w:p>
      <w:pPr>
        <w:pStyle w:val="ListBullet"/>
      </w:pPr>
      <w:r>
        <w:t>AI/ML bayrağı = Evet → AI alanları ve AI/ML Ek anketi görünür/zorunlu.</w:t>
      </w:r>
    </w:p>
    <w:p>
      <w:pPr>
        <w:pStyle w:val="ListBullet"/>
      </w:pPr>
      <w:r>
        <w:t>Deterministik/EUC = Evet → validasyon sekmeleri gizlenir, 'kontrol-yalnızca' yol açılır (SS1/23 1.1c).</w:t>
      </w:r>
    </w:p>
    <w:p>
      <w:pPr>
        <w:pStyle w:val="ListBullet"/>
      </w:pPr>
      <w:r>
        <w:t>Köken = Satıcı → Tedarikçi zorunlu; Köken = Grup-Ana → grup validasyon koşulları zorunlu.</w:t>
      </w:r>
    </w:p>
    <w:p>
      <w:pPr>
        <w:pStyle w:val="ListBullet"/>
      </w:pPr>
      <w:r>
        <w:t>Tier ∈ {1,2} → OSFI 'non-negligible' ek alanları (versiyon, operasyonel sınır, validatör, veri kaynağı) zorunlu.</w:t>
      </w:r>
    </w:p>
    <w:p>
      <w:pPr>
        <w:pStyle w:val="ListBullet"/>
      </w:pPr>
      <w:r>
        <w:t>Durum = Koşullu Onaylı → PMA/İstisna zorunlu; Durum = Emekli → emeklilik gerekçesi/tarihi zorunlu.</w:t>
      </w:r>
    </w:p>
    <w:p>
      <w:pPr>
        <w:pStyle w:val="Heading2"/>
      </w:pPr>
      <w:r>
        <w:t>4.3 Advanced Workflow (yaşam döngüsü)</w:t>
      </w:r>
    </w:p>
    <w:p>
      <w:r>
        <w:rPr>
          <w:i w:val="0"/>
          <w:sz w:val="21"/>
        </w:rPr>
        <w:t>Taslak → Geliştirme → Bağımsız Validasyonda → (Evaluate) → Onayda → Onaylı/Prod (veya Koşullu Onaylı) → İzlemede → (Revalidasyon tetiği) → … → Emekli. User Action node’larının geçişleri Approve/Reject/Return butonları olur; Update Content node’ları Model Durumu’nu damgalar. Onay kararı (Model Risk Komitesi) validasyon önerisinden ayrıdır.</w:t>
      </w:r>
    </w:p>
    <w:p>
      <w:pPr>
        <w:pStyle w:val="Heading2"/>
      </w:pPr>
      <w:r>
        <w:t>4.4 Bağımsızlık (alan-seviyesi güvenlik)</w:t>
      </w:r>
    </w:p>
    <w:p>
      <w:r>
        <w:rPr>
          <w:i w:val="0"/>
          <w:sz w:val="21"/>
        </w:rPr>
        <w:t>Bağımsız validasyon fonksiyonu, geliştirme/sahiplik alanlarını salt-okur görür; skor/tier teyidi ve validasyon kayıtlarında yazma yetkisine sahiptir. Bu FLS düzeni, SR 11-7 / SS1/23 / ECB bağımsızlık ilkesinin sistemsel karşılığıdır (Excel “8. Erişim &amp; FLS”).</w:t>
      </w:r>
    </w:p>
    <w:p>
      <w:pPr>
        <w:pStyle w:val="Heading1"/>
      </w:pPr>
      <w:r>
        <w:t>5. Doğrulanacak Noktalar</w:t>
      </w:r>
    </w:p>
    <w:p>
      <w:pPr>
        <w:pStyle w:val="ListBullet"/>
      </w:pPr>
      <w:r>
        <w:t>DATEADD ay-kaydırma jetonu ('m' / 'month') canlı Archer örneğinde veya fonksiyon referansında birebir teyit edilmeli.</w:t>
      </w:r>
    </w:p>
    <w:p>
      <w:pPr>
        <w:pStyle w:val="ListBullet"/>
      </w:pPr>
      <w:r>
        <w:t>Numeric alan min/max/ondalık özellik etiketleri canlı örnekte doğrulanmalı.</w:t>
      </w:r>
    </w:p>
    <w:p>
      <w:pPr>
        <w:pStyle w:val="ListBullet"/>
      </w:pPr>
      <w:r>
        <w:t>App-Pack lisans durumu netleşince, alan adları App-Pack veri sözlüğüyle birebir hizalanmalı.</w:t>
      </w:r>
    </w:p>
    <w:p>
      <w:pPr>
        <w:pStyle w:val="ListBullet"/>
      </w:pPr>
      <w:r>
        <w:t>Tier→frekans eşiği (P1/P2/P3) ve validasyon frekansları banka MRM politikası/risk iştahıyla kalibre edilmeli.</w:t>
      </w:r>
    </w:p>
    <w:p>
      <w:r>
        <w:rPr>
          <w:i w:val="0"/>
          <w:sz w:val="21"/>
        </w:rPr>
      </w:r>
    </w:p>
    <w:p>
      <w:r>
        <w:rPr>
          <w:i/>
          <w:color w:val="595959"/>
          <w:sz w:val="19"/>
        </w:rPr>
        <w:t>Not: Bu, regülasyon ve Archer platform araştırmasına dayalı eksiksiz bir başlangıç konfigürasyonudur; banka Archer sürümü, lisanslı modüller ve mevcut uygulama şemalarıyla birlikte nihai hale getirilecektir.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