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rPr>
          <w:rFonts w:ascii="Times New Roman" w:hAnsi="Times New Roman"/>
          <w:sz w:val="20"/>
          <w:szCs w:val="20"/>
        </w:rPr>
      </w:pPr>
      <w:r>
        <w:rPr>
          <w:rFonts w:ascii="Times New Roman" w:hAnsi="Times New Roman"/>
          <w:sz w:val="20"/>
          <w:szCs w:val="20"/>
        </w:rPr>
        <w:drawing xmlns:a="http://schemas.openxmlformats.org/drawingml/2006/main">
          <wp:anchor distT="0" distB="0" distL="0" distR="0" simplePos="0" relativeHeight="251659264" behindDoc="0" locked="0" layoutInCell="1" allowOverlap="1">
            <wp:simplePos x="0" y="0"/>
            <wp:positionH relativeFrom="margin">
              <wp:posOffset>-6349</wp:posOffset>
            </wp:positionH>
            <wp:positionV relativeFrom="line">
              <wp:posOffset>0</wp:posOffset>
            </wp:positionV>
            <wp:extent cx="1028700" cy="1095160"/>
            <wp:effectExtent l="0" t="0" r="0" b="0"/>
            <wp:wrapNone/>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4">
                      <a:extLst/>
                    </a:blip>
                    <a:stretch>
                      <a:fillRect/>
                    </a:stretch>
                  </pic:blipFill>
                  <pic:spPr>
                    <a:xfrm>
                      <a:off x="0" y="0"/>
                      <a:ext cx="1028700" cy="1095160"/>
                    </a:xfrm>
                    <a:prstGeom prst="rect">
                      <a:avLst/>
                    </a:prstGeom>
                    <a:ln w="12700" cap="flat">
                      <a:noFill/>
                      <a:miter lim="400000"/>
                    </a:ln>
                    <a:effectLst/>
                  </pic:spPr>
                </pic:pic>
              </a:graphicData>
            </a:graphic>
          </wp:anchor>
        </w:drawing>
      </w:r>
    </w:p>
    <w:p>
      <w:pPr>
        <w:pStyle w:val="Body Text"/>
        <w:rPr>
          <w:rFonts w:ascii="Times New Roman" w:hAnsi="Times New Roman"/>
          <w:sz w:val="20"/>
          <w:szCs w:val="20"/>
        </w:rPr>
      </w:pPr>
    </w:p>
    <w:p>
      <w:pPr>
        <w:pStyle w:val="Heading"/>
      </w:pPr>
      <w:r>
        <w:rPr>
          <w:outline w:val="0"/>
          <w:color w:val="1f3864"/>
          <w:u w:color="1f3864"/>
          <w:rtl w:val="0"/>
          <w:lang w:val="en-US"/>
          <w14:textFill>
            <w14:solidFill>
              <w14:srgbClr w14:val="1F3864"/>
            </w14:solidFill>
          </w14:textFill>
        </w:rPr>
        <w:t>Python for Astronomy</w:t>
      </w:r>
    </w:p>
    <w:p>
      <w:pPr>
        <w:pStyle w:val="Body A"/>
        <w:spacing w:before="215"/>
        <w:ind w:left="1479" w:right="739" w:firstLine="0"/>
        <w:jc w:val="center"/>
        <w:rPr>
          <w:b w:val="1"/>
          <w:bCs w:val="1"/>
          <w:sz w:val="28"/>
          <w:szCs w:val="28"/>
        </w:rPr>
      </w:pPr>
      <w:r>
        <w:rPr>
          <w:b w:val="1"/>
          <w:bCs w:val="1"/>
          <w:outline w:val="0"/>
          <w:color w:val="1f3864"/>
          <w:sz w:val="28"/>
          <w:szCs w:val="28"/>
          <w:u w:color="1f3864"/>
          <w:rtl w:val="0"/>
          <w:lang w:val="en-US"/>
          <w14:textFill>
            <w14:solidFill>
              <w14:srgbClr w14:val="1F3864"/>
            </w14:solidFill>
          </w14:textFill>
        </w:rPr>
        <w:t>Learn the Python Jupyter Data Science. Use it for your STEM career.</w:t>
      </w:r>
    </w:p>
    <w:p>
      <w:pPr>
        <w:pStyle w:val="Body Text"/>
        <w:rPr>
          <w:b w:val="1"/>
          <w:bCs w:val="1"/>
          <w:sz w:val="12"/>
          <w:szCs w:val="12"/>
        </w:rPr>
      </w:pPr>
    </w:p>
    <w:p>
      <w:pPr>
        <w:pStyle w:val="Body Text"/>
        <w:spacing w:before="52" w:line="261" w:lineRule="auto"/>
        <w:ind w:left="840" w:right="47" w:firstLine="0"/>
        <w:rPr>
          <w:sz w:val="22"/>
          <w:szCs w:val="22"/>
        </w:rPr>
      </w:pPr>
    </w:p>
    <w:p>
      <w:pPr>
        <w:pStyle w:val="Body Text"/>
        <w:spacing w:before="52" w:line="261" w:lineRule="auto"/>
        <w:ind w:left="840" w:right="47" w:firstLine="0"/>
        <w:rPr>
          <w:sz w:val="22"/>
          <w:szCs w:val="22"/>
        </w:rPr>
      </w:pPr>
      <w:r>
        <w:rPr>
          <w:sz w:val="22"/>
          <w:szCs w:val="22"/>
          <w:rtl w:val="0"/>
          <w:lang w:val="en-US"/>
        </w:rPr>
        <w:t xml:space="preserve">Python has become the language of astronomy and astrophysics research </w:t>
      </w:r>
      <w:r>
        <w:rPr>
          <w:sz w:val="22"/>
          <w:szCs w:val="22"/>
          <w:rtl w:val="0"/>
          <w:lang w:val="en-US"/>
        </w:rPr>
        <w:t xml:space="preserve">– </w:t>
      </w:r>
      <w:r>
        <w:rPr>
          <w:sz w:val="22"/>
          <w:szCs w:val="22"/>
          <w:rtl w:val="0"/>
          <w:lang w:val="en-US"/>
        </w:rPr>
        <w:t>as well as other sciences and engineering. Join our Boyce-Astro seminar to get a start in python. As part of this curriculum, we will explore the lifetimes of stars using the Hertzsprung Russell diagram (HRD). We will then learn how to query large amounts of data from the Gaia, Kepler satellite databases using Python within a Jupyter Notebook. We will then analyze and filter this data to plot HRDs for hundred-thousands of stars in our immediate solar neighborhood and distant globular clusters.</w:t>
      </w:r>
    </w:p>
    <w:tbl>
      <w:tblPr>
        <w:tblW w:w="9917" w:type="dxa"/>
        <w:jc w:val="left"/>
        <w:tblInd w:w="9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6"/>
        <w:gridCol w:w="4981"/>
        <w:gridCol w:w="1160"/>
        <w:gridCol w:w="980"/>
        <w:gridCol w:w="1340"/>
      </w:tblGrid>
      <w:tr>
        <w:tblPrEx>
          <w:shd w:val="clear" w:color="auto" w:fill="4f81bd"/>
        </w:tblPrEx>
        <w:trPr>
          <w:trHeight w:val="254" w:hRule="atLeast"/>
          <w:tblHeader/>
        </w:trPr>
        <w:tc>
          <w:tcPr>
            <w:tcW w:type="dxa" w:w="9917"/>
            <w:gridSpan w:val="5"/>
            <w:tcBorders>
              <w:top w:val="single" w:color="929292" w:sz="4" w:space="0" w:shadow="0" w:frame="0"/>
              <w:left w:val="single" w:color="929292" w:sz="4" w:space="0" w:shadow="0" w:frame="0"/>
              <w:bottom w:val="single" w:color="ffffff" w:sz="4" w:space="0" w:shadow="0" w:frame="0"/>
              <w:right w:val="single" w:color="929292"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da-DK"/>
              </w:rPr>
              <w:t>BOYCE-ASTRO ONLINE SEMINARS</w:t>
            </w:r>
          </w:p>
        </w:tc>
      </w:tr>
      <w:tr>
        <w:tblPrEx>
          <w:shd w:val="clear" w:color="auto" w:fill="4f81bd"/>
        </w:tblPrEx>
        <w:trPr>
          <w:trHeight w:val="254" w:hRule="atLeast"/>
          <w:tblHeader/>
        </w:trPr>
        <w:tc>
          <w:tcPr>
            <w:tcW w:type="dxa" w:w="9917"/>
            <w:gridSpan w:val="5"/>
            <w:tcBorders>
              <w:top w:val="single" w:color="ffffff" w:sz="4" w:space="0" w:shadow="0" w:frame="0"/>
              <w:left w:val="single" w:color="929292" w:sz="4" w:space="0" w:shadow="0" w:frame="0"/>
              <w:bottom w:val="single" w:color="ffffff" w:sz="4" w:space="0" w:shadow="0" w:frame="0"/>
              <w:right w:val="single" w:color="929292"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en-US"/>
              </w:rPr>
              <w:t>FALL SEMESTER 2025</w:t>
            </w:r>
          </w:p>
        </w:tc>
      </w:tr>
      <w:tr>
        <w:tblPrEx>
          <w:shd w:val="clear" w:color="auto" w:fill="4f81bd"/>
        </w:tblPrEx>
        <w:trPr>
          <w:trHeight w:val="254" w:hRule="atLeast"/>
          <w:tblHeader/>
        </w:trPr>
        <w:tc>
          <w:tcPr>
            <w:tcW w:type="dxa" w:w="9917"/>
            <w:gridSpan w:val="5"/>
            <w:tcBorders>
              <w:top w:val="single" w:color="ffffff" w:sz="4" w:space="0" w:shadow="0" w:frame="0"/>
              <w:left w:val="single" w:color="929292" w:sz="4" w:space="0" w:shadow="0" w:frame="0"/>
              <w:bottom w:val="single" w:color="ffffff" w:sz="4" w:space="0" w:shadow="0" w:frame="0"/>
              <w:right w:val="single" w:color="929292"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en-US"/>
              </w:rPr>
              <w:t>Python, Data Science, Gaia Queries, Jupyter, Markdown, LaTeX for Astronomy</w:t>
            </w:r>
          </w:p>
        </w:tc>
      </w:tr>
      <w:tr>
        <w:tblPrEx>
          <w:shd w:val="clear" w:color="auto" w:fill="4f81bd"/>
        </w:tblPrEx>
        <w:trPr>
          <w:trHeight w:val="259" w:hRule="atLeast"/>
          <w:tblHeader/>
        </w:trPr>
        <w:tc>
          <w:tcPr>
            <w:tcW w:type="dxa" w:w="1456"/>
            <w:tcBorders>
              <w:top w:val="single" w:color="ffffff" w:sz="4" w:space="0" w:shadow="0" w:frame="0"/>
              <w:left w:val="single" w:color="929292"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pPr>
            <w:r>
              <w:rPr>
                <w:shd w:val="nil" w:color="auto" w:fill="auto"/>
                <w:rtl w:val="0"/>
                <w:lang w:val="de-DE"/>
              </w:rPr>
              <w:t>MODULE</w:t>
            </w:r>
          </w:p>
        </w:tc>
        <w:tc>
          <w:tcPr>
            <w:tcW w:type="dxa" w:w="4981"/>
            <w:tcBorders>
              <w:top w:val="single" w:color="ffffff" w:sz="4" w:space="0" w:shadow="0" w:frame="0"/>
              <w:left w:val="single" w:color="ffffff"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en-US"/>
              </w:rPr>
              <w:t>TOPIC-subject to change</w:t>
            </w:r>
          </w:p>
        </w:tc>
        <w:tc>
          <w:tcPr>
            <w:tcW w:type="dxa" w:w="1160"/>
            <w:tcBorders>
              <w:top w:val="single" w:color="ffffff" w:sz="4" w:space="0" w:shadow="0" w:frame="0"/>
              <w:left w:val="single" w:color="ffffff"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de-DE"/>
              </w:rPr>
              <w:t>WHEN</w:t>
            </w:r>
          </w:p>
        </w:tc>
        <w:tc>
          <w:tcPr>
            <w:tcW w:type="dxa" w:w="980"/>
            <w:tcBorders>
              <w:top w:val="single" w:color="ffffff" w:sz="4" w:space="0" w:shadow="0" w:frame="0"/>
              <w:left w:val="single" w:color="ffffff"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en-US"/>
              </w:rPr>
              <w:t>DATE</w:t>
            </w:r>
          </w:p>
        </w:tc>
        <w:tc>
          <w:tcPr>
            <w:tcW w:type="dxa" w:w="1340"/>
            <w:tcBorders>
              <w:top w:val="single" w:color="ffffff" w:sz="4" w:space="0" w:shadow="0" w:frame="0"/>
              <w:left w:val="single" w:color="ffffff" w:sz="4" w:space="0" w:shadow="0" w:frame="0"/>
              <w:bottom w:val="single" w:color="89847f" w:sz="8" w:space="0" w:shadow="0" w:frame="0"/>
              <w:right w:val="single" w:color="929292" w:sz="4" w:space="0" w:shadow="0" w:frame="0"/>
            </w:tcBorders>
            <w:shd w:val="clear" w:color="auto" w:fill="00a2ff"/>
            <w:tcMar>
              <w:top w:type="dxa" w:w="80"/>
              <w:left w:type="dxa" w:w="80"/>
              <w:bottom w:type="dxa" w:w="80"/>
              <w:right w:type="dxa" w:w="80"/>
            </w:tcMar>
            <w:vAlign w:val="top"/>
          </w:tcPr>
          <w:p>
            <w:pPr>
              <w:pStyle w:val="Table Style 3"/>
              <w:jc w:val="center"/>
            </w:pPr>
            <w:r>
              <w:rPr>
                <w:shd w:val="nil" w:color="auto" w:fill="auto"/>
                <w:rtl w:val="0"/>
                <w:lang w:val="de-DE"/>
              </w:rPr>
              <w:t>WHERE</w:t>
            </w:r>
          </w:p>
        </w:tc>
      </w:tr>
      <w:tr>
        <w:tblPrEx>
          <w:shd w:val="clear" w:color="auto" w:fill="ced7e7"/>
        </w:tblPrEx>
        <w:trPr>
          <w:trHeight w:val="269" w:hRule="atLeast"/>
        </w:trPr>
        <w:tc>
          <w:tcPr>
            <w:tcW w:type="dxa" w:w="1456"/>
            <w:tcBorders>
              <w:top w:val="single" w:color="89847f" w:sz="8"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0</w:t>
            </w:r>
          </w:p>
        </w:tc>
        <w:tc>
          <w:tcPr>
            <w:tcW w:type="dxa" w:w="4981"/>
            <w:tcBorders>
              <w:top w:val="single" w:color="89847f" w:sz="8"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en-US"/>
              </w:rPr>
              <w:t>Pre-work materials provided</w:t>
            </w:r>
          </w:p>
        </w:tc>
        <w:tc>
          <w:tcPr>
            <w:tcW w:type="dxa" w:w="1160"/>
            <w:tcBorders>
              <w:top w:val="single" w:color="89847f" w:sz="8"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en-US"/>
              </w:rPr>
              <w:t>Anytime</w:t>
            </w:r>
          </w:p>
        </w:tc>
        <w:tc>
          <w:tcPr>
            <w:tcW w:type="dxa" w:w="980"/>
            <w:tcBorders>
              <w:top w:val="single" w:color="89847f" w:sz="8"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10/10/25</w:t>
            </w:r>
          </w:p>
        </w:tc>
        <w:tc>
          <w:tcPr>
            <w:tcW w:type="dxa" w:w="1340"/>
            <w:tcBorders>
              <w:top w:val="single" w:color="89847f" w:sz="8"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en-US"/>
              </w:rPr>
              <w:t>Self-study</w:t>
            </w:r>
          </w:p>
        </w:tc>
      </w:tr>
      <w:tr>
        <w:tblPrEx>
          <w:shd w:val="clear" w:color="auto" w:fill="ced7e7"/>
        </w:tblPrEx>
        <w:trPr>
          <w:trHeight w:val="254" w:hRule="atLeast"/>
        </w:trPr>
        <w:tc>
          <w:tcPr>
            <w:tcW w:type="dxa" w:w="1456"/>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1</w:t>
            </w:r>
          </w:p>
        </w:tc>
        <w:tc>
          <w:tcPr>
            <w:tcW w:type="dxa" w:w="4981"/>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lang w:val="en-US"/>
              </w:rPr>
              <w:t>Intro to Python Markdown, LaTeX, Plotting</w:t>
            </w:r>
          </w:p>
        </w:tc>
        <w:tc>
          <w:tcPr>
            <w:tcW w:type="dxa" w:w="116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rPr>
              <w:t>Fri 7-8 PT</w:t>
            </w:r>
          </w:p>
        </w:tc>
        <w:tc>
          <w:tcPr>
            <w:tcW w:type="dxa" w:w="98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10/17/25</w:t>
            </w:r>
          </w:p>
        </w:tc>
        <w:tc>
          <w:tcPr>
            <w:tcW w:type="dxa" w:w="134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lang w:val="nl-NL"/>
              </w:rPr>
              <w:t>Google Meet</w:t>
            </w:r>
          </w:p>
        </w:tc>
      </w:tr>
      <w:tr>
        <w:tblPrEx>
          <w:shd w:val="clear" w:color="auto" w:fill="ced7e7"/>
        </w:tblPrEx>
        <w:trPr>
          <w:trHeight w:val="254" w:hRule="atLeast"/>
        </w:trPr>
        <w:tc>
          <w:tcPr>
            <w:tcW w:type="dxa" w:w="1456"/>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2</w:t>
            </w:r>
          </w:p>
        </w:tc>
        <w:tc>
          <w:tcPr>
            <w:tcW w:type="dxa" w:w="4981"/>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rPr>
              <w:t>Tycho Brahe, Kepler, Newton &amp; Elliptical orbits</w:t>
            </w:r>
          </w:p>
        </w:tc>
        <w:tc>
          <w:tcPr>
            <w:tcW w:type="dxa" w:w="116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rPr>
              <w:t>Fri 7-8 PT</w:t>
            </w:r>
          </w:p>
        </w:tc>
        <w:tc>
          <w:tcPr>
            <w:tcW w:type="dxa" w:w="98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10/24/25</w:t>
            </w:r>
          </w:p>
        </w:tc>
        <w:tc>
          <w:tcPr>
            <w:tcW w:type="dxa" w:w="134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nl-NL"/>
              </w:rPr>
              <w:t>Google Meet</w:t>
            </w:r>
          </w:p>
        </w:tc>
      </w:tr>
      <w:tr>
        <w:tblPrEx>
          <w:shd w:val="clear" w:color="auto" w:fill="ced7e7"/>
        </w:tblPrEx>
        <w:trPr>
          <w:trHeight w:val="254" w:hRule="atLeast"/>
        </w:trPr>
        <w:tc>
          <w:tcPr>
            <w:tcW w:type="dxa" w:w="1456"/>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3</w:t>
            </w:r>
          </w:p>
        </w:tc>
        <w:tc>
          <w:tcPr>
            <w:tcW w:type="dxa" w:w="4981"/>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lang w:val="en-US"/>
              </w:rPr>
              <w:t xml:space="preserve">Star Magnitudes, Logarithms - Change is Everything  </w:t>
            </w:r>
          </w:p>
        </w:tc>
        <w:tc>
          <w:tcPr>
            <w:tcW w:type="dxa" w:w="116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rPr>
              <w:t>Fri 7-8 PT</w:t>
            </w:r>
          </w:p>
        </w:tc>
        <w:tc>
          <w:tcPr>
            <w:tcW w:type="dxa" w:w="98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10/31/25</w:t>
            </w:r>
          </w:p>
        </w:tc>
        <w:tc>
          <w:tcPr>
            <w:tcW w:type="dxa" w:w="134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lang w:val="nl-NL"/>
              </w:rPr>
              <w:t>Google Meet</w:t>
            </w:r>
          </w:p>
        </w:tc>
      </w:tr>
      <w:tr>
        <w:tblPrEx>
          <w:shd w:val="clear" w:color="auto" w:fill="ced7e7"/>
        </w:tblPrEx>
        <w:trPr>
          <w:trHeight w:val="254" w:hRule="atLeast"/>
        </w:trPr>
        <w:tc>
          <w:tcPr>
            <w:tcW w:type="dxa" w:w="1456"/>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4</w:t>
            </w:r>
          </w:p>
        </w:tc>
        <w:tc>
          <w:tcPr>
            <w:tcW w:type="dxa" w:w="4981"/>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en-US"/>
              </w:rPr>
              <w:t>Gaia query &amp; Plotting half-a-million stars</w:t>
            </w:r>
          </w:p>
        </w:tc>
        <w:tc>
          <w:tcPr>
            <w:tcW w:type="dxa" w:w="116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rPr>
              <w:t>Fri 7-8 PT</w:t>
            </w:r>
          </w:p>
        </w:tc>
        <w:tc>
          <w:tcPr>
            <w:tcW w:type="dxa" w:w="98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11/07/25</w:t>
            </w:r>
          </w:p>
        </w:tc>
        <w:tc>
          <w:tcPr>
            <w:tcW w:type="dxa" w:w="134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nl-NL"/>
              </w:rPr>
              <w:t>Google Meet</w:t>
            </w:r>
          </w:p>
        </w:tc>
      </w:tr>
      <w:tr>
        <w:tblPrEx>
          <w:shd w:val="clear" w:color="auto" w:fill="ced7e7"/>
        </w:tblPrEx>
        <w:trPr>
          <w:trHeight w:val="254" w:hRule="atLeast"/>
        </w:trPr>
        <w:tc>
          <w:tcPr>
            <w:tcW w:type="dxa" w:w="1456"/>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5</w:t>
            </w:r>
          </w:p>
        </w:tc>
        <w:tc>
          <w:tcPr>
            <w:tcW w:type="dxa" w:w="4981"/>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lang w:val="en-US"/>
              </w:rPr>
              <w:t>Hertzsprung Russell Diagrams of Star Clusters</w:t>
            </w:r>
          </w:p>
        </w:tc>
        <w:tc>
          <w:tcPr>
            <w:tcW w:type="dxa" w:w="116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rPr>
              <w:t>Fri 7-8 PT</w:t>
            </w:r>
          </w:p>
        </w:tc>
        <w:tc>
          <w:tcPr>
            <w:tcW w:type="dxa" w:w="98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11/14/25</w:t>
            </w:r>
          </w:p>
        </w:tc>
        <w:tc>
          <w:tcPr>
            <w:tcW w:type="dxa" w:w="134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Table Style 2"/>
            </w:pPr>
            <w:r>
              <w:rPr>
                <w:shd w:val="nil" w:color="auto" w:fill="auto"/>
                <w:rtl w:val="0"/>
                <w:lang w:val="nl-NL"/>
              </w:rPr>
              <w:t>Google Meet</w:t>
            </w:r>
          </w:p>
        </w:tc>
      </w:tr>
      <w:tr>
        <w:tblPrEx>
          <w:shd w:val="clear" w:color="auto" w:fill="ced7e7"/>
        </w:tblPrEx>
        <w:trPr>
          <w:trHeight w:val="254" w:hRule="atLeast"/>
        </w:trPr>
        <w:tc>
          <w:tcPr>
            <w:tcW w:type="dxa" w:w="1456"/>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tabs>
                <w:tab w:val="left" w:pos="920"/>
              </w:tabs>
            </w:pPr>
            <w:r>
              <w:rPr>
                <w:shd w:val="nil" w:color="auto" w:fill="auto"/>
                <w:rtl w:val="0"/>
              </w:rPr>
              <w:t>6</w:t>
            </w:r>
          </w:p>
        </w:tc>
        <w:tc>
          <w:tcPr>
            <w:tcW w:type="dxa" w:w="4981"/>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en-US"/>
              </w:rPr>
              <w:t>Optional show-and-tell student work</w:t>
            </w:r>
          </w:p>
        </w:tc>
        <w:tc>
          <w:tcPr>
            <w:tcW w:type="dxa" w:w="116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rPr>
              <w:t>Fri 7-8 PT</w:t>
            </w:r>
          </w:p>
        </w:tc>
        <w:tc>
          <w:tcPr>
            <w:tcW w:type="dxa" w:w="98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jc w:val="right"/>
            </w:pPr>
            <w:r>
              <w:rPr>
                <w:rFonts w:ascii="Helvetica Neue" w:hAnsi="Helvetica Neue"/>
                <w:sz w:val="20"/>
                <w:szCs w:val="20"/>
                <w:shd w:val="nil" w:color="auto" w:fill="auto"/>
                <w:rtl w:val="0"/>
                <w:lang w:val="en-US"/>
                <w14:textOutline w14:w="12700" w14:cap="flat">
                  <w14:noFill/>
                  <w14:miter w14:lim="400000"/>
                </w14:textOutline>
              </w:rPr>
              <w:t>11/21/25</w:t>
            </w:r>
          </w:p>
        </w:tc>
        <w:tc>
          <w:tcPr>
            <w:tcW w:type="dxa" w:w="1340"/>
            <w:tcBorders>
              <w:top w:val="single" w:color="929292" w:sz="4" w:space="0" w:shadow="0" w:frame="0"/>
              <w:left w:val="single" w:color="929292" w:sz="4"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Table Style 2"/>
            </w:pPr>
            <w:r>
              <w:rPr>
                <w:shd w:val="nil" w:color="auto" w:fill="auto"/>
                <w:rtl w:val="0"/>
                <w:lang w:val="nl-NL"/>
              </w:rPr>
              <w:t>Google Meet</w:t>
            </w:r>
          </w:p>
        </w:tc>
      </w:tr>
    </w:tbl>
    <w:p>
      <w:pPr>
        <w:pStyle w:val="Body Text"/>
        <w:spacing w:before="161" w:line="261" w:lineRule="auto"/>
        <w:ind w:left="840" w:right="47" w:firstLine="0"/>
        <w:rPr>
          <w:sz w:val="22"/>
          <w:szCs w:val="22"/>
        </w:rPr>
      </w:pPr>
      <w:r>
        <w:rPr>
          <w:sz w:val="22"/>
          <w:szCs w:val="22"/>
          <w:rtl w:val="0"/>
          <w:lang w:val="en-US"/>
        </w:rPr>
        <w:t xml:space="preserve">The seminar will introduce you to Python, Markdown Syntax, Jupyter Notebook and much more. </w:t>
      </w:r>
    </w:p>
    <w:p>
      <w:pPr>
        <w:pStyle w:val="Body Text"/>
        <w:spacing w:before="161" w:line="261" w:lineRule="auto"/>
        <w:ind w:left="840" w:right="47" w:firstLine="0"/>
        <w:rPr>
          <w:sz w:val="22"/>
          <w:szCs w:val="22"/>
        </w:rPr>
      </w:pPr>
      <w:r>
        <w:rPr>
          <w:sz w:val="22"/>
          <w:szCs w:val="22"/>
          <w:rtl w:val="0"/>
          <w:lang w:val="en-US"/>
        </w:rPr>
        <w:t xml:space="preserve">Our instructor, Chandru Narayan, is a long-time amateur astronomer and has taught Computer Science and Astronomy at The Bush School, Seattle, Washington. He also teaches the BAROspection - Intro to Spectroscopy online course. See </w:t>
      </w:r>
      <w:r>
        <w:rPr>
          <w:rStyle w:val="Hyperlink.0"/>
          <w:sz w:val="22"/>
          <w:szCs w:val="22"/>
        </w:rPr>
        <w:fldChar w:fldCharType="begin" w:fldLock="0"/>
      </w:r>
      <w:r>
        <w:rPr>
          <w:rStyle w:val="Hyperlink.0"/>
          <w:sz w:val="22"/>
          <w:szCs w:val="22"/>
        </w:rPr>
        <w:instrText xml:space="preserve"> HYPERLINK "https://boyce-astro.org/annual-calendar/"</w:instrText>
      </w:r>
      <w:r>
        <w:rPr>
          <w:rStyle w:val="Hyperlink.0"/>
          <w:sz w:val="22"/>
          <w:szCs w:val="22"/>
        </w:rPr>
        <w:fldChar w:fldCharType="separate" w:fldLock="0"/>
      </w:r>
      <w:r>
        <w:rPr>
          <w:rStyle w:val="Hyperlink.0"/>
          <w:sz w:val="22"/>
          <w:szCs w:val="22"/>
          <w:rtl w:val="0"/>
          <w:lang w:val="en-US"/>
        </w:rPr>
        <w:t>Boyce-Astro calendar</w:t>
      </w:r>
      <w:r>
        <w:rPr>
          <w:sz w:val="22"/>
          <w:szCs w:val="22"/>
        </w:rPr>
        <w:fldChar w:fldCharType="end" w:fldLock="0"/>
      </w:r>
      <w:r>
        <w:rPr>
          <w:sz w:val="22"/>
          <w:szCs w:val="22"/>
          <w:rtl w:val="0"/>
          <w:lang w:val="en-US"/>
        </w:rPr>
        <w:t xml:space="preserve"> for details.</w:t>
      </w:r>
    </w:p>
    <w:p>
      <w:pPr>
        <w:pStyle w:val="Body Text"/>
        <w:spacing w:before="161" w:line="261" w:lineRule="auto"/>
        <w:ind w:left="840" w:right="47" w:firstLine="0"/>
        <w:rPr>
          <w:rStyle w:val="None"/>
          <w:b w:val="1"/>
          <w:bCs w:val="1"/>
          <w:sz w:val="22"/>
          <w:szCs w:val="22"/>
        </w:rPr>
      </w:pPr>
      <w:r>
        <w:rPr>
          <w:rStyle w:val="None"/>
          <w:b w:val="1"/>
          <w:bCs w:val="1"/>
          <w:sz w:val="22"/>
          <w:szCs w:val="22"/>
          <w:rtl w:val="0"/>
          <w:lang w:val="en-US"/>
        </w:rPr>
        <w:t>Completing IntroSTARS</w:t>
      </w:r>
      <w:r>
        <w:rPr>
          <w:rStyle w:val="None"/>
          <w:b w:val="1"/>
          <w:bCs w:val="1"/>
          <w:position w:val="16"/>
          <w:sz w:val="22"/>
          <w:szCs w:val="22"/>
          <w:rtl w:val="0"/>
          <w:lang w:val="en-US"/>
        </w:rPr>
        <w:t xml:space="preserve">TM </w:t>
      </w:r>
      <w:r>
        <w:rPr>
          <w:rStyle w:val="None"/>
          <w:b w:val="1"/>
          <w:bCs w:val="1"/>
          <w:sz w:val="22"/>
          <w:szCs w:val="22"/>
          <w:rtl w:val="0"/>
          <w:lang w:val="en-US"/>
        </w:rPr>
        <w:t>or other Boyce-Astro Seminar is the prerequisite for the seminar.</w:t>
      </w:r>
    </w:p>
    <w:p>
      <w:pPr>
        <w:pStyle w:val="Body Text"/>
        <w:spacing w:before="26" w:line="261" w:lineRule="auto"/>
        <w:ind w:left="1886" w:right="1144" w:firstLine="0"/>
        <w:jc w:val="center"/>
        <w:rPr>
          <w:sz w:val="22"/>
          <w:szCs w:val="22"/>
        </w:rPr>
      </w:pPr>
      <w:r>
        <w:rPr>
          <w:sz w:val="22"/>
          <w:szCs w:val="22"/>
          <w:rtl w:val="0"/>
          <w:lang w:val="en-US"/>
        </w:rPr>
        <w:t>If you have not taken our FREE IntroSTARS</w:t>
      </w:r>
      <w:r>
        <w:rPr>
          <w:rStyle w:val="None"/>
          <w:position w:val="16"/>
          <w:sz w:val="22"/>
          <w:szCs w:val="22"/>
          <w:rtl w:val="0"/>
          <w:lang w:val="en-US"/>
        </w:rPr>
        <w:t xml:space="preserve">TM </w:t>
      </w:r>
      <w:r>
        <w:rPr>
          <w:sz w:val="22"/>
          <w:szCs w:val="22"/>
          <w:rtl w:val="0"/>
          <w:lang w:val="en-US"/>
        </w:rPr>
        <w:t xml:space="preserve">or other seminar, please sign up here: </w:t>
      </w:r>
      <w:r>
        <w:rPr>
          <w:rStyle w:val="Hyperlink.1"/>
          <w:sz w:val="22"/>
          <w:szCs w:val="22"/>
        </w:rPr>
        <w:fldChar w:fldCharType="begin" w:fldLock="0"/>
      </w:r>
      <w:r>
        <w:rPr>
          <w:rStyle w:val="Hyperlink.1"/>
          <w:sz w:val="22"/>
          <w:szCs w:val="22"/>
        </w:rPr>
        <w:instrText xml:space="preserve"> HYPERLINK "https://boyce-astro.org/introstars-your-step-1/"</w:instrText>
      </w:r>
      <w:r>
        <w:rPr>
          <w:rStyle w:val="Hyperlink.1"/>
          <w:sz w:val="22"/>
          <w:szCs w:val="22"/>
        </w:rPr>
        <w:fldChar w:fldCharType="separate" w:fldLock="0"/>
      </w:r>
      <w:r>
        <w:rPr>
          <w:rStyle w:val="Hyperlink.1"/>
          <w:sz w:val="22"/>
          <w:szCs w:val="22"/>
          <w:rtl w:val="0"/>
          <w:lang w:val="en-US"/>
        </w:rPr>
        <w:t>https://boyce-astro.org/introstars-your-step-1/</w:t>
      </w:r>
      <w:r>
        <w:rPr>
          <w:sz w:val="22"/>
          <w:szCs w:val="22"/>
        </w:rPr>
        <w:fldChar w:fldCharType="end" w:fldLock="0"/>
      </w:r>
    </w:p>
    <w:p>
      <w:pPr>
        <w:pStyle w:val="Body Text"/>
        <w:spacing w:before="214" w:line="261" w:lineRule="auto"/>
        <w:ind w:left="840" w:right="991" w:firstLine="0"/>
        <w:rPr>
          <w:sz w:val="22"/>
          <w:szCs w:val="22"/>
        </w:rPr>
      </w:pPr>
      <w:r>
        <w:rPr>
          <w:sz w:val="22"/>
          <w:szCs w:val="22"/>
          <w:rtl w:val="0"/>
          <w:lang w:val="en-US"/>
        </w:rPr>
        <w:t>The IntroSTARS Quiz to qualify for this Python for Astronomy seminar will be sent to new students a week before the start of Seminar. Those who have already passed the Quiz need not take it again.</w:t>
      </w:r>
    </w:p>
    <w:p>
      <w:pPr>
        <w:pStyle w:val="Body Text"/>
        <w:spacing w:before="214" w:line="261" w:lineRule="auto"/>
        <w:ind w:left="840" w:right="991" w:firstLine="0"/>
        <w:rPr>
          <w:sz w:val="22"/>
          <w:szCs w:val="22"/>
        </w:rPr>
      </w:pPr>
    </w:p>
    <w:p>
      <w:pPr>
        <w:pStyle w:val="Body Text"/>
        <w:ind w:left="1479" w:right="739" w:firstLine="0"/>
        <w:jc w:val="center"/>
        <w:rPr>
          <w:rStyle w:val="None"/>
          <w:b w:val="1"/>
          <w:bCs w:val="1"/>
          <w:sz w:val="22"/>
          <w:szCs w:val="22"/>
        </w:rPr>
      </w:pPr>
      <w:r>
        <w:rPr>
          <w:rStyle w:val="None"/>
          <w:b w:val="1"/>
          <w:bCs w:val="1"/>
          <w:sz w:val="22"/>
          <w:szCs w:val="22"/>
          <w:rtl w:val="0"/>
          <w:lang w:val="en-US"/>
        </w:rPr>
        <w:t>The course fee is $29 and will be due October 10, 2025</w:t>
      </w:r>
    </w:p>
    <w:p>
      <w:pPr>
        <w:pStyle w:val="Body Text"/>
        <w:ind w:left="1479" w:right="739" w:firstLine="0"/>
        <w:jc w:val="center"/>
        <w:rPr>
          <w:sz w:val="22"/>
          <w:szCs w:val="22"/>
        </w:rPr>
      </w:pPr>
      <w:r>
        <w:rPr>
          <w:sz w:val="22"/>
          <w:szCs w:val="22"/>
          <w:rtl w:val="0"/>
          <w:lang w:val="en-US"/>
        </w:rPr>
        <w:t>The class size limit is 20. High school and college students have preference.</w:t>
      </w:r>
    </w:p>
    <w:p>
      <w:pPr>
        <w:pStyle w:val="Body Text"/>
        <w:spacing w:before="187"/>
        <w:ind w:left="1479" w:right="739" w:firstLine="0"/>
        <w:rPr>
          <w:sz w:val="22"/>
          <w:szCs w:val="22"/>
        </w:rPr>
      </w:pPr>
      <w:r>
        <w:rPr>
          <w:sz w:val="22"/>
          <w:szCs w:val="22"/>
          <w:rtl w:val="0"/>
          <w:lang w:val="en-US"/>
        </w:rPr>
        <w:t xml:space="preserve">You have received this because you previously expressed interest in the course. If you are interested in taking the class at this time, please complete the application. </w:t>
      </w:r>
    </w:p>
    <w:p>
      <w:pPr>
        <w:pStyle w:val="Heading"/>
        <w:spacing w:before="173"/>
      </w:pPr>
      <w:r>
        <w:rPr>
          <w:rStyle w:val="Hyperlink.2"/>
        </w:rPr>
        <w:fldChar w:fldCharType="begin" w:fldLock="0"/>
      </w:r>
      <w:r>
        <w:rPr>
          <w:rStyle w:val="Hyperlink.2"/>
        </w:rPr>
        <w:instrText xml:space="preserve"> HYPERLINK "https://docs.google.com/forms/d/13EVgiv76JTENLRJFV8SUHWwFFjMUDAZWhV9w99G1Kac/edit"</w:instrText>
      </w:r>
      <w:r>
        <w:rPr>
          <w:rStyle w:val="Hyperlink.2"/>
        </w:rPr>
        <w:fldChar w:fldCharType="separate" w:fldLock="0"/>
      </w:r>
      <w:r>
        <w:rPr>
          <w:rStyle w:val="Hyperlink.2"/>
          <w:rtl w:val="0"/>
          <w:lang w:val="en-US"/>
        </w:rPr>
        <w:t>Click Here to Apply</w:t>
      </w:r>
      <w:r>
        <w:rPr/>
        <w:fldChar w:fldCharType="end" w:fldLock="0"/>
      </w:r>
    </w:p>
    <w:sectPr>
      <w:headerReference w:type="default" r:id="rId5"/>
      <w:footerReference w:type="default" r:id="rId6"/>
      <w:pgSz w:w="12240" w:h="15840" w:orient="portrait"/>
      <w:pgMar w:top="220" w:right="980" w:bottom="280" w:left="2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DBE5F1"/>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DBE5F1"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156" w:after="0" w:line="240" w:lineRule="auto"/>
      <w:ind w:left="1479" w:right="739"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able Style 3">
    <w:name w:val="Table Style 3"/>
    <w:next w:val="Table Style 3"/>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lang w:val="da-DK"/>
      <w14:textOutline w14:w="12700" w14:cap="flat">
        <w14:noFill/>
        <w14:miter w14:lim="400000"/>
      </w14:textOutline>
      <w14:textFill>
        <w14:solidFill>
          <w14:srgbClr w14:val="FFFFFF"/>
        </w14:solidFill>
      </w14:textFill>
    </w:rPr>
  </w:style>
  <w:style w:type="paragraph" w:styleId="Table Style 4">
    <w:name w:val="Table Style 4"/>
    <w:next w:val="Table Style 4"/>
    <w:pPr>
      <w:keepNext w:val="0"/>
      <w:keepLines w:val="1"/>
      <w:pageBreakBefore w:val="0"/>
      <w:widowControl w:val="1"/>
      <w:shd w:val="clear" w:color="auto" w:fill="auto"/>
      <w:suppressAutoHyphens w:val="0"/>
      <w:bidi w:val="0"/>
      <w:spacing w:before="0" w:after="0" w:line="240" w:lineRule="auto"/>
      <w:ind w:left="0" w:right="0" w:firstLine="0"/>
      <w:jc w:val="left"/>
      <w:outlineLvl w:val="9"/>
    </w:pPr>
    <w:rPr>
      <w:rFonts w:ascii="Helvetica Neue Medium" w:cs="Arial Unicode MS" w:hAnsi="Helvetica Neue Medium"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character" w:styleId="Hyperlink.2">
    <w:name w:val="Hyperlink.2"/>
    <w:basedOn w:val="None"/>
    <w:next w:val="Hyperlink.2"/>
    <w:rPr>
      <w:outline w:val="0"/>
      <w:color w:val="0000ff"/>
      <w:u w:val="single" w:color="0000ff"/>
      <w:lang w:val="en-US"/>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