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8" w:space="4" w:color="2D4A2B"/>
        </w:pBdr>
      </w:pPr>
      <w:r>
        <w:rPr>
          <w:rFonts w:ascii="Segoe UI Semibold" w:hAnsi="Segoe UI Semibold"/>
          <w:b/>
          <w:color w:val="2D4A2B"/>
          <w:sz w:val="40"/>
        </w:rPr>
        <w:t>UT1 — Aspectos ASG y marcos internacionales</w:t>
      </w:r>
    </w:p>
    <w:p>
      <w:pPr>
        <w:spacing w:before="120"/>
      </w:pPr>
      <w:r>
        <w:rPr>
          <w:rFonts w:ascii="Calibri" w:hAnsi="Calibri"/>
          <w:i/>
          <w:color w:val="1E1E1E"/>
          <w:sz w:val="20"/>
        </w:rPr>
        <w:t>Módulo: SASP  —  RA1  —  CFGS DAM2  —  APUNTES</w:t>
      </w:r>
    </w:p>
    <w:p>
      <w:pPr>
        <w:spacing w:before="240" w:after="80"/>
      </w:pPr>
      <w:r>
        <w:rPr>
          <w:rFonts w:ascii="Segoe UI Semibold" w:hAnsi="Segoe UI Semibold"/>
          <w:b/>
          <w:color w:val="2D4A2B"/>
          <w:sz w:val="26"/>
        </w:rPr>
        <w:t>1. ¿Qué es la sostenibilidad?</w:t>
      </w:r>
    </w:p>
    <w:p>
      <w:r>
        <w:rPr>
          <w:rFonts w:ascii="Calibri" w:hAnsi="Calibri"/>
          <w:b w:val="0"/>
          <w:i w:val="0"/>
          <w:color w:val="1E1E1E"/>
          <w:sz w:val="22"/>
        </w:rPr>
        <w:t>La definición más usada de desarrollo sostenible viene del Informe Brundtland (ONU, 1987): «el desarrollo que satisface las necesidades del presente sin comprometer la capacidad de las generaciones futuras para satisfacer sus propias necesidades». En la empresa, esto se traduce en no maximizar el beneficio a corto plazo a costa de agotar recursos, dañar a las personas o a la sociedad a largo plazo.</w:t>
      </w:r>
    </w:p>
    <w:p>
      <w:pPr>
        <w:spacing w:before="240" w:after="80"/>
      </w:pPr>
      <w:r>
        <w:rPr>
          <w:rFonts w:ascii="Segoe UI Semibold" w:hAnsi="Segoe UI Semibold"/>
          <w:b/>
          <w:color w:val="2D4A2B"/>
          <w:sz w:val="26"/>
        </w:rPr>
        <w:t>2. Marcos internacionales del desarrollo sostenible</w:t>
      </w:r>
    </w:p>
    <w:p>
      <w:pPr>
        <w:pStyle w:val="ListBullet"/>
      </w:pPr>
      <w:r>
        <w:rPr>
          <w:rFonts w:ascii="Calibri" w:hAnsi="Calibri"/>
          <w:color w:val="1E1E1E"/>
          <w:sz w:val="22"/>
        </w:rPr>
        <w:t>Agenda 2030 y los 17 ODS (Objetivos de Desarrollo Sostenible): el marco de la ONU más citado, con 169 metas concretas bajo 17 objetivos (fin de la pobreza, acción por el clima, industria e innovación, etc.).</w:t>
      </w:r>
    </w:p>
    <w:p>
      <w:pPr>
        <w:pStyle w:val="ListBullet"/>
      </w:pPr>
      <w:r>
        <w:rPr>
          <w:rFonts w:ascii="Calibri" w:hAnsi="Calibri"/>
          <w:color w:val="1E1E1E"/>
          <w:sz w:val="22"/>
        </w:rPr>
        <w:t>Acuerdo de París (2015): compromiso internacional para limitar el calentamiento global muy por debajo de 2ºC.</w:t>
      </w:r>
    </w:p>
    <w:p>
      <w:pPr>
        <w:pStyle w:val="ListBullet"/>
      </w:pPr>
      <w:r>
        <w:rPr>
          <w:rFonts w:ascii="Calibri" w:hAnsi="Calibri"/>
          <w:color w:val="1E1E1E"/>
          <w:sz w:val="22"/>
        </w:rPr>
        <w:t>Pacto Mundial de la ONU (Global Compact): iniciativa que invita a las empresas a alinear sus estrategias con 10 principios de derechos humanos, trabajo, medio ambiente y anticorrupción.</w:t>
      </w:r>
    </w:p>
    <w:p>
      <w:pPr>
        <w:spacing w:before="240" w:after="80"/>
      </w:pPr>
      <w:r>
        <w:rPr>
          <w:rFonts w:ascii="Segoe UI Semibold" w:hAnsi="Segoe UI Semibold"/>
          <w:b/>
          <w:color w:val="2D4A2B"/>
          <w:sz w:val="26"/>
        </w:rPr>
        <w:t>3. Los aspectos ASG (Ambiental, Social, Gobernanza)</w:t>
      </w:r>
    </w:p>
    <w:tbl>
      <w:tblPr>
        <w:tblStyle w:val="TableGrid"/>
        <w:tblW w:type="auto" w:w="0"/>
        <w:tblLook w:firstColumn="1" w:firstRow="1" w:lastColumn="0" w:lastRow="0" w:noHBand="0" w:noVBand="1" w:val="04A0"/>
      </w:tblPr>
      <w:tblGrid>
        <w:gridCol w:w="3249"/>
        <w:gridCol w:w="3249"/>
        <w:gridCol w:w="3249"/>
      </w:tblGrid>
      <w:tr>
        <w:tc>
          <w:tcPr>
            <w:tcW w:type="dxa" w:w="3249"/>
            <w:tcBorders>
              <w:top w:val="single" w:sz="4" w:space="0" w:color="1E1E1E"/>
              <w:left w:val="single" w:sz="4" w:space="0" w:color="1E1E1E"/>
              <w:bottom w:val="single" w:sz="4" w:space="0" w:color="1E1E1E"/>
              <w:right w:val="single" w:sz="4" w:space="0" w:color="1E1E1E"/>
            </w:tcBorders>
            <w:shd w:val="clear" w:color="auto" w:fill="2D4A2B"/>
          </w:tcPr>
          <w:p>
            <w:r/>
            <w:r>
              <w:rPr>
                <w:rFonts w:ascii="Calibri" w:hAnsi="Calibri"/>
                <w:b/>
                <w:color w:val="FFFFFF"/>
                <w:sz w:val="21"/>
              </w:rPr>
              <w:t>Aspecto</w:t>
            </w:r>
          </w:p>
        </w:tc>
        <w:tc>
          <w:tcPr>
            <w:tcW w:type="dxa" w:w="3249"/>
            <w:tcBorders>
              <w:top w:val="single" w:sz="4" w:space="0" w:color="1E1E1E"/>
              <w:left w:val="single" w:sz="4" w:space="0" w:color="1E1E1E"/>
              <w:bottom w:val="single" w:sz="4" w:space="0" w:color="1E1E1E"/>
              <w:right w:val="single" w:sz="4" w:space="0" w:color="1E1E1E"/>
            </w:tcBorders>
            <w:shd w:val="clear" w:color="auto" w:fill="2D4A2B"/>
          </w:tcPr>
          <w:p>
            <w:r/>
            <w:r>
              <w:rPr>
                <w:rFonts w:ascii="Calibri" w:hAnsi="Calibri"/>
                <w:b/>
                <w:color w:val="FFFFFF"/>
                <w:sz w:val="21"/>
              </w:rPr>
              <w:t>Qué incluye</w:t>
            </w:r>
          </w:p>
        </w:tc>
        <w:tc>
          <w:tcPr>
            <w:tcW w:type="dxa" w:w="3249"/>
            <w:tcBorders>
              <w:top w:val="single" w:sz="4" w:space="0" w:color="1E1E1E"/>
              <w:left w:val="single" w:sz="4" w:space="0" w:color="1E1E1E"/>
              <w:bottom w:val="single" w:sz="4" w:space="0" w:color="1E1E1E"/>
              <w:right w:val="single" w:sz="4" w:space="0" w:color="1E1E1E"/>
            </w:tcBorders>
            <w:shd w:val="clear" w:color="auto" w:fill="2D4A2B"/>
          </w:tcPr>
          <w:p>
            <w:r/>
            <w:r>
              <w:rPr>
                <w:rFonts w:ascii="Calibri" w:hAnsi="Calibri"/>
                <w:b/>
                <w:color w:val="FFFFFF"/>
                <w:sz w:val="21"/>
              </w:rPr>
              <w:t>Ejemplo</w:t>
            </w:r>
          </w:p>
        </w:tc>
      </w:tr>
      <w:tr>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Ambiental (A)</w:t>
            </w:r>
          </w:p>
        </w:tc>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Emisiones, consumo de recursos, residuos, biodiversidad.</w:t>
            </w:r>
          </w:p>
        </w:tc>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Huella de carbono de los servidores de una empresa tecnológica.</w:t>
            </w:r>
          </w:p>
        </w:tc>
      </w:tr>
      <w:tr>
        <w:tc>
          <w:tcPr>
            <w:tcW w:type="dxa" w:w="3249"/>
            <w:tcBorders>
              <w:top w:val="single" w:sz="4" w:space="0" w:color="1E1E1E"/>
              <w:left w:val="single" w:sz="4" w:space="0" w:color="1E1E1E"/>
              <w:bottom w:val="single" w:sz="4" w:space="0" w:color="1E1E1E"/>
              <w:right w:val="single" w:sz="4" w:space="0" w:color="1E1E1E"/>
            </w:tcBorders>
            <w:shd w:val="clear" w:color="auto" w:fill="F4F7F1"/>
          </w:tcPr>
          <w:p>
            <w:r/>
            <w:r>
              <w:rPr>
                <w:rFonts w:ascii="Calibri" w:hAnsi="Calibri"/>
                <w:color w:val="1E1E1E"/>
                <w:sz w:val="21"/>
              </w:rPr>
              <w:t>Social (S)</w:t>
            </w:r>
          </w:p>
        </w:tc>
        <w:tc>
          <w:tcPr>
            <w:tcW w:type="dxa" w:w="3249"/>
            <w:tcBorders>
              <w:top w:val="single" w:sz="4" w:space="0" w:color="1E1E1E"/>
              <w:left w:val="single" w:sz="4" w:space="0" w:color="1E1E1E"/>
              <w:bottom w:val="single" w:sz="4" w:space="0" w:color="1E1E1E"/>
              <w:right w:val="single" w:sz="4" w:space="0" w:color="1E1E1E"/>
            </w:tcBorders>
            <w:shd w:val="clear" w:color="auto" w:fill="F4F7F1"/>
          </w:tcPr>
          <w:p>
            <w:r/>
            <w:r>
              <w:rPr>
                <w:rFonts w:ascii="Calibri" w:hAnsi="Calibri"/>
                <w:color w:val="1E1E1E"/>
                <w:sz w:val="21"/>
              </w:rPr>
              <w:t>Condiciones laborales, diversidad, derechos humanos, relación con la comunidad.</w:t>
            </w:r>
          </w:p>
        </w:tc>
        <w:tc>
          <w:tcPr>
            <w:tcW w:type="dxa" w:w="3249"/>
            <w:tcBorders>
              <w:top w:val="single" w:sz="4" w:space="0" w:color="1E1E1E"/>
              <w:left w:val="single" w:sz="4" w:space="0" w:color="1E1E1E"/>
              <w:bottom w:val="single" w:sz="4" w:space="0" w:color="1E1E1E"/>
              <w:right w:val="single" w:sz="4" w:space="0" w:color="1E1E1E"/>
            </w:tcBorders>
            <w:shd w:val="clear" w:color="auto" w:fill="F4F7F1"/>
          </w:tcPr>
          <w:p>
            <w:r/>
            <w:r>
              <w:rPr>
                <w:rFonts w:ascii="Calibri" w:hAnsi="Calibri"/>
                <w:color w:val="1E1E1E"/>
                <w:sz w:val="21"/>
              </w:rPr>
              <w:t>Conciliación laboral, igualdad salarial.</w:t>
            </w:r>
          </w:p>
        </w:tc>
      </w:tr>
      <w:tr>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Gobernanza (G)</w:t>
            </w:r>
          </w:p>
        </w:tc>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Cómo se toman las decisiones, transparencia, ética, anticorrupción.</w:t>
            </w:r>
          </w:p>
        </w:tc>
        <w:tc>
          <w:tcPr>
            <w:tcW w:type="dxa" w:w="3249"/>
            <w:tcBorders>
              <w:top w:val="single" w:sz="4" w:space="0" w:color="1E1E1E"/>
              <w:left w:val="single" w:sz="4" w:space="0" w:color="1E1E1E"/>
              <w:bottom w:val="single" w:sz="4" w:space="0" w:color="1E1E1E"/>
              <w:right w:val="single" w:sz="4" w:space="0" w:color="1E1E1E"/>
            </w:tcBorders>
          </w:tcPr>
          <w:p>
            <w:r/>
            <w:r>
              <w:rPr>
                <w:rFonts w:ascii="Calibri" w:hAnsi="Calibri"/>
                <w:color w:val="1E1E1E"/>
                <w:sz w:val="21"/>
              </w:rPr>
              <w:t>Un código ético público y auditado.</w:t>
            </w:r>
          </w:p>
        </w:tc>
      </w:tr>
    </w:tbl>
    <w:p>
      <w:r>
        <w:rPr>
          <w:rFonts w:ascii="Calibri" w:hAnsi="Calibri"/>
          <w:b w:val="0"/>
          <w:i w:val="0"/>
          <w:color w:val="1E1E1E"/>
          <w:sz w:val="22"/>
        </w:rPr>
        <w:t>Estos tres aspectos son la base de casi todos los informes de sostenibilidad empresarial actuales (de ahí viene la sigla «ESG» en inglés, muy usada también en español).</w:t>
      </w:r>
    </w:p>
    <w:p>
      <w:pPr>
        <w:spacing w:before="240" w:after="80"/>
      </w:pPr>
      <w:r>
        <w:rPr>
          <w:rFonts w:ascii="Segoe UI Semibold" w:hAnsi="Segoe UI Semibold"/>
          <w:b/>
          <w:color w:val="2D4A2B"/>
          <w:sz w:val="26"/>
        </w:rPr>
        <w:t>4. Los ODS y la Agenda 2030</w:t>
      </w:r>
    </w:p>
    <w:p>
      <w:r>
        <w:rPr>
          <w:rFonts w:ascii="Calibri" w:hAnsi="Calibri"/>
          <w:b w:val="0"/>
          <w:i w:val="0"/>
          <w:color w:val="1E1E1E"/>
          <w:sz w:val="22"/>
        </w:rPr>
        <w:t>No todas las empresas trabajan los 17 ODS por igual: cada organización identifica cuáles son más relevantes para su actividad. Por ejemplo, una fábrica se relaciona mucho con el ODS 9 (industria e innovación) y el ODS 12 (producción responsable); un hospital, con el ODS 3 (salud) y el ODS 10 (reducción de desigualdades).</w:t>
      </w:r>
    </w:p>
    <w:p>
      <w:pPr>
        <w:spacing w:before="240" w:after="80"/>
      </w:pPr>
      <w:r>
        <w:rPr>
          <w:rFonts w:ascii="Segoe UI Semibold" w:hAnsi="Segoe UI Semibold"/>
          <w:b/>
          <w:color w:val="2D4A2B"/>
          <w:sz w:val="26"/>
        </w:rPr>
        <w:t>5. Grupos de interés y aspectos ASG materiales</w:t>
      </w:r>
    </w:p>
    <w:p>
      <w:r>
        <w:rPr>
          <w:rFonts w:ascii="Calibri" w:hAnsi="Calibri"/>
          <w:b w:val="0"/>
          <w:i w:val="0"/>
          <w:color w:val="1E1E1E"/>
          <w:sz w:val="22"/>
        </w:rPr>
        <w:t>Los grupos de interés (stakeholders) son todas las personas u organizaciones afectadas por la actividad de una empresa: empleados, clientes, proveedores, accionistas, la comunidad local, la administración... Un aspecto ASG es «material» cuando es a la vez importante PARA la empresa (riesgo/oportunidad de negocio) e importante PARA sus grupos de interés. Identificar bien la materialidad evita que una empresa «se disperse» intentando abarcar todo.</w:t>
      </w:r>
    </w:p>
    <w:p>
      <w:pPr>
        <w:spacing w:before="240" w:after="80"/>
      </w:pPr>
      <w:r>
        <w:rPr>
          <w:rFonts w:ascii="Segoe UI Semibold" w:hAnsi="Segoe UI Semibold"/>
          <w:b/>
          <w:color w:val="2D4A2B"/>
          <w:sz w:val="26"/>
        </w:rPr>
        <w:t>6. Estándares de métricas y rendición de cuentas</w:t>
      </w:r>
    </w:p>
    <w:p>
      <w:r>
        <w:rPr>
          <w:rFonts w:ascii="Calibri" w:hAnsi="Calibri"/>
          <w:b w:val="0"/>
          <w:i w:val="0"/>
          <w:color w:val="1E1E1E"/>
          <w:sz w:val="22"/>
        </w:rPr>
        <w:t>Para que los informes de sostenibilidad sean comparables entre empresas existen estándares, el más conocido es el GRI (Global Reporting Initiative). A nivel europeo, la normativa CSRD (Corporate Sustainability Reporting Directive) obliga cada vez a más empresas a publicar información de sostenibilidad auditada, igual que ya se audita la información financiera.</w:t>
      </w:r>
    </w:p>
    <w:p>
      <w:pPr>
        <w:spacing w:before="240" w:after="80"/>
      </w:pPr>
      <w:r>
        <w:rPr>
          <w:rFonts w:ascii="Segoe UI Semibold" w:hAnsi="Segoe UI Semibold"/>
          <w:b/>
          <w:color w:val="2D4A2B"/>
          <w:sz w:val="26"/>
        </w:rPr>
        <w:t>7. Inversión socialmente responsable (ISR)</w:t>
      </w:r>
    </w:p>
    <w:p>
      <w:r>
        <w:rPr>
          <w:rFonts w:ascii="Calibri" w:hAnsi="Calibri"/>
          <w:b w:val="0"/>
          <w:i w:val="0"/>
          <w:color w:val="1E1E1E"/>
          <w:sz w:val="22"/>
        </w:rPr>
        <w:t>Cada vez más inversores usan criterios ASG para decidir dónde poner su dinero, no solo la rentabilidad esperada. Existen agencias de rating de sostenibilidad (como MSCI ESG o Sustainalytics) que puntúan a las empresas en estos criterios, e índices bursátiles específicos de empresas sostenibles. Una buena puntuación ASG puede facilitar el acceso a financiación.</w:t>
      </w:r>
    </w:p>
    <w:sectPr w:rsidR="00FC693F" w:rsidRPr="0006063C" w:rsidSect="00034616">
      <w:headerReference w:type="default" r:id="rId9"/>
      <w:footerReference w:type="default" r:id="rId10"/>
      <w:pgSz w:w="12240" w:h="15840"/>
      <w:pgMar w:top="1020"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1E1E1E"/>
        <w:sz w:val="16"/>
      </w:rPr>
      <w:t>CIFP Santa Catalina  ·  Sostenibilidad Aplicada al Sistema Productivo (SASP)  ·  DAM2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40000" cy="468493"/>
          <wp:docPr id="1" name="Picture 1"/>
          <wp:cNvGraphicFramePr>
            <a:graphicFrameLocks noChangeAspect="1"/>
          </wp:cNvGraphicFramePr>
          <a:graphic>
            <a:graphicData uri="http://schemas.openxmlformats.org/drawingml/2006/picture">
              <pic:pic>
                <pic:nvPicPr>
                  <pic:cNvPr id="0" name="logocentro.png"/>
                  <pic:cNvPicPr/>
                </pic:nvPicPr>
                <pic:blipFill>
                  <a:blip r:embed="rId1"/>
                  <a:stretch>
                    <a:fillRect/>
                  </a:stretch>
                </pic:blipFill>
                <pic:spPr>
                  <a:xfrm>
                    <a:off x="0" y="0"/>
                    <a:ext cx="1440000" cy="46849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