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- здесь Hint надо определится со стилем и текстом</w:t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Spanish TCO</w:t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708.6614173228347"/>
        </w:tabs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/wizard_sp_tco/step-2.html – Вопрос!!! Нужна ли выпадашка Reason при активных чекбоксах?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708.6614173228347"/>
        </w:tabs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/wizard_sp_tco/step-4.html – Вопрос!!! В каком состоянии нужно поля S/N Number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708.6614173228347"/>
        </w:tabs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/wizard_sp_tco/step-7.html - Вопрос выкидываем старый экран полностью или частично?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708.6614173228347"/>
        </w:tabs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/wizard_sp_tco/step-8.html тоже самое п.3</w:t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Wizard UK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/wizard_uk/step-1.html – радио батаны имеют лейблы OK и Not OK какой правильный?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/wizard_uk/step-2.html – Этот экран из-за размера поделен на два. Из-за этого появиллся подпункт Step 2 Вопрос!! Как его назвать?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/wizard_uk/step-4.html – см. п.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/wizard_uk/step-4_1.html – см. п.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/wizard_uk/step-5.html - см. п. 2 + синий квадрат без лейбла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/wizard_uk/step-5_1.html п. 2 + синий квадрат корректный ли лейбл?</w:t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Wizard GE</w:t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/wizard_ge/step-2.html – см. п.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/wizard_ge/step-3.html - нужен ли noname checkbox?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/wizard_ge/step-4.html – красный текст, представил как notify ок не ок? + NoName синий квадрат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/wizard_ge/step-5.html – см. п. 0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/wizard_ge/step-6.html –  2 NoName синих квадрата</w:t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Поправить везде Not OK в UK</w:t>
      </w:r>
    </w:p>
    <w:p w:rsidR="00000000" w:rsidDel="00000000" w:rsidP="00000000" w:rsidRDefault="00000000" w:rsidRPr="00000000">
      <w:pPr>
        <w:ind w:hanging="5.999999999999872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2"/>
          <w:szCs w:val="22"/>
          <w:rtl w:val="0"/>
        </w:rPr>
        <w:t xml:space="preserve">Поправить везде Not OK в GE</w:t>
      </w:r>
    </w:p>
    <w:sectPr>
      <w:pgSz w:h="16840" w:w="11900"/>
      <w:pgMar w:bottom="1134" w:top="1134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