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pageBreakBefore w:val="0"/>
        <w:spacing w:before="0" w:after="0" w:line="240" w:lineRule="auto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0046"/>
            <wp:docPr id="1" name="Halaman 1: Pendahuluan dan Executive Summary" descr="Halaman 1: Pendahuluan dan Executive Summ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0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before="0" w:after="0" w:line="240" w:lineRule="auto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0046"/>
            <wp:docPr id="2" name="Halaman 2: Mobile Stok Opname" descr="Halaman 2: Mobile Stok Opna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0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before="0" w:after="0" w:line="240" w:lineRule="auto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0046"/>
            <wp:docPr id="3" name="Halaman 3: Transport Logistik" descr="Halaman 3: Transport Logisti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0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before="0" w:after="0" w:line="240" w:lineRule="auto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0046"/>
            <wp:docPr id="4" name="Halaman 4: Penawaran dan Waktu Pengerjaan" descr="Halaman 4: Penawaran dan Waktu Pengerja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004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" w:right="28" w:bottom="28" w:left="2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BTR</dc:title>
  <dc:subject>Mobile Stok Opname dan Transport Logistik</dc:subject>
  <dc:creator>Drury Yudis Lumenta</dc:creator>
  <cp:keywords>BTR, Mobile Stok Opname, Transport Logistik</cp:keywords>
  <dc:description>Versi Microsoft Word dari infografik Executive Summary BTR.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