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left"/>
      </w:pPr>
      <w:r>
        <w:rPr>
          <w:rFonts w:ascii="Arial" w:hAnsi="Arial"/>
          <w:b w:val="0"/>
          <w:i w:val="0"/>
          <w:color w:val="183752"/>
          <w:sz w:val="56"/>
        </w:rPr>
        <w:t>Brazil Security Intelligence Policing Defence and Organised Crime</w:t>
      </w:r>
    </w:p>
    <w:p>
      <w:pPr>
        <w:pStyle w:val="Subtitle"/>
      </w:pPr>
      <w:r>
        <w:rPr>
          <w:rFonts w:ascii="Arial" w:hAnsi="Arial"/>
          <w:b w:val="0"/>
          <w:i w:val="0"/>
          <w:color w:val="5A636B"/>
          <w:sz w:val="26"/>
        </w:rPr>
        <w:t>Sovereign Country Research Programme Research Pass 3</w:t>
      </w:r>
    </w:p>
    <w:p>
      <w:r>
        <w:rPr>
          <w:rFonts w:ascii="Arial" w:hAnsi="Arial"/>
          <w:b/>
          <w:i w:val="0"/>
          <w:color w:val="1E242A"/>
          <w:sz w:val="21"/>
        </w:rPr>
        <w:t>Audience and purpose.</w:t>
      </w:r>
      <w:r>
        <w:rPr>
          <w:rFonts w:ascii="Arial" w:hAnsi="Arial"/>
          <w:b w:val="0"/>
          <w:i w:val="0"/>
          <w:color w:val="1E242A"/>
          <w:sz w:val="21"/>
        </w:rPr>
        <w:t xml:space="preserve"> This report is written for designers and researchers building Sovereign's Brazil Country Knowledge Base. It explains the legal and practical machinery through which Brazil responds to crime, organised crime, disorder, intelligence threats, border threats and national-security crises. It asks at every stage which actor initiates, who authorises, who executes, who reviews, and what a President can plausibly decide at presidential altitude.</w:t>
      </w:r>
    </w:p>
    <w:p>
      <w:r>
        <w:rPr>
          <w:rFonts w:ascii="Arial" w:hAnsi="Arial"/>
          <w:b/>
          <w:i w:val="0"/>
          <w:color w:val="1E242A"/>
          <w:sz w:val="21"/>
        </w:rPr>
        <w:t>Research cutoff.</w:t>
      </w:r>
      <w:r>
        <w:rPr>
          <w:rFonts w:ascii="Arial" w:hAnsi="Arial"/>
          <w:b w:val="0"/>
          <w:i w:val="0"/>
          <w:color w:val="1E242A"/>
          <w:sz w:val="21"/>
        </w:rPr>
        <w:t xml:space="preserve"> 3 September 2026. Statutes and institutional pages were verified against their current official versions on 4 September 2026, but no post-cutoff event is treated as scenario state. The March 2026 organised-crime statute and still-pending STF litigation are expressly marked as time-specific.</w:t>
      </w:r>
    </w:p>
    <w:p>
      <w:r>
        <w:rPr>
          <w:rFonts w:ascii="Arial" w:hAnsi="Arial"/>
          <w:b/>
          <w:i w:val="0"/>
          <w:color w:val="1E242A"/>
          <w:sz w:val="21"/>
        </w:rPr>
        <w:t>Cross-pass limitation.</w:t>
      </w:r>
      <w:r>
        <w:rPr>
          <w:rFonts w:ascii="Arial" w:hAnsi="Arial"/>
          <w:b w:val="0"/>
          <w:i w:val="0"/>
          <w:color w:val="1E242A"/>
          <w:sz w:val="21"/>
        </w:rPr>
        <w:t xml:space="preserve"> Pass 1 was available and was cross-checked for federalism, presidential authority, the Ministério Público, courts, the Armed Forces and emergency powers. The supplied Pass 2 file was empty and could not be substantively cross-checked. Intersections with Receita Federal, COAF, asset flows, spending, transfers and procurement were therefore independently validated here. This is an evidence limitation, not an inferred contradiction.</w:t>
      </w:r>
    </w:p>
    <w:p>
      <w:pPr>
        <w:pStyle w:val="Heading2"/>
      </w:pPr>
      <w:r>
        <w:rPr>
          <w:rFonts w:ascii="Arial" w:hAnsi="Arial"/>
          <w:b w:val="0"/>
          <w:i w:val="0"/>
          <w:color w:val="2C5F80"/>
          <w:sz w:val="27"/>
        </w:rPr>
        <w:t>Classification key</w:t>
      </w:r>
    </w:p>
    <w:p>
      <w:pPr>
        <w:pStyle w:val="ListBullet"/>
        <w:numPr>
          <w:ilvl w:val="0"/>
          <w:numId w:val="4"/>
        </w:numPr>
      </w:pPr>
      <w:r>
        <w:rPr>
          <w:rFonts w:ascii="Arial" w:hAnsi="Arial"/>
          <w:b/>
          <w:i w:val="0"/>
          <w:color w:val="1E242A"/>
          <w:sz w:val="20"/>
        </w:rPr>
        <w:t>FORMAL RULE</w:t>
      </w:r>
      <w:r>
        <w:rPr>
          <w:rFonts w:ascii="Arial" w:hAnsi="Arial"/>
          <w:b w:val="0"/>
          <w:i w:val="0"/>
          <w:color w:val="1E242A"/>
          <w:sz w:val="20"/>
        </w:rPr>
        <w:t>: constitutional, statutory, regulatory or binding judicial rule.</w:t>
      </w:r>
    </w:p>
    <w:p>
      <w:pPr>
        <w:pStyle w:val="ListBullet"/>
        <w:numPr>
          <w:ilvl w:val="0"/>
          <w:numId w:val="4"/>
        </w:numPr>
      </w:pPr>
      <w:r>
        <w:rPr>
          <w:rFonts w:ascii="Arial" w:hAnsi="Arial"/>
          <w:b/>
          <w:i w:val="0"/>
          <w:color w:val="1E242A"/>
          <w:sz w:val="20"/>
        </w:rPr>
        <w:t>POLITICAL PRACTICE</w:t>
      </w:r>
      <w:r>
        <w:rPr>
          <w:rFonts w:ascii="Arial" w:hAnsi="Arial"/>
          <w:b w:val="0"/>
          <w:i w:val="0"/>
          <w:color w:val="1E242A"/>
          <w:sz w:val="20"/>
        </w:rPr>
        <w:t>: how authority is commonly exercised, negotiated or resisted.</w:t>
      </w:r>
    </w:p>
    <w:p>
      <w:pPr>
        <w:pStyle w:val="ListBullet"/>
        <w:numPr>
          <w:ilvl w:val="0"/>
          <w:numId w:val="4"/>
        </w:numPr>
      </w:pPr>
      <w:r>
        <w:rPr>
          <w:rFonts w:ascii="Arial" w:hAnsi="Arial"/>
          <w:b/>
          <w:i w:val="0"/>
          <w:color w:val="1E242A"/>
          <w:sz w:val="20"/>
        </w:rPr>
        <w:t>HISTORICAL EXPERIENCE</w:t>
      </w:r>
      <w:r>
        <w:rPr>
          <w:rFonts w:ascii="Arial" w:hAnsi="Arial"/>
          <w:b w:val="0"/>
          <w:i w:val="0"/>
          <w:color w:val="1E242A"/>
          <w:sz w:val="20"/>
        </w:rPr>
        <w:t>: a bounded case showing how formal powers operated.</w:t>
      </w:r>
    </w:p>
    <w:p>
      <w:pPr>
        <w:pStyle w:val="ListBullet"/>
        <w:numPr>
          <w:ilvl w:val="0"/>
          <w:numId w:val="4"/>
        </w:numPr>
      </w:pPr>
      <w:r>
        <w:rPr>
          <w:rFonts w:ascii="Arial" w:hAnsi="Arial"/>
          <w:b/>
          <w:i w:val="0"/>
          <w:color w:val="1E242A"/>
          <w:sz w:val="20"/>
        </w:rPr>
        <w:t>SCENARIO-SPECIFIC</w:t>
      </w:r>
      <w:r>
        <w:rPr>
          <w:rFonts w:ascii="Arial" w:hAnsi="Arial"/>
          <w:b w:val="0"/>
          <w:i w:val="0"/>
          <w:color w:val="1E242A"/>
          <w:sz w:val="20"/>
        </w:rPr>
        <w:t>: true at the cutoff but not durable Country Knowledge.</w:t>
      </w:r>
    </w:p>
    <w:p>
      <w:pPr>
        <w:pStyle w:val="ListBullet"/>
        <w:numPr>
          <w:ilvl w:val="0"/>
          <w:numId w:val="4"/>
        </w:numPr>
      </w:pPr>
      <w:r>
        <w:rPr>
          <w:rFonts w:ascii="Arial" w:hAnsi="Arial"/>
          <w:b/>
          <w:i w:val="0"/>
          <w:color w:val="1E242A"/>
          <w:sz w:val="20"/>
        </w:rPr>
        <w:t>GOVERNMENT ACTION INSTRUMENT</w:t>
      </w:r>
      <w:r>
        <w:rPr>
          <w:rFonts w:ascii="Arial" w:hAnsi="Arial"/>
          <w:b w:val="0"/>
          <w:i w:val="0"/>
          <w:color w:val="1E242A"/>
          <w:sz w:val="20"/>
        </w:rPr>
        <w:t>: a legally recognisable route through which government may pursue an objective.</w:t>
      </w:r>
    </w:p>
    <w:p>
      <w:pPr>
        <w:pStyle w:val="ListBullet"/>
        <w:numPr>
          <w:ilvl w:val="0"/>
          <w:numId w:val="4"/>
        </w:numPr>
      </w:pPr>
      <w:r>
        <w:rPr>
          <w:rFonts w:ascii="Arial" w:hAnsi="Arial"/>
          <w:b/>
          <w:i w:val="0"/>
          <w:color w:val="1E242A"/>
          <w:sz w:val="20"/>
        </w:rPr>
        <w:t>INDEPENDENT OR NON-PRESIDENTIAL ACTOR CAPABILITY</w:t>
      </w:r>
      <w:r>
        <w:rPr>
          <w:rFonts w:ascii="Arial" w:hAnsi="Arial"/>
          <w:b w:val="0"/>
          <w:i w:val="0"/>
          <w:color w:val="1E242A"/>
          <w:sz w:val="20"/>
        </w:rPr>
        <w:t>: consequential action that does not require presidential instruction.</w:t>
      </w:r>
    </w:p>
    <w:p>
      <w:pPr>
        <w:pStyle w:val="Heading1"/>
      </w:pPr>
      <w:r>
        <w:rPr>
          <w:rFonts w:ascii="Arial" w:hAnsi="Arial"/>
          <w:b w:val="0"/>
          <w:i w:val="0"/>
          <w:color w:val="183752"/>
          <w:sz w:val="34"/>
        </w:rPr>
        <w:t>Executive answer</w:t>
      </w:r>
    </w:p>
    <w:p>
      <w:r>
        <w:rPr>
          <w:rFonts w:ascii="Arial" w:hAnsi="Arial"/>
          <w:b w:val="0"/>
          <w:i w:val="0"/>
          <w:color w:val="1E242A"/>
          <w:sz w:val="21"/>
        </w:rPr>
        <w:t>Brazil does not have a unitary national police chain. Article 144 of the Constitution distributes public-security functions among federal and state institutions, while prosecution belongs to an autonomous Ministério Público and the most intrusive coercive measures remain under judicial control. The President can set federal strategy, appoint and remove senior executive officials, allocate proposed resources through the budget, issue lawful regulations, direct the Ministry of Justice and Public Security, establish priorities for federal bodies, coordinate intelligence, request assessments and negotiate cooperation. The President cannot command state police as if they were federal departments, order a named person arrested, issue a search warrant, compel a prosecution, obtain protected intelligence for political use, freeze a target's assets, declare forfeiture, or spend restrained assets before the governing judicial and fiscal stages are complete.</w:t>
      </w:r>
    </w:p>
    <w:p>
      <w:r>
        <w:rPr>
          <w:rFonts w:ascii="Arial" w:hAnsi="Arial"/>
          <w:b w:val="0"/>
          <w:i w:val="0"/>
          <w:color w:val="1E242A"/>
          <w:sz w:val="21"/>
        </w:rPr>
        <w:t>The practical decision chain is therefore:</w:t>
      </w:r>
    </w:p>
    <w:p>
      <w:r>
        <w:rPr>
          <w:rFonts w:ascii="Arial" w:hAnsi="Arial"/>
          <w:b/>
          <w:i w:val="0"/>
          <w:color w:val="1E242A"/>
          <w:sz w:val="21"/>
        </w:rPr>
        <w:t>presidential objective -&gt; ministerial policy and resources -&gt; competent institution opens or prioritises lawful work -&gt; prosecutor or police requests any reserved measure -&gt; judge authorises and reviews -&gt; operational body executes -&gt; litigation and custody continue -&gt; final legal disposition -&gt; only then may funds be used under the applicable fund and budget law.</w:t>
      </w:r>
    </w:p>
    <w:p>
      <w:r>
        <w:rPr>
          <w:rFonts w:ascii="Arial" w:hAnsi="Arial"/>
          <w:b w:val="0"/>
          <w:i w:val="0"/>
          <w:color w:val="1E242A"/>
          <w:sz w:val="21"/>
        </w:rPr>
        <w:t>This fragmentation is not simply friction. It is the constitutional structure. It also allows events to arise independently of the Presidency: a governor may request federal help; a police inquiry may reach an operational threshold; a prosecutor may investigate or charge; a court may restrain an operation or order structural reforms; COAF may disseminate a financial-intelligence report; ABIN may produce a warning; a prison authority may report a crisis; and criminal organisations may retaliate, relocate or reorganise.</w:t>
      </w:r>
    </w:p>
    <w:p>
      <w:r>
        <w:rPr>
          <w:rFonts w:ascii="Arial" w:hAnsi="Arial"/>
          <w:b w:val="0"/>
          <w:i w:val="0"/>
          <w:color w:val="1E242A"/>
          <w:sz w:val="21"/>
        </w:rPr>
        <w:t xml:space="preserve">The most consequential current qualification is </w:t>
      </w:r>
      <w:r>
        <w:rPr>
          <w:rFonts w:ascii="Arial" w:hAnsi="Arial"/>
          <w:b/>
          <w:i w:val="0"/>
          <w:color w:val="1E242A"/>
          <w:sz w:val="21"/>
        </w:rPr>
        <w:t>SCENARIO-SPECIFIC</w:t>
      </w:r>
      <w:r>
        <w:rPr>
          <w:rFonts w:ascii="Arial" w:hAnsi="Arial"/>
          <w:b w:val="0"/>
          <w:i w:val="0"/>
          <w:color w:val="1E242A"/>
          <w:sz w:val="21"/>
        </w:rPr>
        <w:t xml:space="preserve">. </w:t>
      </w:r>
      <w:hyperlink r:id="rId65">
        <w:r>
          <w:rPr>
            <w:color w:val="2C5F80"/>
            <w:u w:val="single"/>
            <w:rFonts w:ascii="Arial" w:hAnsi="Arial"/>
            <w:sz w:val="21"/>
          </w:rPr>
          <w:t>Law 15,358 of 24 March 2026</w:t>
        </w:r>
      </w:hyperlink>
      <w:r>
        <w:rPr>
          <w:rFonts w:ascii="Arial" w:hAnsi="Arial"/>
          <w:b w:val="0"/>
          <w:i w:val="0"/>
          <w:color w:val="1E242A"/>
          <w:sz w:val="21"/>
        </w:rPr>
        <w:t>, the Lei Raul Jungmann or new organised-crime framework, took effect on publication on 25 March 2026. It creates special offences and unusually strong patrimonial measures for ultraviolent organisations, militias and structured territorial domination, including conviction-independent extraordinary forfeiture ordered by a judge. The enacted text is formal law, but its constitutional durability and implementation are not mature; an STF public hearing was underway in 2026. It must not be projected backward or encoded as settled doctrine.</w:t>
      </w:r>
    </w:p>
    <w:p>
      <w:pPr>
        <w:pStyle w:val="Heading1"/>
      </w:pPr>
      <w:r>
        <w:rPr>
          <w:rFonts w:ascii="Arial" w:hAnsi="Arial"/>
          <w:b w:val="0"/>
          <w:i w:val="0"/>
          <w:color w:val="183752"/>
          <w:sz w:val="34"/>
        </w:rPr>
        <w:t>1 Public security is a divided constitutional function</w:t>
      </w:r>
    </w:p>
    <w:p>
      <w:pPr>
        <w:pStyle w:val="Heading2"/>
      </w:pPr>
      <w:r>
        <w:rPr>
          <w:rFonts w:ascii="Arial" w:hAnsi="Arial"/>
          <w:b w:val="0"/>
          <w:i w:val="0"/>
          <w:color w:val="2C5F80"/>
          <w:sz w:val="27"/>
        </w:rPr>
        <w:t>1.1 Constitutional map</w:t>
      </w:r>
    </w:p>
    <w:p>
      <w:r>
        <w:rPr>
          <w:rFonts w:ascii="Arial" w:hAnsi="Arial"/>
          <w:b/>
          <w:i w:val="0"/>
          <w:color w:val="1E242A"/>
          <w:sz w:val="21"/>
        </w:rPr>
        <w:t>FORMAL RULE.</w:t>
      </w:r>
      <w:r>
        <w:rPr>
          <w:rFonts w:ascii="Arial" w:hAnsi="Arial"/>
          <w:b w:val="0"/>
          <w:i w:val="0"/>
          <w:color w:val="1E242A"/>
          <w:sz w:val="21"/>
        </w:rPr>
        <w:t xml:space="preserve"> The </w:t>
      </w:r>
      <w:hyperlink r:id="rId45">
        <w:r>
          <w:rPr>
            <w:color w:val="2C5F80"/>
            <w:u w:val="single"/>
            <w:rFonts w:ascii="Arial" w:hAnsi="Arial"/>
            <w:sz w:val="21"/>
          </w:rPr>
          <w:t>1988 Constitution, article 144</w:t>
        </w:r>
      </w:hyperlink>
      <w:r>
        <w:rPr>
          <w:rFonts w:ascii="Arial" w:hAnsi="Arial"/>
          <w:b w:val="0"/>
          <w:i w:val="0"/>
          <w:color w:val="1E242A"/>
          <w:sz w:val="21"/>
        </w:rPr>
        <w:t xml:space="preserve"> makes public security a duty of the state and a responsibility and right of all, exercised to preserve public order and the safety of persons and property. It names the Federal Police, Federal Highway Police, Federal Railway Police, state civil police, state military police and military fire brigades, and federal, state and district penal police. Municipalities may establish guards for their property, services and installations under law. Constitutional Amendment 104 of 2019 constitutionalised penal police; historical scenarios before it require a different institutional description.</w:t>
      </w:r>
    </w:p>
    <w:p>
      <w:r>
        <w:rPr>
          <w:rFonts w:ascii="Arial" w:hAnsi="Arial"/>
          <w:b w:val="0"/>
          <w:i w:val="0"/>
          <w:color w:val="1E242A"/>
          <w:sz w:val="21"/>
        </w:rPr>
        <w:t>The constitutional list allocates unlike functions:</w:t>
      </w:r>
    </w:p>
    <w:tbl>
      <w:tblPr>
        <w:tblW w:type="dxa" w:w="9360"/>
        <w:jc w:val="center"/>
        <w:tblLayout w:type="fixed"/>
        <w:tblLook w:firstColumn="1" w:firstRow="1" w:lastColumn="0" w:lastRow="0" w:noHBand="0" w:noVBand="1" w:val="04A0"/>
        <w:tblInd w:type="dxa" w:w="120"/>
      </w:tblPr>
      <w:tblGrid>
        <w:gridCol w:w="1152"/>
        <w:gridCol w:w="2376"/>
        <w:gridCol w:w="3096"/>
        <w:gridCol w:w="2736"/>
      </w:tblGrid>
      <w:tr>
        <w:trPr>
          <w:tblHeader w:val="true"/>
          <w:cantSplit/>
        </w:trPr>
        <w:tc>
          <w:tcPr>
            <w:tcW w:type="dxa" w:w="1152"/>
            <w:vAlign w:val="top"/>
            <w:shd w:fill="EAF1F5"/>
          </w:tcPr>
          <w:p>
            <w:r/>
            <w:r>
              <w:rPr>
                <w:rFonts w:ascii="Arial" w:hAnsi="Arial"/>
                <w:b w:val="0"/>
                <w:i w:val="0"/>
                <w:color w:val="183752"/>
                <w:sz w:val="16"/>
              </w:rPr>
              <w:t>Institution</w:t>
            </w:r>
          </w:p>
        </w:tc>
        <w:tc>
          <w:tcPr>
            <w:tcW w:type="dxa" w:w="2376"/>
            <w:vAlign w:val="top"/>
            <w:shd w:fill="EAF1F5"/>
          </w:tcPr>
          <w:p>
            <w:r/>
            <w:r>
              <w:rPr>
                <w:rFonts w:ascii="Arial" w:hAnsi="Arial"/>
                <w:b w:val="0"/>
                <w:i w:val="0"/>
                <w:color w:val="183752"/>
                <w:sz w:val="16"/>
              </w:rPr>
              <w:t>Government and command</w:t>
            </w:r>
          </w:p>
        </w:tc>
        <w:tc>
          <w:tcPr>
            <w:tcW w:type="dxa" w:w="3096"/>
            <w:vAlign w:val="top"/>
            <w:shd w:fill="EAF1F5"/>
          </w:tcPr>
          <w:p>
            <w:r/>
            <w:r>
              <w:rPr>
                <w:rFonts w:ascii="Arial" w:hAnsi="Arial"/>
                <w:b w:val="0"/>
                <w:i w:val="0"/>
                <w:color w:val="183752"/>
                <w:sz w:val="16"/>
              </w:rPr>
              <w:t>Core function</w:t>
            </w:r>
          </w:p>
        </w:tc>
        <w:tc>
          <w:tcPr>
            <w:tcW w:type="dxa" w:w="2736"/>
            <w:vAlign w:val="top"/>
            <w:shd w:fill="EAF1F5"/>
          </w:tcPr>
          <w:p>
            <w:r/>
            <w:r>
              <w:rPr>
                <w:rFonts w:ascii="Arial" w:hAnsi="Arial"/>
                <w:b w:val="0"/>
                <w:i w:val="0"/>
                <w:color w:val="183752"/>
                <w:sz w:val="16"/>
              </w:rPr>
              <w:t>Presidential relationship</w:t>
            </w:r>
          </w:p>
        </w:tc>
      </w:tr>
      <w:tr>
        <w:trPr>
          <w:cantSplit/>
        </w:trPr>
        <w:tc>
          <w:tcPr>
            <w:tcW w:type="dxa" w:w="1152"/>
            <w:vAlign w:val="top"/>
          </w:tcPr>
          <w:p>
            <w:r/>
            <w:r>
              <w:rPr>
                <w:rFonts w:ascii="Arial" w:hAnsi="Arial"/>
                <w:b w:val="0"/>
                <w:i w:val="0"/>
                <w:color w:val="1E242A"/>
                <w:sz w:val="16"/>
              </w:rPr>
              <w:t>Polícia Federal PF</w:t>
            </w:r>
          </w:p>
        </w:tc>
        <w:tc>
          <w:tcPr>
            <w:tcW w:type="dxa" w:w="2376"/>
            <w:vAlign w:val="top"/>
          </w:tcPr>
          <w:p>
            <w:r/>
            <w:r>
              <w:rPr>
                <w:rFonts w:ascii="Arial" w:hAnsi="Arial"/>
                <w:b w:val="0"/>
                <w:i w:val="0"/>
                <w:color w:val="1E242A"/>
                <w:sz w:val="16"/>
              </w:rPr>
              <w:t>Union; within MJSP; led by presidential appointee</w:t>
            </w:r>
          </w:p>
        </w:tc>
        <w:tc>
          <w:tcPr>
            <w:tcW w:type="dxa" w:w="3096"/>
            <w:vAlign w:val="top"/>
          </w:tcPr>
          <w:p>
            <w:r/>
            <w:r>
              <w:rPr>
                <w:rFonts w:ascii="Arial" w:hAnsi="Arial"/>
                <w:b w:val="0"/>
                <w:i w:val="0"/>
                <w:color w:val="1E242A"/>
                <w:sz w:val="16"/>
              </w:rPr>
              <w:t>Federal judicial police; federal-interest, specified interstate or international crime; maritime, airport and border police; administrative functions</w:t>
            </w:r>
          </w:p>
        </w:tc>
        <w:tc>
          <w:tcPr>
            <w:tcW w:type="dxa" w:w="2736"/>
            <w:vAlign w:val="top"/>
          </w:tcPr>
          <w:p>
            <w:r/>
            <w:r>
              <w:rPr>
                <w:rFonts w:ascii="Arial" w:hAnsi="Arial"/>
                <w:b w:val="0"/>
                <w:i w:val="0"/>
                <w:color w:val="1E242A"/>
                <w:sz w:val="16"/>
              </w:rPr>
              <w:t>Direct administrative and strategic influence; no lawful presidential control of warrants, charges or judicial outcomes</w:t>
            </w:r>
          </w:p>
        </w:tc>
      </w:tr>
      <w:tr>
        <w:trPr>
          <w:cantSplit/>
        </w:trPr>
        <w:tc>
          <w:tcPr>
            <w:tcW w:type="dxa" w:w="1152"/>
            <w:vAlign w:val="top"/>
          </w:tcPr>
          <w:p>
            <w:r/>
            <w:r>
              <w:rPr>
                <w:rFonts w:ascii="Arial" w:hAnsi="Arial"/>
                <w:b w:val="0"/>
                <w:i w:val="0"/>
                <w:color w:val="1E242A"/>
                <w:sz w:val="16"/>
              </w:rPr>
              <w:t>Polícia Rodoviária Federal PRF</w:t>
            </w:r>
          </w:p>
        </w:tc>
        <w:tc>
          <w:tcPr>
            <w:tcW w:type="dxa" w:w="2376"/>
            <w:vAlign w:val="top"/>
          </w:tcPr>
          <w:p>
            <w:r/>
            <w:r>
              <w:rPr>
                <w:rFonts w:ascii="Arial" w:hAnsi="Arial"/>
                <w:b w:val="0"/>
                <w:i w:val="0"/>
                <w:color w:val="1E242A"/>
                <w:sz w:val="16"/>
              </w:rPr>
              <w:t>Union; within MJSP</w:t>
            </w:r>
          </w:p>
        </w:tc>
        <w:tc>
          <w:tcPr>
            <w:tcW w:type="dxa" w:w="3096"/>
            <w:vAlign w:val="top"/>
          </w:tcPr>
          <w:p>
            <w:r/>
            <w:r>
              <w:rPr>
                <w:rFonts w:ascii="Arial" w:hAnsi="Arial"/>
                <w:b w:val="0"/>
                <w:i w:val="0"/>
                <w:color w:val="1E242A"/>
                <w:sz w:val="16"/>
              </w:rPr>
              <w:t>Overt patrol of federal highways and statutory road-safety and enforcement functions</w:t>
            </w:r>
          </w:p>
        </w:tc>
        <w:tc>
          <w:tcPr>
            <w:tcW w:type="dxa" w:w="2736"/>
            <w:vAlign w:val="top"/>
          </w:tcPr>
          <w:p>
            <w:r/>
            <w:r>
              <w:rPr>
                <w:rFonts w:ascii="Arial" w:hAnsi="Arial"/>
                <w:b w:val="0"/>
                <w:i w:val="0"/>
                <w:color w:val="1E242A"/>
                <w:sz w:val="16"/>
              </w:rPr>
              <w:t>Executive hierarchy and resources; jurisdiction remains federal highways</w:t>
            </w:r>
          </w:p>
        </w:tc>
      </w:tr>
      <w:tr>
        <w:trPr>
          <w:cantSplit/>
        </w:trPr>
        <w:tc>
          <w:tcPr>
            <w:tcW w:type="dxa" w:w="1152"/>
            <w:vAlign w:val="top"/>
          </w:tcPr>
          <w:p>
            <w:r/>
            <w:r>
              <w:rPr>
                <w:rFonts w:ascii="Arial" w:hAnsi="Arial"/>
                <w:b w:val="0"/>
                <w:i w:val="0"/>
                <w:color w:val="1E242A"/>
                <w:sz w:val="16"/>
              </w:rPr>
              <w:t>Polícia Penal Federal</w:t>
            </w:r>
          </w:p>
        </w:tc>
        <w:tc>
          <w:tcPr>
            <w:tcW w:type="dxa" w:w="2376"/>
            <w:vAlign w:val="top"/>
          </w:tcPr>
          <w:p>
            <w:r/>
            <w:r>
              <w:rPr>
                <w:rFonts w:ascii="Arial" w:hAnsi="Arial"/>
                <w:b w:val="0"/>
                <w:i w:val="0"/>
                <w:color w:val="1E242A"/>
                <w:sz w:val="16"/>
              </w:rPr>
              <w:t>Union; under federal penal administration</w:t>
            </w:r>
          </w:p>
        </w:tc>
        <w:tc>
          <w:tcPr>
            <w:tcW w:type="dxa" w:w="3096"/>
            <w:vAlign w:val="top"/>
          </w:tcPr>
          <w:p>
            <w:r/>
            <w:r>
              <w:rPr>
                <w:rFonts w:ascii="Arial" w:hAnsi="Arial"/>
                <w:b w:val="0"/>
                <w:i w:val="0"/>
                <w:color w:val="1E242A"/>
                <w:sz w:val="16"/>
              </w:rPr>
              <w:t>Security of federal penal establishments and custody functions</w:t>
            </w:r>
          </w:p>
        </w:tc>
        <w:tc>
          <w:tcPr>
            <w:tcW w:type="dxa" w:w="2736"/>
            <w:vAlign w:val="top"/>
          </w:tcPr>
          <w:p>
            <w:r/>
            <w:r>
              <w:rPr>
                <w:rFonts w:ascii="Arial" w:hAnsi="Arial"/>
                <w:b w:val="0"/>
                <w:i w:val="0"/>
                <w:color w:val="1E242A"/>
                <w:sz w:val="16"/>
              </w:rPr>
              <w:t>Executive administration through MJSP and SENAPPEN; custody remains governed by law and judicial orders</w:t>
            </w:r>
          </w:p>
        </w:tc>
      </w:tr>
      <w:tr>
        <w:trPr>
          <w:cantSplit/>
        </w:trPr>
        <w:tc>
          <w:tcPr>
            <w:tcW w:type="dxa" w:w="1152"/>
            <w:vAlign w:val="top"/>
          </w:tcPr>
          <w:p>
            <w:r/>
            <w:r>
              <w:rPr>
                <w:rFonts w:ascii="Arial" w:hAnsi="Arial"/>
                <w:b w:val="0"/>
                <w:i w:val="0"/>
                <w:color w:val="1E242A"/>
                <w:sz w:val="16"/>
              </w:rPr>
              <w:t>State Polícia Civil</w:t>
            </w:r>
          </w:p>
        </w:tc>
        <w:tc>
          <w:tcPr>
            <w:tcW w:type="dxa" w:w="2376"/>
            <w:vAlign w:val="top"/>
          </w:tcPr>
          <w:p>
            <w:r/>
            <w:r>
              <w:rPr>
                <w:rFonts w:ascii="Arial" w:hAnsi="Arial"/>
                <w:b w:val="0"/>
                <w:i w:val="0"/>
                <w:color w:val="1E242A"/>
                <w:sz w:val="16"/>
              </w:rPr>
              <w:t>State; subordinate to governor</w:t>
            </w:r>
          </w:p>
        </w:tc>
        <w:tc>
          <w:tcPr>
            <w:tcW w:type="dxa" w:w="3096"/>
            <w:vAlign w:val="top"/>
          </w:tcPr>
          <w:p>
            <w:r/>
            <w:r>
              <w:rPr>
                <w:rFonts w:ascii="Arial" w:hAnsi="Arial"/>
                <w:b w:val="0"/>
                <w:i w:val="0"/>
                <w:color w:val="1E242A"/>
                <w:sz w:val="16"/>
              </w:rPr>
              <w:t>Judicial-police investigation of ordinary non-military offences, except federal jurisdiction</w:t>
            </w:r>
          </w:p>
        </w:tc>
        <w:tc>
          <w:tcPr>
            <w:tcW w:type="dxa" w:w="2736"/>
            <w:vAlign w:val="top"/>
          </w:tcPr>
          <w:p>
            <w:r/>
            <w:r>
              <w:rPr>
                <w:rFonts w:ascii="Arial" w:hAnsi="Arial"/>
                <w:b w:val="0"/>
                <w:i w:val="0"/>
                <w:color w:val="1E242A"/>
                <w:sz w:val="16"/>
              </w:rPr>
              <w:t>No ordinary presidential command; cooperation or a federal jurisdictional hook is required</w:t>
            </w:r>
          </w:p>
        </w:tc>
      </w:tr>
      <w:tr>
        <w:trPr>
          <w:cantSplit/>
        </w:trPr>
        <w:tc>
          <w:tcPr>
            <w:tcW w:type="dxa" w:w="1152"/>
            <w:vAlign w:val="top"/>
          </w:tcPr>
          <w:p>
            <w:r/>
            <w:r>
              <w:rPr>
                <w:rFonts w:ascii="Arial" w:hAnsi="Arial"/>
                <w:b w:val="0"/>
                <w:i w:val="0"/>
                <w:color w:val="1E242A"/>
                <w:sz w:val="16"/>
              </w:rPr>
              <w:t>State Polícia Militar</w:t>
            </w:r>
          </w:p>
        </w:tc>
        <w:tc>
          <w:tcPr>
            <w:tcW w:type="dxa" w:w="2376"/>
            <w:vAlign w:val="top"/>
          </w:tcPr>
          <w:p>
            <w:r/>
            <w:r>
              <w:rPr>
                <w:rFonts w:ascii="Arial" w:hAnsi="Arial"/>
                <w:b w:val="0"/>
                <w:i w:val="0"/>
                <w:color w:val="1E242A"/>
                <w:sz w:val="16"/>
              </w:rPr>
              <w:t>State; subordinate to governor; constitutionally auxiliary/reserve force of Army</w:t>
            </w:r>
          </w:p>
        </w:tc>
        <w:tc>
          <w:tcPr>
            <w:tcW w:type="dxa" w:w="3096"/>
            <w:vAlign w:val="top"/>
          </w:tcPr>
          <w:p>
            <w:r/>
            <w:r>
              <w:rPr>
                <w:rFonts w:ascii="Arial" w:hAnsi="Arial"/>
                <w:b w:val="0"/>
                <w:i w:val="0"/>
                <w:color w:val="1E242A"/>
                <w:sz w:val="16"/>
              </w:rPr>
              <w:t>Ostensive policing and preservation of public order</w:t>
            </w:r>
          </w:p>
        </w:tc>
        <w:tc>
          <w:tcPr>
            <w:tcW w:type="dxa" w:w="2736"/>
            <w:vAlign w:val="top"/>
          </w:tcPr>
          <w:p>
            <w:r/>
            <w:r>
              <w:rPr>
                <w:rFonts w:ascii="Arial" w:hAnsi="Arial"/>
                <w:b w:val="0"/>
                <w:i w:val="0"/>
                <w:color w:val="1E242A"/>
                <w:sz w:val="16"/>
              </w:rPr>
              <w:t>No ordinary presidential command; distinct from Armed Forces despite military organisation</w:t>
            </w:r>
          </w:p>
        </w:tc>
      </w:tr>
      <w:tr>
        <w:trPr>
          <w:cantSplit/>
        </w:trPr>
        <w:tc>
          <w:tcPr>
            <w:tcW w:type="dxa" w:w="1152"/>
            <w:vAlign w:val="top"/>
          </w:tcPr>
          <w:p>
            <w:r/>
            <w:r>
              <w:rPr>
                <w:rFonts w:ascii="Arial" w:hAnsi="Arial"/>
                <w:b w:val="0"/>
                <w:i w:val="0"/>
                <w:color w:val="1E242A"/>
                <w:sz w:val="16"/>
              </w:rPr>
              <w:t>State Polícia Penal</w:t>
            </w:r>
          </w:p>
        </w:tc>
        <w:tc>
          <w:tcPr>
            <w:tcW w:type="dxa" w:w="2376"/>
            <w:vAlign w:val="top"/>
          </w:tcPr>
          <w:p>
            <w:r/>
            <w:r>
              <w:rPr>
                <w:rFonts w:ascii="Arial" w:hAnsi="Arial"/>
                <w:b w:val="0"/>
                <w:i w:val="0"/>
                <w:color w:val="1E242A"/>
                <w:sz w:val="16"/>
              </w:rPr>
              <w:t>State or DF</w:t>
            </w:r>
          </w:p>
        </w:tc>
        <w:tc>
          <w:tcPr>
            <w:tcW w:type="dxa" w:w="3096"/>
            <w:vAlign w:val="top"/>
          </w:tcPr>
          <w:p>
            <w:r/>
            <w:r>
              <w:rPr>
                <w:rFonts w:ascii="Arial" w:hAnsi="Arial"/>
                <w:b w:val="0"/>
                <w:i w:val="0"/>
                <w:color w:val="1E242A"/>
                <w:sz w:val="16"/>
              </w:rPr>
              <w:t>Security of state penal establishments</w:t>
            </w:r>
          </w:p>
        </w:tc>
        <w:tc>
          <w:tcPr>
            <w:tcW w:type="dxa" w:w="2736"/>
            <w:vAlign w:val="top"/>
          </w:tcPr>
          <w:p>
            <w:r/>
            <w:r>
              <w:rPr>
                <w:rFonts w:ascii="Arial" w:hAnsi="Arial"/>
                <w:b w:val="0"/>
                <w:i w:val="0"/>
                <w:color w:val="1E242A"/>
                <w:sz w:val="16"/>
              </w:rPr>
              <w:t>Governor and state correctional chain; federal support does not displace control</w:t>
            </w:r>
          </w:p>
        </w:tc>
      </w:tr>
      <w:tr>
        <w:trPr>
          <w:cantSplit/>
        </w:trPr>
        <w:tc>
          <w:tcPr>
            <w:tcW w:type="dxa" w:w="1152"/>
            <w:vAlign w:val="top"/>
          </w:tcPr>
          <w:p>
            <w:r/>
            <w:r>
              <w:rPr>
                <w:rFonts w:ascii="Arial" w:hAnsi="Arial"/>
                <w:b w:val="0"/>
                <w:i w:val="0"/>
                <w:color w:val="1E242A"/>
                <w:sz w:val="16"/>
              </w:rPr>
              <w:t>Military fire brigades</w:t>
            </w:r>
          </w:p>
        </w:tc>
        <w:tc>
          <w:tcPr>
            <w:tcW w:type="dxa" w:w="2376"/>
            <w:vAlign w:val="top"/>
          </w:tcPr>
          <w:p>
            <w:r/>
            <w:r>
              <w:rPr>
                <w:rFonts w:ascii="Arial" w:hAnsi="Arial"/>
                <w:b w:val="0"/>
                <w:i w:val="0"/>
                <w:color w:val="1E242A"/>
                <w:sz w:val="16"/>
              </w:rPr>
              <w:t>State</w:t>
            </w:r>
          </w:p>
        </w:tc>
        <w:tc>
          <w:tcPr>
            <w:tcW w:type="dxa" w:w="3096"/>
            <w:vAlign w:val="top"/>
          </w:tcPr>
          <w:p>
            <w:r/>
            <w:r>
              <w:rPr>
                <w:rFonts w:ascii="Arial" w:hAnsi="Arial"/>
                <w:b w:val="0"/>
                <w:i w:val="0"/>
                <w:color w:val="1E242A"/>
                <w:sz w:val="16"/>
              </w:rPr>
              <w:t>Civil-defence and statutory fire/emergency functions; auxiliary/reserve status</w:t>
            </w:r>
          </w:p>
        </w:tc>
        <w:tc>
          <w:tcPr>
            <w:tcW w:type="dxa" w:w="2736"/>
            <w:vAlign w:val="top"/>
          </w:tcPr>
          <w:p>
            <w:r/>
            <w:r>
              <w:rPr>
                <w:rFonts w:ascii="Arial" w:hAnsi="Arial"/>
                <w:b w:val="0"/>
                <w:i w:val="0"/>
                <w:color w:val="1E242A"/>
                <w:sz w:val="16"/>
              </w:rPr>
              <w:t>State command except exceptional constitutional arrangements</w:t>
            </w:r>
          </w:p>
        </w:tc>
      </w:tr>
      <w:tr>
        <w:trPr>
          <w:cantSplit/>
        </w:trPr>
        <w:tc>
          <w:tcPr>
            <w:tcW w:type="dxa" w:w="1152"/>
            <w:vAlign w:val="top"/>
          </w:tcPr>
          <w:p>
            <w:r/>
            <w:r>
              <w:rPr>
                <w:rFonts w:ascii="Arial" w:hAnsi="Arial"/>
                <w:b w:val="0"/>
                <w:i w:val="0"/>
                <w:color w:val="1E242A"/>
                <w:sz w:val="16"/>
              </w:rPr>
              <w:t>Municipal guards</w:t>
            </w:r>
          </w:p>
        </w:tc>
        <w:tc>
          <w:tcPr>
            <w:tcW w:type="dxa" w:w="2376"/>
            <w:vAlign w:val="top"/>
          </w:tcPr>
          <w:p>
            <w:r/>
            <w:r>
              <w:rPr>
                <w:rFonts w:ascii="Arial" w:hAnsi="Arial"/>
                <w:b w:val="0"/>
                <w:i w:val="0"/>
                <w:color w:val="1E242A"/>
                <w:sz w:val="16"/>
              </w:rPr>
              <w:t>Municipality</w:t>
            </w:r>
          </w:p>
        </w:tc>
        <w:tc>
          <w:tcPr>
            <w:tcW w:type="dxa" w:w="3096"/>
            <w:vAlign w:val="top"/>
          </w:tcPr>
          <w:p>
            <w:r/>
            <w:r>
              <w:rPr>
                <w:rFonts w:ascii="Arial" w:hAnsi="Arial"/>
                <w:b w:val="0"/>
                <w:i w:val="0"/>
                <w:color w:val="1E242A"/>
                <w:sz w:val="16"/>
              </w:rPr>
              <w:t>Protection of municipal property, services and installations under statute and constitutional jurisprudence</w:t>
            </w:r>
          </w:p>
        </w:tc>
        <w:tc>
          <w:tcPr>
            <w:tcW w:type="dxa" w:w="2736"/>
            <w:vAlign w:val="top"/>
          </w:tcPr>
          <w:p>
            <w:r/>
            <w:r>
              <w:rPr>
                <w:rFonts w:ascii="Arial" w:hAnsi="Arial"/>
                <w:b w:val="0"/>
                <w:i w:val="0"/>
                <w:color w:val="1E242A"/>
                <w:sz w:val="16"/>
              </w:rPr>
              <w:t>No presidential command; local law, mayoral administration and judicial limits apply</w:t>
            </w:r>
          </w:p>
        </w:tc>
      </w:tr>
    </w:tbl>
    <w:p>
      <w:pPr>
        <w:spacing w:after="40"/>
      </w:pPr>
    </w:p>
    <w:p>
      <w:r>
        <w:rPr>
          <w:rFonts w:ascii="Arial" w:hAnsi="Arial"/>
          <w:b/>
          <w:i w:val="0"/>
          <w:color w:val="1E242A"/>
          <w:sz w:val="21"/>
        </w:rPr>
        <w:t>Decision consequence.</w:t>
      </w:r>
      <w:r>
        <w:rPr>
          <w:rFonts w:ascii="Arial" w:hAnsi="Arial"/>
          <w:b w:val="0"/>
          <w:i w:val="0"/>
          <w:color w:val="1E242A"/>
          <w:sz w:val="21"/>
        </w:rPr>
        <w:t xml:space="preserve"> “Increase police action” is institutionally incomplete. A plausible decision must identify the competent force, jurisdiction, initiating authority, need for cooperation and whether the desired act is investigation, overt policing, custody, intelligence or prosecution.</w:t>
      </w:r>
    </w:p>
    <w:p>
      <w:pPr>
        <w:pStyle w:val="Heading2"/>
      </w:pPr>
      <w:r>
        <w:rPr>
          <w:rFonts w:ascii="Arial" w:hAnsi="Arial"/>
          <w:b w:val="0"/>
          <w:i w:val="0"/>
          <w:color w:val="2C5F80"/>
          <w:sz w:val="27"/>
        </w:rPr>
        <w:t>1.2 Investigation is not prosecution, intelligence or public-order policing</w:t>
      </w:r>
    </w:p>
    <w:p>
      <w:r>
        <w:rPr>
          <w:rFonts w:ascii="Arial" w:hAnsi="Arial"/>
          <w:b w:val="0"/>
          <w:i w:val="0"/>
          <w:color w:val="1E242A"/>
          <w:sz w:val="21"/>
        </w:rPr>
        <w:t>State civil police and the PF investigate within their jurisdictions; military police primarily provide overt policing and preserve order; penal police guard prisons; prosecutors decide public criminal prosecution and may investigate within constitutional limits; judges authorise reserved coercive measures and adjudicate cases; intelligence bodies produce knowledge rather than arrests or charges. These functions can cooperate but do not merge.</w:t>
      </w:r>
    </w:p>
    <w:p>
      <w:r>
        <w:rPr>
          <w:rFonts w:ascii="Arial" w:hAnsi="Arial"/>
          <w:b/>
          <w:i w:val="0"/>
          <w:color w:val="1E242A"/>
          <w:sz w:val="21"/>
        </w:rPr>
        <w:t>FORMAL RULE.</w:t>
      </w:r>
      <w:r>
        <w:rPr>
          <w:rFonts w:ascii="Arial" w:hAnsi="Arial"/>
          <w:b w:val="0"/>
          <w:i w:val="0"/>
          <w:color w:val="1E242A"/>
          <w:sz w:val="21"/>
        </w:rPr>
        <w:t xml:space="preserve"> The PF's federal jurisdiction includes offences against the political and social order or to the detriment of Union property, services or interests; offences with interstate or international repercussions requiring uniform repression as provided by law; prevention and repression of drug trafficking, smuggling and contraband; maritime, airport and border police; and exclusive exercise of the Union's judicial-police function. </w:t>
      </w:r>
      <w:hyperlink r:id="rId66">
        <w:r>
          <w:rPr>
            <w:color w:val="2C5F80"/>
            <w:u w:val="single"/>
            <w:rFonts w:ascii="Arial" w:hAnsi="Arial"/>
            <w:sz w:val="21"/>
          </w:rPr>
          <w:t>Law 10,446 of 2002</w:t>
        </w:r>
      </w:hyperlink>
      <w:r>
        <w:rPr>
          <w:rFonts w:ascii="Arial" w:hAnsi="Arial"/>
          <w:b w:val="0"/>
          <w:i w:val="0"/>
          <w:color w:val="1E242A"/>
          <w:sz w:val="21"/>
        </w:rPr>
        <w:t xml:space="preserve"> specifies certain interstate or international crimes for possible PF investigation without removing state responsibility. Its wording matters: interstate relevance is not a free-standing presidential takeover power.</w:t>
      </w:r>
    </w:p>
    <w:p>
      <w:r>
        <w:rPr>
          <w:rFonts w:ascii="Arial" w:hAnsi="Arial"/>
          <w:b/>
          <w:i w:val="0"/>
          <w:color w:val="1E242A"/>
          <w:sz w:val="21"/>
        </w:rPr>
        <w:t>POLITICAL PRACTICE.</w:t>
      </w:r>
      <w:r>
        <w:rPr>
          <w:rFonts w:ascii="Arial" w:hAnsi="Arial"/>
          <w:b w:val="0"/>
          <w:i w:val="0"/>
          <w:color w:val="1E242A"/>
          <w:sz w:val="21"/>
        </w:rPr>
        <w:t xml:space="preserve"> Complex cases commonly become multi-institutional. A federal investigation may depend on state intelligence, Receita records, COAF reports, foreign evidence, prosecutorial applications and judicial warrants. Leadership can accelerate staffing and coordination but cannot compress these dependencies into one command.</w:t>
      </w:r>
    </w:p>
    <w:p>
      <w:pPr>
        <w:pStyle w:val="Heading2"/>
      </w:pPr>
      <w:r>
        <w:rPr>
          <w:rFonts w:ascii="Arial" w:hAnsi="Arial"/>
          <w:b w:val="0"/>
          <w:i w:val="0"/>
          <w:color w:val="2C5F80"/>
          <w:sz w:val="27"/>
        </w:rPr>
        <w:t>1.3 National coordination without national command</w:t>
      </w:r>
    </w:p>
    <w:p>
      <w:r>
        <w:rPr>
          <w:rFonts w:ascii="Arial" w:hAnsi="Arial"/>
          <w:b/>
          <w:i w:val="0"/>
          <w:color w:val="1E242A"/>
          <w:sz w:val="21"/>
        </w:rPr>
        <w:t>FORMAL RULE.</w:t>
      </w:r>
      <w:r>
        <w:rPr>
          <w:rFonts w:ascii="Arial" w:hAnsi="Arial"/>
          <w:b w:val="0"/>
          <w:i w:val="0"/>
          <w:color w:val="1E242A"/>
          <w:sz w:val="21"/>
        </w:rPr>
        <w:t xml:space="preserve"> </w:t>
      </w:r>
      <w:hyperlink r:id="rId67">
        <w:r>
          <w:rPr>
            <w:color w:val="2C5F80"/>
            <w:u w:val="single"/>
            <w:rFonts w:ascii="Arial" w:hAnsi="Arial"/>
            <w:sz w:val="21"/>
          </w:rPr>
          <w:t>Law 13,675 of 2018</w:t>
        </w:r>
      </w:hyperlink>
      <w:r>
        <w:rPr>
          <w:rFonts w:ascii="Arial" w:hAnsi="Arial"/>
          <w:b w:val="0"/>
          <w:i w:val="0"/>
          <w:color w:val="1E242A"/>
          <w:sz w:val="21"/>
        </w:rPr>
        <w:t xml:space="preserve"> creates the National Public Security Policy and SUSP. The Union sets national policy, while states, the Federal District and municipalities establish their policies consistently with national guidelines. Integrated operations can be ostensive, investigative, intelligence-based or mixed, and may involve SISBIN bodies, but every participant acts within its own legal competence.</w:t>
      </w:r>
    </w:p>
    <w:p>
      <w:r>
        <w:rPr>
          <w:rFonts w:ascii="Arial" w:hAnsi="Arial"/>
          <w:b w:val="0"/>
          <w:i w:val="0"/>
          <w:color w:val="1E242A"/>
          <w:sz w:val="21"/>
        </w:rPr>
        <w:t>SUSP therefore provides interoperability, information exchange, joint planning, training and combined operations, not a constitutional transfer of gubernatorial police command to Brasília. This distinction is mechanically important: cooperation may be available and politically attractive without giving the President unilateral operational authority.</w:t>
      </w:r>
    </w:p>
    <w:p>
      <w:pPr>
        <w:pStyle w:val="Heading1"/>
      </w:pPr>
      <w:r>
        <w:rPr>
          <w:rFonts w:ascii="Arial" w:hAnsi="Arial"/>
          <w:b w:val="0"/>
          <w:i w:val="0"/>
          <w:color w:val="183752"/>
          <w:sz w:val="34"/>
        </w:rPr>
        <w:t>2 Polícia Federal presidential instrument and operational institution</w:t>
      </w:r>
    </w:p>
    <w:p>
      <w:pPr>
        <w:pStyle w:val="Heading2"/>
      </w:pPr>
      <w:r>
        <w:rPr>
          <w:rFonts w:ascii="Arial" w:hAnsi="Arial"/>
          <w:b w:val="0"/>
          <w:i w:val="0"/>
          <w:color w:val="2C5F80"/>
          <w:sz w:val="27"/>
        </w:rPr>
        <w:t>2.1 Authority, leadership and jurisdiction</w:t>
      </w:r>
    </w:p>
    <w:p>
      <w:r>
        <w:rPr>
          <w:rFonts w:ascii="Arial" w:hAnsi="Arial"/>
          <w:b/>
          <w:i w:val="0"/>
          <w:color w:val="1E242A"/>
          <w:sz w:val="21"/>
        </w:rPr>
        <w:t>FORMAL RULE.</w:t>
      </w:r>
      <w:r>
        <w:rPr>
          <w:rFonts w:ascii="Arial" w:hAnsi="Arial"/>
          <w:b w:val="0"/>
          <w:i w:val="0"/>
          <w:color w:val="1E242A"/>
          <w:sz w:val="21"/>
        </w:rPr>
        <w:t xml:space="preserve"> The PF is a permanent Union body in the MJSP structure. </w:t>
      </w:r>
      <w:hyperlink r:id="rId68">
        <w:r>
          <w:rPr>
            <w:color w:val="2C5F80"/>
            <w:u w:val="single"/>
            <w:rFonts w:ascii="Arial" w:hAnsi="Arial"/>
            <w:sz w:val="21"/>
          </w:rPr>
          <w:t>Law 9,266 of 1996</w:t>
        </w:r>
      </w:hyperlink>
      <w:r>
        <w:rPr>
          <w:rFonts w:ascii="Arial" w:hAnsi="Arial"/>
          <w:b w:val="0"/>
          <w:i w:val="0"/>
          <w:color w:val="1E242A"/>
          <w:sz w:val="21"/>
        </w:rPr>
        <w:t xml:space="preserve"> provides that the President appoints the Director-General from special-class Federal Police delegates. There is no statutory fixed term or Senate confirmation for that office. </w:t>
      </w:r>
      <w:hyperlink r:id="rId69">
        <w:r>
          <w:rPr>
            <w:color w:val="2C5F80"/>
            <w:u w:val="single"/>
            <w:rFonts w:ascii="Arial" w:hAnsi="Arial"/>
            <w:sz w:val="21"/>
          </w:rPr>
          <w:t>Decree 11,348 of 2023</w:t>
        </w:r>
      </w:hyperlink>
      <w:r>
        <w:rPr>
          <w:rFonts w:ascii="Arial" w:hAnsi="Arial"/>
          <w:b w:val="0"/>
          <w:i w:val="0"/>
          <w:color w:val="1E242A"/>
          <w:sz w:val="21"/>
        </w:rPr>
        <w:t xml:space="preserve"> places the PF in MJSP and allocates central directorates for organised crime and corruption, cybercrime, intelligence, international cooperation, criminalistics, administration and other functions.</w:t>
      </w:r>
    </w:p>
    <w:p>
      <w:r>
        <w:rPr>
          <w:rFonts w:ascii="Arial" w:hAnsi="Arial"/>
          <w:b w:val="0"/>
          <w:i w:val="0"/>
          <w:color w:val="1E242A"/>
          <w:sz w:val="21"/>
        </w:rPr>
        <w:t xml:space="preserve">The PF's current official </w:t>
      </w:r>
      <w:hyperlink r:id="rId70">
        <w:r>
          <w:rPr>
            <w:color w:val="2C5F80"/>
            <w:u w:val="single"/>
            <w:rFonts w:ascii="Arial" w:hAnsi="Arial"/>
            <w:sz w:val="21"/>
          </w:rPr>
          <w:t>competence statement</w:t>
        </w:r>
      </w:hyperlink>
      <w:r>
        <w:rPr>
          <w:rFonts w:ascii="Arial" w:hAnsi="Arial"/>
          <w:b w:val="0"/>
          <w:i w:val="0"/>
          <w:color w:val="1E242A"/>
          <w:sz w:val="21"/>
        </w:rPr>
        <w:t xml:space="preserve"> shows both criminal and administrative responsibilities: corruption and offences against Union interests; organised and transnational crime; drug, arms and financial crime within federal jurisdiction; cybercrime; counterterrorism investigations; international police cooperation; migration, passports, maritime, airport and border policing; firearms, private-security and controlled-chemical regulation; and execution of judicial warrants.</w:t>
      </w:r>
    </w:p>
    <w:p>
      <w:r>
        <w:rPr>
          <w:rFonts w:ascii="Arial" w:hAnsi="Arial"/>
          <w:b w:val="0"/>
          <w:i w:val="0"/>
          <w:color w:val="1E242A"/>
          <w:sz w:val="21"/>
        </w:rPr>
        <w:t>Electoral crimes illustrate institutional overlap. Electoral judges and prosecutors belong to the electoral justice system, while police investigations may be carried out by the PF under electoral rules and TSE arrangements. Presidential preference cannot determine whether an electoral case proceeds.</w:t>
      </w:r>
    </w:p>
    <w:p>
      <w:pPr>
        <w:pStyle w:val="Heading2"/>
      </w:pPr>
      <w:r>
        <w:rPr>
          <w:rFonts w:ascii="Arial" w:hAnsi="Arial"/>
          <w:b w:val="0"/>
          <w:i w:val="0"/>
          <w:color w:val="2C5F80"/>
          <w:sz w:val="27"/>
        </w:rPr>
        <w:t>2.2 What political leadership may lawfully do</w:t>
      </w:r>
    </w:p>
    <w:p>
      <w:r>
        <w:rPr>
          <w:rFonts w:ascii="Arial" w:hAnsi="Arial"/>
          <w:b/>
          <w:i w:val="0"/>
          <w:color w:val="1E242A"/>
          <w:sz w:val="21"/>
        </w:rPr>
        <w:t>GOVERNMENT ACTION INSTRUMENT.</w:t>
      </w:r>
      <w:r>
        <w:rPr>
          <w:rFonts w:ascii="Arial" w:hAnsi="Arial"/>
          <w:b w:val="0"/>
          <w:i w:val="0"/>
          <w:color w:val="1E242A"/>
          <w:sz w:val="21"/>
        </w:rPr>
        <w:t xml:space="preserve"> At presidential and ministerial altitude, lawful action includes:</w:t>
      </w:r>
    </w:p>
    <w:p>
      <w:pPr>
        <w:pStyle w:val="ListBullet"/>
        <w:numPr>
          <w:ilvl w:val="0"/>
          <w:numId w:val="4"/>
        </w:numPr>
      </w:pPr>
      <w:r>
        <w:rPr>
          <w:rFonts w:ascii="Arial" w:hAnsi="Arial"/>
          <w:b w:val="0"/>
          <w:i w:val="0"/>
          <w:color w:val="1E242A"/>
          <w:sz w:val="20"/>
        </w:rPr>
        <w:t>appointing or dismissing the PF Director-General under the governing personnel rules;</w:t>
      </w:r>
    </w:p>
    <w:p>
      <w:pPr>
        <w:pStyle w:val="ListBullet"/>
        <w:numPr>
          <w:ilvl w:val="0"/>
          <w:numId w:val="4"/>
        </w:numPr>
      </w:pPr>
      <w:r>
        <w:rPr>
          <w:rFonts w:ascii="Arial" w:hAnsi="Arial"/>
          <w:b w:val="0"/>
          <w:i w:val="0"/>
          <w:color w:val="1E242A"/>
          <w:sz w:val="20"/>
        </w:rPr>
        <w:t>setting public-security policy and broad priorities through MJSP;</w:t>
      </w:r>
    </w:p>
    <w:p>
      <w:pPr>
        <w:pStyle w:val="ListBullet"/>
        <w:numPr>
          <w:ilvl w:val="0"/>
          <w:numId w:val="4"/>
        </w:numPr>
      </w:pPr>
      <w:r>
        <w:rPr>
          <w:rFonts w:ascii="Arial" w:hAnsi="Arial"/>
          <w:b w:val="0"/>
          <w:i w:val="0"/>
          <w:color w:val="1E242A"/>
          <w:sz w:val="20"/>
        </w:rPr>
        <w:t>proposing budgets, staffing legislation and investment in laboratories, cyber capability, aircraft, border posts, databases and international liaison;</w:t>
      </w:r>
    </w:p>
    <w:p>
      <w:pPr>
        <w:pStyle w:val="ListBullet"/>
        <w:numPr>
          <w:ilvl w:val="0"/>
          <w:numId w:val="4"/>
        </w:numPr>
      </w:pPr>
      <w:r>
        <w:rPr>
          <w:rFonts w:ascii="Arial" w:hAnsi="Arial"/>
          <w:b w:val="0"/>
          <w:i w:val="0"/>
          <w:color w:val="1E242A"/>
          <w:sz w:val="20"/>
        </w:rPr>
        <w:t>directing attention toward classes of offences or geographic areas within federal jurisdiction;</w:t>
      </w:r>
    </w:p>
    <w:p>
      <w:pPr>
        <w:pStyle w:val="ListBullet"/>
        <w:numPr>
          <w:ilvl w:val="0"/>
          <w:numId w:val="4"/>
        </w:numPr>
      </w:pPr>
      <w:r>
        <w:rPr>
          <w:rFonts w:ascii="Arial" w:hAnsi="Arial"/>
          <w:b w:val="0"/>
          <w:i w:val="0"/>
          <w:color w:val="1E242A"/>
          <w:sz w:val="20"/>
        </w:rPr>
        <w:t>creating or supporting interagency task forces and cooperation arrangements;</w:t>
      </w:r>
    </w:p>
    <w:p>
      <w:pPr>
        <w:pStyle w:val="ListBullet"/>
        <w:numPr>
          <w:ilvl w:val="0"/>
          <w:numId w:val="4"/>
        </w:numPr>
      </w:pPr>
      <w:r>
        <w:rPr>
          <w:rFonts w:ascii="Arial" w:hAnsi="Arial"/>
          <w:b w:val="0"/>
          <w:i w:val="0"/>
          <w:color w:val="1E242A"/>
          <w:sz w:val="20"/>
        </w:rPr>
        <w:t>issuing lawful administrative and regulatory measures;</w:t>
      </w:r>
    </w:p>
    <w:p>
      <w:pPr>
        <w:pStyle w:val="ListBullet"/>
        <w:numPr>
          <w:ilvl w:val="0"/>
          <w:numId w:val="4"/>
        </w:numPr>
      </w:pPr>
      <w:r>
        <w:rPr>
          <w:rFonts w:ascii="Arial" w:hAnsi="Arial"/>
          <w:b w:val="0"/>
          <w:i w:val="0"/>
          <w:color w:val="1E242A"/>
          <w:sz w:val="20"/>
        </w:rPr>
        <w:t>negotiating treaties and police cooperation through the constitutionally competent channels;</w:t>
      </w:r>
    </w:p>
    <w:p>
      <w:pPr>
        <w:pStyle w:val="ListBullet"/>
        <w:numPr>
          <w:ilvl w:val="0"/>
          <w:numId w:val="4"/>
        </w:numPr>
      </w:pPr>
      <w:r>
        <w:rPr>
          <w:rFonts w:ascii="Arial" w:hAnsi="Arial"/>
          <w:b w:val="0"/>
          <w:i w:val="0"/>
          <w:color w:val="1E242A"/>
          <w:sz w:val="20"/>
        </w:rPr>
        <w:t>requiring performance reporting that does not expose protected case material or dictate outcomes.</w:t>
      </w:r>
    </w:p>
    <w:p>
      <w:r>
        <w:rPr>
          <w:rFonts w:ascii="Arial" w:hAnsi="Arial"/>
          <w:b w:val="0"/>
          <w:i w:val="0"/>
          <w:color w:val="1E242A"/>
          <w:sz w:val="21"/>
        </w:rPr>
        <w:t xml:space="preserve">The PF is not constitutionally independent in the manner of the Ministério Público. Its hierarchy creates real executive leverage over leadership, structure, resources and strategic emphasis. But the description “organ of state” does not create a legally autonomous fourth branch, and neither does hierarchy create lawful power to fabricate a predicate, suppress evidence, predetermine a suspect or evade judicial reservation. The STF's </w:t>
      </w:r>
      <w:hyperlink r:id="rId71">
        <w:r>
          <w:rPr>
            <w:color w:val="2C5F80"/>
            <w:u w:val="single"/>
            <w:rFonts w:ascii="Arial" w:hAnsi="Arial"/>
            <w:sz w:val="21"/>
          </w:rPr>
          <w:t>article 144 jurisprudence compilation</w:t>
        </w:r>
      </w:hyperlink>
      <w:r>
        <w:rPr>
          <w:rFonts w:ascii="Arial" w:hAnsi="Arial"/>
          <w:b w:val="0"/>
          <w:i w:val="0"/>
          <w:color w:val="1E242A"/>
          <w:sz w:val="21"/>
        </w:rPr>
        <w:t xml:space="preserve"> rejects police independence incompatible with executive administrative linkage.</w:t>
      </w:r>
    </w:p>
    <w:p>
      <w:pPr>
        <w:pStyle w:val="Heading2"/>
      </w:pPr>
      <w:r>
        <w:rPr>
          <w:rFonts w:ascii="Arial" w:hAnsi="Arial"/>
          <w:b w:val="0"/>
          <w:i w:val="0"/>
          <w:color w:val="2C5F80"/>
          <w:sz w:val="27"/>
        </w:rPr>
        <w:t>2.3 What political leadership may not lawfully do</w:t>
      </w:r>
    </w:p>
    <w:p>
      <w:r>
        <w:rPr>
          <w:rFonts w:ascii="Arial" w:hAnsi="Arial"/>
          <w:b w:val="0"/>
          <w:i w:val="0"/>
          <w:color w:val="1E242A"/>
          <w:sz w:val="21"/>
        </w:rPr>
        <w:t>The President or minister cannot personally issue a warrant, decree preventive detention, command a judge, compel an MP charge, cancel an independent prosecution, access a protected RIF for political purposes, or turn a policy instruction into proof against a named person. A valid operation still requires career officials to document legal grounds; the MP may scrutinise or investigate; defence rights attach; and courts may authorise, narrow, invalidate or later review measures.</w:t>
      </w:r>
    </w:p>
    <w:p>
      <w:r>
        <w:rPr>
          <w:rFonts w:ascii="Arial" w:hAnsi="Arial"/>
          <w:b/>
          <w:i w:val="0"/>
          <w:color w:val="1E242A"/>
          <w:sz w:val="21"/>
        </w:rPr>
        <w:t>POLITICAL PRACTICE AND CONTROVERSY.</w:t>
      </w:r>
      <w:r>
        <w:rPr>
          <w:rFonts w:ascii="Arial" w:hAnsi="Arial"/>
          <w:b w:val="0"/>
          <w:i w:val="0"/>
          <w:color w:val="1E242A"/>
          <w:sz w:val="21"/>
        </w:rPr>
        <w:t xml:space="preserve"> Allegations of political interference have made PF leadership and case allocation politically sensitive. The accurate institutional conclusion is not that interference never occurs, nor that every priority decision is unlawful. Category priorities, geography, staffing and strategy are normal executive-administrative choices. Directing a case for personal or partisan advantage risks illegality, evidential challenge, abuse-of-authority exposure, MP investigation and judicial review. The boundary is fact-dependent and cannot be represented by the mere existence of executive hierarchy.</w:t>
      </w:r>
    </w:p>
    <w:p>
      <w:pPr>
        <w:pStyle w:val="Heading1"/>
      </w:pPr>
      <w:r>
        <w:rPr>
          <w:rFonts w:ascii="Arial" w:hAnsi="Arial"/>
          <w:b w:val="0"/>
          <w:i w:val="0"/>
          <w:color w:val="183752"/>
          <w:sz w:val="34"/>
        </w:rPr>
        <w:t>3 Ministério Público and prosecution</w:t>
      </w:r>
    </w:p>
    <w:p>
      <w:pPr>
        <w:pStyle w:val="Heading2"/>
      </w:pPr>
      <w:r>
        <w:rPr>
          <w:rFonts w:ascii="Arial" w:hAnsi="Arial"/>
          <w:b w:val="0"/>
          <w:i w:val="0"/>
          <w:color w:val="2C5F80"/>
          <w:sz w:val="27"/>
        </w:rPr>
        <w:t>3.1 Independent constitutional authority</w:t>
      </w:r>
    </w:p>
    <w:p>
      <w:r>
        <w:rPr>
          <w:rFonts w:ascii="Arial" w:hAnsi="Arial"/>
          <w:b/>
          <w:i w:val="0"/>
          <w:color w:val="1E242A"/>
          <w:sz w:val="21"/>
        </w:rPr>
        <w:t>FORMAL RULE.</w:t>
      </w:r>
      <w:r>
        <w:rPr>
          <w:rFonts w:ascii="Arial" w:hAnsi="Arial"/>
          <w:b w:val="0"/>
          <w:i w:val="0"/>
          <w:color w:val="1E242A"/>
          <w:sz w:val="21"/>
        </w:rPr>
        <w:t xml:space="preserve"> Under </w:t>
      </w:r>
      <w:hyperlink r:id="rId45">
        <w:r>
          <w:rPr>
            <w:color w:val="2C5F80"/>
            <w:u w:val="single"/>
            <w:rFonts w:ascii="Arial" w:hAnsi="Arial"/>
            <w:sz w:val="21"/>
          </w:rPr>
          <w:t>Constitution articles 127 to 130</w:t>
        </w:r>
      </w:hyperlink>
      <w:r>
        <w:rPr>
          <w:rFonts w:ascii="Arial" w:hAnsi="Arial"/>
          <w:b w:val="0"/>
          <w:i w:val="0"/>
          <w:color w:val="1E242A"/>
          <w:sz w:val="21"/>
        </w:rPr>
        <w:t>, the Ministério Público is a permanent institution essential to justice, charged with defence of the legal order, democratic regime and unavailable social and individual interests. Unity, indivisibility and functional independence are institutional principles. It has functional and administrative autonomy and budget-proposal authority. It exclusively brings public criminal prosecutions, may requisition inquiries and investigative steps, exercises external control of police activity, and may issue legally grounded requisitions.</w:t>
      </w:r>
    </w:p>
    <w:p>
      <w:r>
        <w:rPr>
          <w:rFonts w:ascii="Arial" w:hAnsi="Arial"/>
          <w:b w:val="0"/>
          <w:i w:val="0"/>
          <w:color w:val="1E242A"/>
          <w:sz w:val="21"/>
        </w:rPr>
        <w:t>The MPF acts in federal matters; state MPs act in the state justice system. Within the MPF, the Prosecutor-General of the Republic heads the federal institution and performs constitutionally assigned functions before the STF. The President nominates the PGR, but Senate absolute-majority approval is required; the term is two years, and presidential-initiated dismissal before the end of term requires prior Senate absolute-majority authorisation.</w:t>
      </w:r>
    </w:p>
    <w:p>
      <w:r>
        <w:rPr>
          <w:rFonts w:ascii="Arial" w:hAnsi="Arial"/>
          <w:b/>
          <w:i w:val="0"/>
          <w:color w:val="1E242A"/>
          <w:sz w:val="21"/>
        </w:rPr>
        <w:t>INDEPENDENT OR NON-PRESIDENTIAL ACTOR CAPABILITY.</w:t>
      </w:r>
      <w:r>
        <w:rPr>
          <w:rFonts w:ascii="Arial" w:hAnsi="Arial"/>
          <w:b w:val="0"/>
          <w:i w:val="0"/>
          <w:color w:val="1E242A"/>
          <w:sz w:val="21"/>
        </w:rPr>
        <w:t xml:space="preserve"> The MP can receive evidence, open a prosecutorial investigation, require police steps, apply for warrants, negotiate statutory collaboration arrangements, file charges, decline an unsupported accusation, challenge policy and bring constitutional proceedings without a presidential order. Members' functional independence means the President cannot convert appointment of the PGR into lawful control over the merits of an individual case.</w:t>
      </w:r>
    </w:p>
    <w:p>
      <w:pPr>
        <w:pStyle w:val="Heading2"/>
      </w:pPr>
      <w:r>
        <w:rPr>
          <w:rFonts w:ascii="Arial" w:hAnsi="Arial"/>
          <w:b w:val="0"/>
          <w:i w:val="0"/>
          <w:color w:val="2C5F80"/>
          <w:sz w:val="27"/>
        </w:rPr>
        <w:t>3.2 MP investigations and police relationship</w:t>
      </w:r>
    </w:p>
    <w:p>
      <w:r>
        <w:rPr>
          <w:rFonts w:ascii="Arial" w:hAnsi="Arial"/>
          <w:b w:val="0"/>
          <w:i w:val="0"/>
          <w:color w:val="1E242A"/>
          <w:sz w:val="21"/>
        </w:rPr>
        <w:t xml:space="preserve">In </w:t>
      </w:r>
      <w:hyperlink r:id="rId72">
        <w:r>
          <w:rPr>
            <w:color w:val="2C5F80"/>
            <w:u w:val="single"/>
            <w:rFonts w:ascii="Arial" w:hAnsi="Arial"/>
            <w:sz w:val="21"/>
          </w:rPr>
          <w:t>RE 593,727, Tema 184</w:t>
        </w:r>
      </w:hyperlink>
      <w:r>
        <w:rPr>
          <w:rFonts w:ascii="Arial" w:hAnsi="Arial"/>
          <w:b w:val="0"/>
          <w:i w:val="0"/>
          <w:color w:val="1E242A"/>
          <w:sz w:val="21"/>
        </w:rPr>
        <w:t>, the STF recognised that the MP may conduct criminal investigations on its own authority for a reasonable period, provided it respects the investigated person's rights, constitutional reservations of jurisdiction, lawyers' prerogatives, documentation and continuing judicial control. This resolves a central ambiguity: the PF's exclusivity as the Union's judicial police does not mean exclusive authority to conduct all criminal investigation.</w:t>
      </w:r>
    </w:p>
    <w:p>
      <w:r>
        <w:rPr>
          <w:rFonts w:ascii="Arial" w:hAnsi="Arial"/>
          <w:b w:val="0"/>
          <w:i w:val="0"/>
          <w:color w:val="1E242A"/>
          <w:sz w:val="21"/>
        </w:rPr>
        <w:t>Police and prosecutors nevertheless have different roles. A delegate may open and direct a police inquiry and represent for coercive measures; an MP member can investigate or requisition steps and decides whether to bring public charges; a judge cannot simply substitute for either as investigator or accuser under the accusatorial structure.</w:t>
      </w:r>
    </w:p>
    <w:p>
      <w:pPr>
        <w:pStyle w:val="Heading2"/>
      </w:pPr>
      <w:r>
        <w:rPr>
          <w:rFonts w:ascii="Arial" w:hAnsi="Arial"/>
          <w:b w:val="0"/>
          <w:i w:val="0"/>
          <w:color w:val="2C5F80"/>
          <w:sz w:val="27"/>
        </w:rPr>
        <w:t>3.3 Can the President initiate stop or direct a prosecution</w:t>
      </w:r>
    </w:p>
    <w:p>
      <w:r>
        <w:rPr>
          <w:rFonts w:ascii="Arial" w:hAnsi="Arial"/>
          <w:b/>
          <w:i w:val="0"/>
          <w:color w:val="1E242A"/>
          <w:sz w:val="21"/>
        </w:rPr>
        <w:t>No.</w:t>
      </w:r>
      <w:r>
        <w:rPr>
          <w:rFonts w:ascii="Arial" w:hAnsi="Arial"/>
          <w:b w:val="0"/>
          <w:i w:val="0"/>
          <w:color w:val="1E242A"/>
          <w:sz w:val="21"/>
        </w:rPr>
        <w:t xml:space="preserve"> The President may publicly set policy, propose law, appoint the PGR through the constitutional route, direct executive agencies to preserve and forward records, and ensure resources and cooperation. The President cannot command the MPF to charge, not charge, dismiss or settle a named case. A lawful executive response to suspected crime by a federal official is to preserve evidence, refer facts to competent bodies, cooperate with subpoenas or warrants, apply internal disciplinary powers where independently justified, and avoid obstruction. The resulting prosecution remains prosecutorial and judicial.</w:t>
      </w:r>
    </w:p>
    <w:p>
      <w:pPr>
        <w:pStyle w:val="Heading1"/>
      </w:pPr>
      <w:r>
        <w:rPr>
          <w:rFonts w:ascii="Arial" w:hAnsi="Arial"/>
          <w:b w:val="0"/>
          <w:i w:val="0"/>
          <w:color w:val="183752"/>
          <w:sz w:val="34"/>
        </w:rPr>
        <w:t>4 Judicial control of coercive measures</w:t>
      </w:r>
    </w:p>
    <w:p>
      <w:pPr>
        <w:pStyle w:val="Heading2"/>
      </w:pPr>
      <w:r>
        <w:rPr>
          <w:rFonts w:ascii="Arial" w:hAnsi="Arial"/>
          <w:b w:val="0"/>
          <w:i w:val="0"/>
          <w:color w:val="2C5F80"/>
          <w:sz w:val="27"/>
        </w:rPr>
        <w:t>4.1 The reserved-power matrix</w:t>
      </w:r>
    </w:p>
    <w:tbl>
      <w:tblPr>
        <w:tblW w:type="dxa" w:w="9360"/>
        <w:jc w:val="center"/>
        <w:tblLayout w:type="fixed"/>
        <w:tblLook w:firstColumn="1" w:firstRow="1" w:lastColumn="0" w:lastRow="0" w:noHBand="0" w:noVBand="1" w:val="04A0"/>
        <w:tblInd w:type="dxa" w:w="120"/>
      </w:tblPr>
      <w:tblGrid>
        <w:gridCol w:w="1152"/>
        <w:gridCol w:w="2376"/>
        <w:gridCol w:w="3096"/>
        <w:gridCol w:w="2736"/>
      </w:tblGrid>
      <w:tr>
        <w:trPr>
          <w:tblHeader w:val="true"/>
          <w:cantSplit/>
        </w:trPr>
        <w:tc>
          <w:tcPr>
            <w:tcW w:type="dxa" w:w="1152"/>
            <w:vAlign w:val="top"/>
            <w:shd w:fill="EAF1F5"/>
          </w:tcPr>
          <w:p>
            <w:r/>
            <w:r>
              <w:rPr>
                <w:rFonts w:ascii="Arial" w:hAnsi="Arial"/>
                <w:b w:val="0"/>
                <w:i w:val="0"/>
                <w:color w:val="183752"/>
                <w:sz w:val="16"/>
              </w:rPr>
              <w:t>Measure</w:t>
            </w:r>
          </w:p>
        </w:tc>
        <w:tc>
          <w:tcPr>
            <w:tcW w:type="dxa" w:w="2376"/>
            <w:vAlign w:val="top"/>
            <w:shd w:fill="EAF1F5"/>
          </w:tcPr>
          <w:p>
            <w:r/>
            <w:r>
              <w:rPr>
                <w:rFonts w:ascii="Arial" w:hAnsi="Arial"/>
                <w:b w:val="0"/>
                <w:i w:val="0"/>
                <w:color w:val="183752"/>
                <w:sz w:val="16"/>
              </w:rPr>
              <w:t>Initiation</w:t>
            </w:r>
          </w:p>
        </w:tc>
        <w:tc>
          <w:tcPr>
            <w:tcW w:type="dxa" w:w="3096"/>
            <w:vAlign w:val="top"/>
            <w:shd w:fill="EAF1F5"/>
          </w:tcPr>
          <w:p>
            <w:r/>
            <w:r>
              <w:rPr>
                <w:rFonts w:ascii="Arial" w:hAnsi="Arial"/>
                <w:b w:val="0"/>
                <w:i w:val="0"/>
                <w:color w:val="183752"/>
                <w:sz w:val="16"/>
              </w:rPr>
              <w:t>Authorisation</w:t>
            </w:r>
          </w:p>
        </w:tc>
        <w:tc>
          <w:tcPr>
            <w:tcW w:type="dxa" w:w="2736"/>
            <w:vAlign w:val="top"/>
            <w:shd w:fill="EAF1F5"/>
          </w:tcPr>
          <w:p>
            <w:r/>
            <w:r>
              <w:rPr>
                <w:rFonts w:ascii="Arial" w:hAnsi="Arial"/>
                <w:b w:val="0"/>
                <w:i w:val="0"/>
                <w:color w:val="183752"/>
                <w:sz w:val="16"/>
              </w:rPr>
              <w:t>Execution and review</w:t>
            </w:r>
          </w:p>
        </w:tc>
      </w:tr>
      <w:tr>
        <w:trPr>
          <w:cantSplit/>
        </w:trPr>
        <w:tc>
          <w:tcPr>
            <w:tcW w:type="dxa" w:w="1152"/>
            <w:vAlign w:val="top"/>
          </w:tcPr>
          <w:p>
            <w:r/>
            <w:r>
              <w:rPr>
                <w:rFonts w:ascii="Arial" w:hAnsi="Arial"/>
                <w:b w:val="0"/>
                <w:i w:val="0"/>
                <w:color w:val="1E242A"/>
                <w:sz w:val="16"/>
              </w:rPr>
              <w:t>Search of a home</w:t>
            </w:r>
          </w:p>
        </w:tc>
        <w:tc>
          <w:tcPr>
            <w:tcW w:type="dxa" w:w="2376"/>
            <w:vAlign w:val="top"/>
          </w:tcPr>
          <w:p>
            <w:r/>
            <w:r>
              <w:rPr>
                <w:rFonts w:ascii="Arial" w:hAnsi="Arial"/>
                <w:b w:val="0"/>
                <w:i w:val="0"/>
                <w:color w:val="1E242A"/>
                <w:sz w:val="16"/>
              </w:rPr>
              <w:t>Police representation or MP application supported by grounds</w:t>
            </w:r>
          </w:p>
        </w:tc>
        <w:tc>
          <w:tcPr>
            <w:tcW w:type="dxa" w:w="3096"/>
            <w:vAlign w:val="top"/>
          </w:tcPr>
          <w:p>
            <w:r/>
            <w:r>
              <w:rPr>
                <w:rFonts w:ascii="Arial" w:hAnsi="Arial"/>
                <w:b w:val="0"/>
                <w:i w:val="0"/>
                <w:color w:val="1E242A"/>
                <w:sz w:val="16"/>
              </w:rPr>
              <w:t>Reasoned judicial warrant for daytime entry; exceptions are consent, flagrante, disaster or rescue</w:t>
            </w:r>
          </w:p>
        </w:tc>
        <w:tc>
          <w:tcPr>
            <w:tcW w:type="dxa" w:w="2736"/>
            <w:vAlign w:val="top"/>
          </w:tcPr>
          <w:p>
            <w:r/>
            <w:r>
              <w:rPr>
                <w:rFonts w:ascii="Arial" w:hAnsi="Arial"/>
                <w:b w:val="0"/>
                <w:i w:val="0"/>
                <w:color w:val="1E242A"/>
                <w:sz w:val="16"/>
              </w:rPr>
              <w:t>Police execute within scope; courts exclude unlawful evidence and hear challenges</w:t>
            </w:r>
          </w:p>
        </w:tc>
      </w:tr>
      <w:tr>
        <w:trPr>
          <w:cantSplit/>
        </w:trPr>
        <w:tc>
          <w:tcPr>
            <w:tcW w:type="dxa" w:w="1152"/>
            <w:vAlign w:val="top"/>
          </w:tcPr>
          <w:p>
            <w:r/>
            <w:r>
              <w:rPr>
                <w:rFonts w:ascii="Arial" w:hAnsi="Arial"/>
                <w:b w:val="0"/>
                <w:i w:val="0"/>
                <w:color w:val="1E242A"/>
                <w:sz w:val="16"/>
              </w:rPr>
              <w:t>Arrest</w:t>
            </w:r>
          </w:p>
        </w:tc>
        <w:tc>
          <w:tcPr>
            <w:tcW w:type="dxa" w:w="2376"/>
            <w:vAlign w:val="top"/>
          </w:tcPr>
          <w:p>
            <w:r/>
            <w:r>
              <w:rPr>
                <w:rFonts w:ascii="Arial" w:hAnsi="Arial"/>
                <w:b w:val="0"/>
                <w:i w:val="0"/>
                <w:color w:val="1E242A"/>
                <w:sz w:val="16"/>
              </w:rPr>
              <w:t>Police may arrest in flagrante; police or MP may seek preventive or temporary custody</w:t>
            </w:r>
          </w:p>
        </w:tc>
        <w:tc>
          <w:tcPr>
            <w:tcW w:type="dxa" w:w="3096"/>
            <w:vAlign w:val="top"/>
          </w:tcPr>
          <w:p>
            <w:r/>
            <w:r>
              <w:rPr>
                <w:rFonts w:ascii="Arial" w:hAnsi="Arial"/>
                <w:b w:val="0"/>
                <w:i w:val="0"/>
                <w:color w:val="1E242A"/>
                <w:sz w:val="16"/>
              </w:rPr>
              <w:t>Otherwise written, reasoned judicial order; statutory predicates and contemporaneity apply</w:t>
            </w:r>
          </w:p>
        </w:tc>
        <w:tc>
          <w:tcPr>
            <w:tcW w:type="dxa" w:w="2736"/>
            <w:vAlign w:val="top"/>
          </w:tcPr>
          <w:p>
            <w:r/>
            <w:r>
              <w:rPr>
                <w:rFonts w:ascii="Arial" w:hAnsi="Arial"/>
                <w:b w:val="0"/>
                <w:i w:val="0"/>
                <w:color w:val="1E242A"/>
                <w:sz w:val="16"/>
              </w:rPr>
              <w:t>Custodian informs judge, family and rights; habeas corpus and review remain available</w:t>
            </w:r>
          </w:p>
        </w:tc>
      </w:tr>
      <w:tr>
        <w:trPr>
          <w:cantSplit/>
        </w:trPr>
        <w:tc>
          <w:tcPr>
            <w:tcW w:type="dxa" w:w="1152"/>
            <w:vAlign w:val="top"/>
          </w:tcPr>
          <w:p>
            <w:r/>
            <w:r>
              <w:rPr>
                <w:rFonts w:ascii="Arial" w:hAnsi="Arial"/>
                <w:b w:val="0"/>
                <w:i w:val="0"/>
                <w:color w:val="1E242A"/>
                <w:sz w:val="16"/>
              </w:rPr>
              <w:t>Preventive detention</w:t>
            </w:r>
          </w:p>
        </w:tc>
        <w:tc>
          <w:tcPr>
            <w:tcW w:type="dxa" w:w="2376"/>
            <w:vAlign w:val="top"/>
          </w:tcPr>
          <w:p>
            <w:r/>
            <w:r>
              <w:rPr>
                <w:rFonts w:ascii="Arial" w:hAnsi="Arial"/>
                <w:b w:val="0"/>
                <w:i w:val="0"/>
                <w:color w:val="1E242A"/>
                <w:sz w:val="16"/>
              </w:rPr>
              <w:t>Police representation or MP, private accuser or assistant request</w:t>
            </w:r>
          </w:p>
        </w:tc>
        <w:tc>
          <w:tcPr>
            <w:tcW w:type="dxa" w:w="3096"/>
            <w:vAlign w:val="top"/>
          </w:tcPr>
          <w:p>
            <w:r/>
            <w:r>
              <w:rPr>
                <w:rFonts w:ascii="Arial" w:hAnsi="Arial"/>
                <w:b w:val="0"/>
                <w:i w:val="0"/>
                <w:color w:val="1E242A"/>
                <w:sz w:val="16"/>
              </w:rPr>
              <w:t>Judge under CPP arts 311 to 316; judge cannot initiate it ex officio</w:t>
            </w:r>
          </w:p>
        </w:tc>
        <w:tc>
          <w:tcPr>
            <w:tcW w:type="dxa" w:w="2736"/>
            <w:vAlign w:val="top"/>
          </w:tcPr>
          <w:p>
            <w:r/>
            <w:r>
              <w:rPr>
                <w:rFonts w:ascii="Arial" w:hAnsi="Arial"/>
                <w:b w:val="0"/>
                <w:i w:val="0"/>
                <w:color w:val="1E242A"/>
                <w:sz w:val="16"/>
              </w:rPr>
              <w:t>Periodic and appellate review; release if predicates fail</w:t>
            </w:r>
          </w:p>
        </w:tc>
      </w:tr>
      <w:tr>
        <w:trPr>
          <w:cantSplit/>
        </w:trPr>
        <w:tc>
          <w:tcPr>
            <w:tcW w:type="dxa" w:w="1152"/>
            <w:vAlign w:val="top"/>
          </w:tcPr>
          <w:p>
            <w:r/>
            <w:r>
              <w:rPr>
                <w:rFonts w:ascii="Arial" w:hAnsi="Arial"/>
                <w:b w:val="0"/>
                <w:i w:val="0"/>
                <w:color w:val="1E242A"/>
                <w:sz w:val="16"/>
              </w:rPr>
              <w:t>Telephone or telematic interception</w:t>
            </w:r>
          </w:p>
        </w:tc>
        <w:tc>
          <w:tcPr>
            <w:tcW w:type="dxa" w:w="2376"/>
            <w:vAlign w:val="top"/>
          </w:tcPr>
          <w:p>
            <w:r/>
            <w:r>
              <w:rPr>
                <w:rFonts w:ascii="Arial" w:hAnsi="Arial"/>
                <w:b w:val="0"/>
                <w:i w:val="0"/>
                <w:color w:val="1E242A"/>
                <w:sz w:val="16"/>
              </w:rPr>
              <w:t>Police representation or MP request</w:t>
            </w:r>
          </w:p>
        </w:tc>
        <w:tc>
          <w:tcPr>
            <w:tcW w:type="dxa" w:w="3096"/>
            <w:vAlign w:val="top"/>
          </w:tcPr>
          <w:p>
            <w:r/>
            <w:r>
              <w:rPr>
                <w:rFonts w:ascii="Arial" w:hAnsi="Arial"/>
                <w:b w:val="0"/>
                <w:i w:val="0"/>
                <w:color w:val="1E242A"/>
                <w:sz w:val="16"/>
              </w:rPr>
              <w:t>Competent judge, secrecy, necessity and statutory offence threshold</w:t>
            </w:r>
          </w:p>
        </w:tc>
        <w:tc>
          <w:tcPr>
            <w:tcW w:type="dxa" w:w="2736"/>
            <w:vAlign w:val="top"/>
          </w:tcPr>
          <w:p>
            <w:r/>
            <w:r>
              <w:rPr>
                <w:rFonts w:ascii="Arial" w:hAnsi="Arial"/>
                <w:b w:val="0"/>
                <w:i w:val="0"/>
                <w:color w:val="1E242A"/>
                <w:sz w:val="16"/>
              </w:rPr>
              <w:t>Police conduct, MP may accompany; results returned to court; unlawful interception is criminal</w:t>
            </w:r>
          </w:p>
        </w:tc>
      </w:tr>
      <w:tr>
        <w:trPr>
          <w:cantSplit/>
        </w:trPr>
        <w:tc>
          <w:tcPr>
            <w:tcW w:type="dxa" w:w="1152"/>
            <w:vAlign w:val="top"/>
          </w:tcPr>
          <w:p>
            <w:r/>
            <w:r>
              <w:rPr>
                <w:rFonts w:ascii="Arial" w:hAnsi="Arial"/>
                <w:b w:val="0"/>
                <w:i w:val="0"/>
                <w:color w:val="1E242A"/>
                <w:sz w:val="16"/>
              </w:rPr>
              <w:t>Environmental capture</w:t>
            </w:r>
          </w:p>
        </w:tc>
        <w:tc>
          <w:tcPr>
            <w:tcW w:type="dxa" w:w="2376"/>
            <w:vAlign w:val="top"/>
          </w:tcPr>
          <w:p>
            <w:r/>
            <w:r>
              <w:rPr>
                <w:rFonts w:ascii="Arial" w:hAnsi="Arial"/>
                <w:b w:val="0"/>
                <w:i w:val="0"/>
                <w:color w:val="1E242A"/>
                <w:sz w:val="16"/>
              </w:rPr>
              <w:t>Police or MP request</w:t>
            </w:r>
          </w:p>
        </w:tc>
        <w:tc>
          <w:tcPr>
            <w:tcW w:type="dxa" w:w="3096"/>
            <w:vAlign w:val="top"/>
          </w:tcPr>
          <w:p>
            <w:r/>
            <w:r>
              <w:rPr>
                <w:rFonts w:ascii="Arial" w:hAnsi="Arial"/>
                <w:b w:val="0"/>
                <w:i w:val="0"/>
                <w:color w:val="1E242A"/>
                <w:sz w:val="16"/>
              </w:rPr>
              <w:t>Judicial authorisation under Law 9,296</w:t>
            </w:r>
          </w:p>
        </w:tc>
        <w:tc>
          <w:tcPr>
            <w:tcW w:type="dxa" w:w="2736"/>
            <w:vAlign w:val="top"/>
          </w:tcPr>
          <w:p>
            <w:r/>
            <w:r>
              <w:rPr>
                <w:rFonts w:ascii="Arial" w:hAnsi="Arial"/>
                <w:b w:val="0"/>
                <w:i w:val="0"/>
                <w:color w:val="1E242A"/>
                <w:sz w:val="16"/>
              </w:rPr>
              <w:t>Time, method and necessity controlled by court</w:t>
            </w:r>
          </w:p>
        </w:tc>
      </w:tr>
      <w:tr>
        <w:trPr>
          <w:cantSplit/>
        </w:trPr>
        <w:tc>
          <w:tcPr>
            <w:tcW w:type="dxa" w:w="1152"/>
            <w:vAlign w:val="top"/>
          </w:tcPr>
          <w:p>
            <w:r/>
            <w:r>
              <w:rPr>
                <w:rFonts w:ascii="Arial" w:hAnsi="Arial"/>
                <w:b w:val="0"/>
                <w:i w:val="0"/>
                <w:color w:val="1E242A"/>
                <w:sz w:val="16"/>
              </w:rPr>
              <w:t>Bank or tax secrecy access</w:t>
            </w:r>
          </w:p>
        </w:tc>
        <w:tc>
          <w:tcPr>
            <w:tcW w:type="dxa" w:w="2376"/>
            <w:vAlign w:val="top"/>
          </w:tcPr>
          <w:p>
            <w:r/>
            <w:r>
              <w:rPr>
                <w:rFonts w:ascii="Arial" w:hAnsi="Arial"/>
                <w:b w:val="0"/>
                <w:i w:val="0"/>
                <w:color w:val="1E242A"/>
                <w:sz w:val="16"/>
              </w:rPr>
              <w:t>Ordinary regulatory/tax access differs from criminal compulsory disclosure; police or MP seek access or receive lawful intelligence</w:t>
            </w:r>
          </w:p>
        </w:tc>
        <w:tc>
          <w:tcPr>
            <w:tcW w:type="dxa" w:w="3096"/>
            <w:vAlign w:val="top"/>
          </w:tcPr>
          <w:p>
            <w:r/>
            <w:r>
              <w:rPr>
                <w:rFonts w:ascii="Arial" w:hAnsi="Arial"/>
                <w:b w:val="0"/>
                <w:i w:val="0"/>
                <w:color w:val="1E242A"/>
                <w:sz w:val="16"/>
              </w:rPr>
              <w:t>Judicial order where confidentiality law requires; some formal COAF and completed tax-file sharing is warrantless under STF doctrine</w:t>
            </w:r>
          </w:p>
        </w:tc>
        <w:tc>
          <w:tcPr>
            <w:tcW w:type="dxa" w:w="2736"/>
            <w:vAlign w:val="top"/>
          </w:tcPr>
          <w:p>
            <w:r/>
            <w:r>
              <w:rPr>
                <w:rFonts w:ascii="Arial" w:hAnsi="Arial"/>
                <w:b w:val="0"/>
                <w:i w:val="0"/>
                <w:color w:val="1E242A"/>
                <w:sz w:val="16"/>
              </w:rPr>
              <w:t>Secrecy, purpose limitation and later judicial control</w:t>
            </w:r>
          </w:p>
        </w:tc>
      </w:tr>
      <w:tr>
        <w:trPr>
          <w:cantSplit/>
        </w:trPr>
        <w:tc>
          <w:tcPr>
            <w:tcW w:type="dxa" w:w="1152"/>
            <w:vAlign w:val="top"/>
          </w:tcPr>
          <w:p>
            <w:r/>
            <w:r>
              <w:rPr>
                <w:rFonts w:ascii="Arial" w:hAnsi="Arial"/>
                <w:b w:val="0"/>
                <w:i w:val="0"/>
                <w:color w:val="1E242A"/>
                <w:sz w:val="16"/>
              </w:rPr>
              <w:t>Asset restraint</w:t>
            </w:r>
          </w:p>
        </w:tc>
        <w:tc>
          <w:tcPr>
            <w:tcW w:type="dxa" w:w="2376"/>
            <w:vAlign w:val="top"/>
          </w:tcPr>
          <w:p>
            <w:r/>
            <w:r>
              <w:rPr>
                <w:rFonts w:ascii="Arial" w:hAnsi="Arial"/>
                <w:b w:val="0"/>
                <w:i w:val="0"/>
                <w:color w:val="1E242A"/>
                <w:sz w:val="16"/>
              </w:rPr>
              <w:t>Police representation or MP or victim application, depending statute</w:t>
            </w:r>
          </w:p>
        </w:tc>
        <w:tc>
          <w:tcPr>
            <w:tcW w:type="dxa" w:w="3096"/>
            <w:vAlign w:val="top"/>
          </w:tcPr>
          <w:p>
            <w:r/>
            <w:r>
              <w:rPr>
                <w:rFonts w:ascii="Arial" w:hAnsi="Arial"/>
                <w:b w:val="0"/>
                <w:i w:val="0"/>
                <w:color w:val="1E242A"/>
                <w:sz w:val="16"/>
              </w:rPr>
              <w:t>Judge orders sequestration, blocking, arrest or unavailability on statutory indications</w:t>
            </w:r>
          </w:p>
        </w:tc>
        <w:tc>
          <w:tcPr>
            <w:tcW w:type="dxa" w:w="2736"/>
            <w:vAlign w:val="top"/>
          </w:tcPr>
          <w:p>
            <w:r/>
            <w:r>
              <w:rPr>
                <w:rFonts w:ascii="Arial" w:hAnsi="Arial"/>
                <w:b w:val="0"/>
                <w:i w:val="0"/>
                <w:color w:val="1E242A"/>
                <w:sz w:val="16"/>
              </w:rPr>
              <w:t>Registry, custodian or financial institution executes; owner and third parties contest; court releases, sells or forfeits</w:t>
            </w:r>
          </w:p>
        </w:tc>
      </w:tr>
      <w:tr>
        <w:trPr>
          <w:cantSplit/>
        </w:trPr>
        <w:tc>
          <w:tcPr>
            <w:tcW w:type="dxa" w:w="1152"/>
            <w:vAlign w:val="top"/>
          </w:tcPr>
          <w:p>
            <w:r/>
            <w:r>
              <w:rPr>
                <w:rFonts w:ascii="Arial" w:hAnsi="Arial"/>
                <w:b w:val="0"/>
                <w:i w:val="0"/>
                <w:color w:val="1E242A"/>
                <w:sz w:val="16"/>
              </w:rPr>
              <w:t>Infiltration</w:t>
            </w:r>
          </w:p>
        </w:tc>
        <w:tc>
          <w:tcPr>
            <w:tcW w:type="dxa" w:w="2376"/>
            <w:vAlign w:val="top"/>
          </w:tcPr>
          <w:p>
            <w:r/>
            <w:r>
              <w:rPr>
                <w:rFonts w:ascii="Arial" w:hAnsi="Arial"/>
                <w:b w:val="0"/>
                <w:i w:val="0"/>
                <w:color w:val="1E242A"/>
                <w:sz w:val="16"/>
              </w:rPr>
              <w:t>Delegate representation or MP request; delegate opinion where relevant</w:t>
            </w:r>
          </w:p>
        </w:tc>
        <w:tc>
          <w:tcPr>
            <w:tcW w:type="dxa" w:w="3096"/>
            <w:vAlign w:val="top"/>
          </w:tcPr>
          <w:p>
            <w:r/>
            <w:r>
              <w:rPr>
                <w:rFonts w:ascii="Arial" w:hAnsi="Arial"/>
                <w:b w:val="0"/>
                <w:i w:val="0"/>
                <w:color w:val="1E242A"/>
                <w:sz w:val="16"/>
              </w:rPr>
              <w:t>Motivated, confidential judicial authorisation defining limits</w:t>
            </w:r>
          </w:p>
        </w:tc>
        <w:tc>
          <w:tcPr>
            <w:tcW w:type="dxa" w:w="2736"/>
            <w:vAlign w:val="top"/>
          </w:tcPr>
          <w:p>
            <w:r/>
            <w:r>
              <w:rPr>
                <w:rFonts w:ascii="Arial" w:hAnsi="Arial"/>
                <w:b w:val="0"/>
                <w:i w:val="0"/>
                <w:color w:val="1E242A"/>
                <w:sz w:val="16"/>
              </w:rPr>
              <w:t>Police agent operates; reports and judicial oversight required</w:t>
            </w:r>
          </w:p>
        </w:tc>
      </w:tr>
      <w:tr>
        <w:trPr>
          <w:cantSplit/>
        </w:trPr>
        <w:tc>
          <w:tcPr>
            <w:tcW w:type="dxa" w:w="1152"/>
            <w:vAlign w:val="top"/>
          </w:tcPr>
          <w:p>
            <w:r/>
            <w:r>
              <w:rPr>
                <w:rFonts w:ascii="Arial" w:hAnsi="Arial"/>
                <w:b w:val="0"/>
                <w:i w:val="0"/>
                <w:color w:val="1E242A"/>
                <w:sz w:val="16"/>
              </w:rPr>
              <w:t>Controlled action</w:t>
            </w:r>
          </w:p>
        </w:tc>
        <w:tc>
          <w:tcPr>
            <w:tcW w:type="dxa" w:w="2376"/>
            <w:vAlign w:val="top"/>
          </w:tcPr>
          <w:p>
            <w:r/>
            <w:r>
              <w:rPr>
                <w:rFonts w:ascii="Arial" w:hAnsi="Arial"/>
                <w:b w:val="0"/>
                <w:i w:val="0"/>
                <w:color w:val="1E242A"/>
                <w:sz w:val="16"/>
              </w:rPr>
              <w:t>Police or investigative authority decides delay under statute</w:t>
            </w:r>
          </w:p>
        </w:tc>
        <w:tc>
          <w:tcPr>
            <w:tcW w:type="dxa" w:w="3096"/>
            <w:vAlign w:val="top"/>
          </w:tcPr>
          <w:p>
            <w:r/>
            <w:r>
              <w:rPr>
                <w:rFonts w:ascii="Arial" w:hAnsi="Arial"/>
                <w:b w:val="0"/>
                <w:i w:val="0"/>
                <w:color w:val="1E242A"/>
                <w:sz w:val="16"/>
              </w:rPr>
              <w:t>Prior confidential communication to judge, who may set limits and notify MP</w:t>
            </w:r>
          </w:p>
        </w:tc>
        <w:tc>
          <w:tcPr>
            <w:tcW w:type="dxa" w:w="2736"/>
            <w:vAlign w:val="top"/>
          </w:tcPr>
          <w:p>
            <w:r/>
            <w:r>
              <w:rPr>
                <w:rFonts w:ascii="Arial" w:hAnsi="Arial"/>
                <w:b w:val="0"/>
                <w:i w:val="0"/>
                <w:color w:val="1E242A"/>
                <w:sz w:val="16"/>
              </w:rPr>
              <w:t>Intervention remains observable and documented; cross-border action needs cooperation</w:t>
            </w:r>
          </w:p>
        </w:tc>
      </w:tr>
      <w:tr>
        <w:trPr>
          <w:cantSplit/>
        </w:trPr>
        <w:tc>
          <w:tcPr>
            <w:tcW w:type="dxa" w:w="1152"/>
            <w:vAlign w:val="top"/>
          </w:tcPr>
          <w:p>
            <w:r/>
            <w:r>
              <w:rPr>
                <w:rFonts w:ascii="Arial" w:hAnsi="Arial"/>
                <w:b w:val="0"/>
                <w:i w:val="0"/>
                <w:color w:val="1E242A"/>
                <w:sz w:val="16"/>
              </w:rPr>
              <w:t>Collaboration agreement</w:t>
            </w:r>
          </w:p>
        </w:tc>
        <w:tc>
          <w:tcPr>
            <w:tcW w:type="dxa" w:w="2376"/>
            <w:vAlign w:val="top"/>
          </w:tcPr>
          <w:p>
            <w:r/>
            <w:r>
              <w:rPr>
                <w:rFonts w:ascii="Arial" w:hAnsi="Arial"/>
                <w:b w:val="0"/>
                <w:i w:val="0"/>
                <w:color w:val="1E242A"/>
                <w:sz w:val="16"/>
              </w:rPr>
              <w:t>Police delegate with MP involvement, or MP; collaborator and counsel</w:t>
            </w:r>
          </w:p>
        </w:tc>
        <w:tc>
          <w:tcPr>
            <w:tcW w:type="dxa" w:w="3096"/>
            <w:vAlign w:val="top"/>
          </w:tcPr>
          <w:p>
            <w:r/>
            <w:r>
              <w:rPr>
                <w:rFonts w:ascii="Arial" w:hAnsi="Arial"/>
                <w:b w:val="0"/>
                <w:i w:val="0"/>
                <w:color w:val="1E242A"/>
                <w:sz w:val="16"/>
              </w:rPr>
              <w:t>Judge does not negotiate but reviews legality, regularity and voluntariness, and later assesses benefit</w:t>
            </w:r>
          </w:p>
        </w:tc>
        <w:tc>
          <w:tcPr>
            <w:tcW w:type="dxa" w:w="2736"/>
            <w:vAlign w:val="top"/>
          </w:tcPr>
          <w:p>
            <w:r/>
            <w:r>
              <w:rPr>
                <w:rFonts w:ascii="Arial" w:hAnsi="Arial"/>
                <w:b w:val="0"/>
                <w:i w:val="0"/>
                <w:color w:val="1E242A"/>
                <w:sz w:val="16"/>
              </w:rPr>
              <w:t>Performance and corroboration matter; confession alone is not enough for conviction</w:t>
            </w:r>
          </w:p>
        </w:tc>
      </w:tr>
    </w:tbl>
    <w:p>
      <w:pPr>
        <w:spacing w:after="40"/>
      </w:pPr>
    </w:p>
    <w:p>
      <w:r>
        <w:rPr>
          <w:rFonts w:ascii="Arial" w:hAnsi="Arial"/>
          <w:b w:val="0"/>
          <w:i w:val="0"/>
          <w:color w:val="1E242A"/>
          <w:sz w:val="21"/>
        </w:rPr>
        <w:t xml:space="preserve">The constitutional baseline is </w:t>
      </w:r>
      <w:hyperlink r:id="rId45">
        <w:r>
          <w:rPr>
            <w:color w:val="2C5F80"/>
            <w:u w:val="single"/>
            <w:rFonts w:ascii="Arial" w:hAnsi="Arial"/>
            <w:sz w:val="21"/>
          </w:rPr>
          <w:t>article 5</w:t>
        </w:r>
      </w:hyperlink>
      <w:r>
        <w:rPr>
          <w:rFonts w:ascii="Arial" w:hAnsi="Arial"/>
          <w:b w:val="0"/>
          <w:i w:val="0"/>
          <w:color w:val="1E242A"/>
          <w:sz w:val="21"/>
        </w:rPr>
        <w:t xml:space="preserve">. The current </w:t>
      </w:r>
      <w:hyperlink r:id="rId73">
        <w:r>
          <w:rPr>
            <w:color w:val="2C5F80"/>
            <w:u w:val="single"/>
            <w:rFonts w:ascii="Arial" w:hAnsi="Arial"/>
            <w:sz w:val="21"/>
          </w:rPr>
          <w:t>Code of Criminal Procedure</w:t>
        </w:r>
      </w:hyperlink>
      <w:r>
        <w:rPr>
          <w:rFonts w:ascii="Arial" w:hAnsi="Arial"/>
          <w:b w:val="0"/>
          <w:i w:val="0"/>
          <w:color w:val="1E242A"/>
          <w:sz w:val="21"/>
        </w:rPr>
        <w:t xml:space="preserve"> supplies arrest, search, seizure and patrimonial procedure. </w:t>
      </w:r>
      <w:hyperlink r:id="rId74">
        <w:r>
          <w:rPr>
            <w:color w:val="2C5F80"/>
            <w:u w:val="single"/>
            <w:rFonts w:ascii="Arial" w:hAnsi="Arial"/>
            <w:sz w:val="21"/>
          </w:rPr>
          <w:t>Law 9,296 of 1996</w:t>
        </w:r>
      </w:hyperlink>
      <w:r>
        <w:rPr>
          <w:rFonts w:ascii="Arial" w:hAnsi="Arial"/>
          <w:b w:val="0"/>
          <w:i w:val="0"/>
          <w:color w:val="1E242A"/>
          <w:sz w:val="21"/>
        </w:rPr>
        <w:t xml:space="preserve"> governs communications interception and environmental capture. These are not interchangeable approvals: each has its own predicate, applicant, period, scope and remedy.</w:t>
      </w:r>
    </w:p>
    <w:p>
      <w:pPr>
        <w:pStyle w:val="Heading2"/>
      </w:pPr>
      <w:r>
        <w:rPr>
          <w:rFonts w:ascii="Arial" w:hAnsi="Arial"/>
          <w:b w:val="0"/>
          <w:i w:val="0"/>
          <w:color w:val="2C5F80"/>
          <w:sz w:val="27"/>
        </w:rPr>
        <w:t>4.2 Courts as independent security actors</w:t>
      </w:r>
    </w:p>
    <w:p>
      <w:r>
        <w:rPr>
          <w:rFonts w:ascii="Arial" w:hAnsi="Arial"/>
          <w:b w:val="0"/>
          <w:i w:val="0"/>
          <w:color w:val="1E242A"/>
          <w:sz w:val="21"/>
        </w:rPr>
        <w:t xml:space="preserve">Courts do more than approve warrants. They can refuse measures, declare evidence unlawful, release detainees, suspend regulations, enforce prison standards, review use of force, adjudicate federal-state competence and impose structural obligations. In </w:t>
      </w:r>
      <w:hyperlink r:id="rId75">
        <w:r>
          <w:rPr>
            <w:color w:val="2C5F80"/>
            <w:u w:val="single"/>
            <w:rFonts w:ascii="Arial" w:hAnsi="Arial"/>
            <w:sz w:val="21"/>
          </w:rPr>
          <w:t>ADPF 635</w:t>
        </w:r>
      </w:hyperlink>
      <w:r>
        <w:rPr>
          <w:rFonts w:ascii="Arial" w:hAnsi="Arial"/>
          <w:b w:val="0"/>
          <w:i w:val="0"/>
          <w:color w:val="1E242A"/>
          <w:sz w:val="21"/>
        </w:rPr>
        <w:t xml:space="preserve">, decided on the merits in April 2025, the STF partially approved and required additions to Rio de Janeiro's police-lethality plan, including monitoring measures, and required PF investigation of concrete interstate or international crimes. This is </w:t>
      </w:r>
      <w:r>
        <w:rPr>
          <w:rFonts w:ascii="Arial" w:hAnsi="Arial"/>
          <w:b/>
          <w:i w:val="0"/>
          <w:color w:val="1E242A"/>
          <w:sz w:val="21"/>
        </w:rPr>
        <w:t>HISTORICAL EXPERIENCE</w:t>
      </w:r>
      <w:r>
        <w:rPr>
          <w:rFonts w:ascii="Arial" w:hAnsi="Arial"/>
          <w:b w:val="0"/>
          <w:i w:val="0"/>
          <w:color w:val="1E242A"/>
          <w:sz w:val="21"/>
        </w:rPr>
        <w:t>, not a universal template, but it demonstrates that judicial action can materially redirect state and federal security activity without presidential initiation.</w:t>
      </w:r>
    </w:p>
    <w:p>
      <w:pPr>
        <w:pStyle w:val="Heading1"/>
      </w:pPr>
      <w:r>
        <w:rPr>
          <w:rFonts w:ascii="Arial" w:hAnsi="Arial"/>
          <w:b w:val="0"/>
          <w:i w:val="0"/>
          <w:color w:val="183752"/>
          <w:sz w:val="34"/>
        </w:rPr>
        <w:t>5 Organised crime legal framework</w:t>
      </w:r>
    </w:p>
    <w:p>
      <w:pPr>
        <w:pStyle w:val="Heading2"/>
      </w:pPr>
      <w:r>
        <w:rPr>
          <w:rFonts w:ascii="Arial" w:hAnsi="Arial"/>
          <w:b w:val="0"/>
          <w:i w:val="0"/>
          <w:color w:val="2C5F80"/>
          <w:sz w:val="27"/>
        </w:rPr>
        <w:t>5.1 General regime under Law 12,850</w:t>
      </w:r>
    </w:p>
    <w:p>
      <w:r>
        <w:rPr>
          <w:rFonts w:ascii="Arial" w:hAnsi="Arial"/>
          <w:b/>
          <w:i w:val="0"/>
          <w:color w:val="1E242A"/>
          <w:sz w:val="21"/>
        </w:rPr>
        <w:t>FORMAL RULE.</w:t>
      </w:r>
      <w:r>
        <w:rPr>
          <w:rFonts w:ascii="Arial" w:hAnsi="Arial"/>
          <w:b w:val="0"/>
          <w:i w:val="0"/>
          <w:color w:val="1E242A"/>
          <w:sz w:val="21"/>
        </w:rPr>
        <w:t xml:space="preserve"> </w:t>
      </w:r>
      <w:hyperlink r:id="rId76">
        <w:r>
          <w:rPr>
            <w:color w:val="2C5F80"/>
            <w:u w:val="single"/>
            <w:rFonts w:ascii="Arial" w:hAnsi="Arial"/>
            <w:sz w:val="21"/>
          </w:rPr>
          <w:t>Law 12,850 of 2013</w:t>
        </w:r>
      </w:hyperlink>
      <w:r>
        <w:rPr>
          <w:rFonts w:ascii="Arial" w:hAnsi="Arial"/>
          <w:b w:val="0"/>
          <w:i w:val="0"/>
          <w:color w:val="1E242A"/>
          <w:sz w:val="21"/>
        </w:rPr>
        <w:t xml:space="preserve"> generally defines a criminal organisation as an association of four or more persons, structurally ordered and characterised by division of tasks, even informally, seeking advantage through offences whose maximum penalties exceed four years or which are transnational. It criminalises participation and provides a toolkit including rewarded collaboration, environmental capture, controlled action, access to records, interception, lifting of financial, banking and tax secrecy under applicable law, infiltration and cooperation among government bodies.</w:t>
      </w:r>
    </w:p>
    <w:p>
      <w:r>
        <w:rPr>
          <w:rFonts w:ascii="Arial" w:hAnsi="Arial"/>
          <w:b w:val="0"/>
          <w:i w:val="0"/>
          <w:color w:val="1E242A"/>
          <w:sz w:val="21"/>
        </w:rPr>
        <w:t>Every tool retains its procedural gate. Infiltration is judicially authorised. Controlled action requires prior communication to a judge, who may set limits. Cross-border controlled action requires foreign cooperation. Collaboration may be negotiated through the police or MP routes defined by statute, with counsel, but the judge must remain outside negotiation and review legality and voluntariness. Benefits depend on results and judicial assessment; a collaborator's word alone is not a substitute for corroborated proof.</w:t>
      </w:r>
    </w:p>
    <w:p>
      <w:pPr>
        <w:pStyle w:val="Heading2"/>
      </w:pPr>
      <w:r>
        <w:rPr>
          <w:rFonts w:ascii="Arial" w:hAnsi="Arial"/>
          <w:b w:val="0"/>
          <w:i w:val="0"/>
          <w:color w:val="2C5F80"/>
          <w:sz w:val="27"/>
        </w:rPr>
        <w:t>5.2 New special regime in 2026</w:t>
      </w:r>
    </w:p>
    <w:p>
      <w:r>
        <w:rPr>
          <w:rFonts w:ascii="Arial" w:hAnsi="Arial"/>
          <w:b/>
          <w:i w:val="0"/>
          <w:color w:val="1E242A"/>
          <w:sz w:val="21"/>
        </w:rPr>
        <w:t>SCENARIO-SPECIFIC FORMAL RULE.</w:t>
      </w:r>
      <w:r>
        <w:rPr>
          <w:rFonts w:ascii="Arial" w:hAnsi="Arial"/>
          <w:b w:val="0"/>
          <w:i w:val="0"/>
          <w:color w:val="1E242A"/>
          <w:sz w:val="21"/>
        </w:rPr>
        <w:t xml:space="preserve"> </w:t>
      </w:r>
      <w:hyperlink r:id="rId65">
        <w:r>
          <w:rPr>
            <w:color w:val="2C5F80"/>
            <w:u w:val="single"/>
            <w:rFonts w:ascii="Arial" w:hAnsi="Arial"/>
            <w:sz w:val="21"/>
          </w:rPr>
          <w:t>Law 15,358 of 2026</w:t>
        </w:r>
      </w:hyperlink>
      <w:r>
        <w:rPr>
          <w:rFonts w:ascii="Arial" w:hAnsi="Arial"/>
          <w:b w:val="0"/>
          <w:i w:val="0"/>
          <w:color w:val="1E242A"/>
          <w:sz w:val="21"/>
        </w:rPr>
        <w:t xml:space="preserve"> creates offences centred on ultraviolent organisations, paramilitary groups, private militias and structured social domination. It applies the older organised-crime framework where appropriate and authorises integrated task forces, including FICCO and GAECO participation through cooperation instruments that preserve constitutional competences and MP functional independence.</w:t>
      </w:r>
    </w:p>
    <w:p>
      <w:r>
        <w:rPr>
          <w:rFonts w:ascii="Arial" w:hAnsi="Arial"/>
          <w:b w:val="0"/>
          <w:i w:val="0"/>
          <w:color w:val="1E242A"/>
          <w:sz w:val="21"/>
        </w:rPr>
        <w:t xml:space="preserve">The law is consequential but young. Its concepts should not be retroactively attached to prior scenarios, and its extraordinary forfeiture provisions should be stored with an active-litigation flag. Official reporting on an </w:t>
      </w:r>
      <w:hyperlink r:id="rId77">
        <w:r>
          <w:rPr>
            <w:color w:val="2C5F80"/>
            <w:u w:val="single"/>
            <w:rFonts w:ascii="Arial" w:hAnsi="Arial"/>
            <w:sz w:val="21"/>
          </w:rPr>
          <w:t>STF public hearing in August 2026</w:t>
        </w:r>
      </w:hyperlink>
      <w:r>
        <w:rPr>
          <w:rFonts w:ascii="Arial" w:hAnsi="Arial"/>
          <w:b w:val="0"/>
          <w:i w:val="0"/>
          <w:color w:val="1E242A"/>
          <w:sz w:val="21"/>
        </w:rPr>
        <w:t xml:space="preserve"> confirms that implementation and constitutional interpretation remained live at the cutoff.</w:t>
      </w:r>
    </w:p>
    <w:p>
      <w:pPr>
        <w:pStyle w:val="Heading2"/>
      </w:pPr>
      <w:r>
        <w:rPr>
          <w:rFonts w:ascii="Arial" w:hAnsi="Arial"/>
          <w:b w:val="0"/>
          <w:i w:val="0"/>
          <w:color w:val="2C5F80"/>
          <w:sz w:val="27"/>
        </w:rPr>
        <w:t>5.3 Policy priority versus named coercion</w:t>
      </w:r>
    </w:p>
    <w:p>
      <w:r>
        <w:rPr>
          <w:rFonts w:ascii="Arial" w:hAnsi="Arial"/>
          <w:b w:val="0"/>
          <w:i w:val="0"/>
          <w:color w:val="1E242A"/>
          <w:sz w:val="21"/>
        </w:rPr>
        <w:t>“Prioritise federal action against PCC financial networks” can be a lawful presidential policy direction if executed through federal jurisdiction, resources and competent institutions. “Arrest leader X tomorrow” is not a presidential instrument. Investigators need evidence and jurisdiction; prosecutors independently evaluate legal action; judges decide reserved measures. This separation must remain visible even if lower-level workflow is later delegated in the simulation.</w:t>
      </w:r>
    </w:p>
    <w:p>
      <w:pPr>
        <w:pStyle w:val="Heading1"/>
      </w:pPr>
      <w:r>
        <w:rPr>
          <w:rFonts w:ascii="Arial" w:hAnsi="Arial"/>
          <w:b w:val="0"/>
          <w:i w:val="0"/>
          <w:color w:val="183752"/>
          <w:sz w:val="34"/>
        </w:rPr>
        <w:t>6 Asset identification restraint forfeiture and public use</w:t>
      </w:r>
    </w:p>
    <w:p>
      <w:pPr>
        <w:pStyle w:val="Heading2"/>
      </w:pPr>
      <w:r>
        <w:rPr>
          <w:rFonts w:ascii="Arial" w:hAnsi="Arial"/>
          <w:b w:val="0"/>
          <w:i w:val="0"/>
          <w:color w:val="2C5F80"/>
          <w:sz w:val="27"/>
        </w:rPr>
        <w:t>6.1 The legal lifecycle</w:t>
      </w:r>
    </w:p>
    <w:p>
      <w:r>
        <w:rPr>
          <w:rFonts w:ascii="Arial" w:hAnsi="Arial"/>
          <w:b w:val="0"/>
          <w:i w:val="0"/>
          <w:color w:val="1E242A"/>
          <w:sz w:val="21"/>
        </w:rPr>
        <w:t>The asset status is not semantic; it determines control and fiscal availability.</w:t>
      </w:r>
    </w:p>
    <w:p>
      <w:pPr>
        <w:pStyle w:val="ListNumber"/>
        <w:numPr>
          <w:ilvl w:val="0"/>
          <w:numId w:val="5"/>
        </w:numPr>
      </w:pPr>
      <w:r>
        <w:rPr>
          <w:rFonts w:ascii="Arial" w:hAnsi="Arial"/>
          <w:b/>
          <w:i w:val="0"/>
          <w:color w:val="1E242A"/>
          <w:sz w:val="20"/>
        </w:rPr>
        <w:t>Identification and tracing.</w:t>
      </w:r>
      <w:r>
        <w:rPr>
          <w:rFonts w:ascii="Arial" w:hAnsi="Arial"/>
          <w:b w:val="0"/>
          <w:i w:val="0"/>
          <w:color w:val="1E242A"/>
          <w:sz w:val="20"/>
        </w:rPr>
        <w:t xml:space="preserve"> Police, prosecutors, Receita, regulators and financial intelligence may identify possible assets through lawful records, reports and investigations. No title passes to the state.</w:t>
      </w:r>
    </w:p>
    <w:p>
      <w:pPr>
        <w:pStyle w:val="ListNumber"/>
        <w:numPr>
          <w:ilvl w:val="0"/>
          <w:numId w:val="5"/>
        </w:numPr>
      </w:pPr>
      <w:r>
        <w:rPr>
          <w:rFonts w:ascii="Arial" w:hAnsi="Arial"/>
          <w:b/>
          <w:i w:val="0"/>
          <w:color w:val="1E242A"/>
          <w:sz w:val="20"/>
        </w:rPr>
        <w:t>Freezing or judicial restraint.</w:t>
      </w:r>
      <w:r>
        <w:rPr>
          <w:rFonts w:ascii="Arial" w:hAnsi="Arial"/>
          <w:b w:val="0"/>
          <w:i w:val="0"/>
          <w:color w:val="1E242A"/>
          <w:sz w:val="20"/>
        </w:rPr>
        <w:t xml:space="preserve"> A judge may order blocking, sequestration, arrest or unavailability upon the application or representation permitted by the governing law. The owner loses practical control to the extent of the order, but the state has not yet acquired free fiscal revenue.</w:t>
      </w:r>
    </w:p>
    <w:p>
      <w:pPr>
        <w:pStyle w:val="ListNumber"/>
        <w:numPr>
          <w:ilvl w:val="0"/>
          <w:numId w:val="5"/>
        </w:numPr>
      </w:pPr>
      <w:r>
        <w:rPr>
          <w:rFonts w:ascii="Arial" w:hAnsi="Arial"/>
          <w:b/>
          <w:i w:val="0"/>
          <w:color w:val="1E242A"/>
          <w:sz w:val="20"/>
        </w:rPr>
        <w:t>Seizure and custody.</w:t>
      </w:r>
      <w:r>
        <w:rPr>
          <w:rFonts w:ascii="Arial" w:hAnsi="Arial"/>
          <w:b w:val="0"/>
          <w:i w:val="0"/>
          <w:color w:val="1E242A"/>
          <w:sz w:val="20"/>
        </w:rPr>
        <w:t xml:space="preserve"> A physical item may be seized and placed with a court-appointed custodian, specialised administrator or competent public body. Cash or sale proceeds normally remain in remunerated judicial custody.</w:t>
      </w:r>
    </w:p>
    <w:p>
      <w:pPr>
        <w:pStyle w:val="ListNumber"/>
        <w:numPr>
          <w:ilvl w:val="0"/>
          <w:numId w:val="5"/>
        </w:numPr>
      </w:pPr>
      <w:r>
        <w:rPr>
          <w:rFonts w:ascii="Arial" w:hAnsi="Arial"/>
          <w:b/>
          <w:i w:val="0"/>
          <w:color w:val="1E242A"/>
          <w:sz w:val="20"/>
        </w:rPr>
        <w:t>Provisional use or early sale.</w:t>
      </w:r>
      <w:r>
        <w:rPr>
          <w:rFonts w:ascii="Arial" w:hAnsi="Arial"/>
          <w:b w:val="0"/>
          <w:i w:val="0"/>
          <w:color w:val="1E242A"/>
          <w:sz w:val="20"/>
        </w:rPr>
        <w:t xml:space="preserve"> A court may authorise use by a public body or order sale to preserve value under statutory conditions. Early sale converts form, not legal status: the deposited proceeds remain subject to the case.</w:t>
      </w:r>
    </w:p>
    <w:p>
      <w:pPr>
        <w:pStyle w:val="ListNumber"/>
        <w:numPr>
          <w:ilvl w:val="0"/>
          <w:numId w:val="5"/>
        </w:numPr>
      </w:pPr>
      <w:r>
        <w:rPr>
          <w:rFonts w:ascii="Arial" w:hAnsi="Arial"/>
          <w:b/>
          <w:i w:val="0"/>
          <w:color w:val="1E242A"/>
          <w:sz w:val="20"/>
        </w:rPr>
        <w:t>Final judicial disposition.</w:t>
      </w:r>
      <w:r>
        <w:rPr>
          <w:rFonts w:ascii="Arial" w:hAnsi="Arial"/>
          <w:b w:val="0"/>
          <w:i w:val="0"/>
          <w:color w:val="1E242A"/>
          <w:sz w:val="20"/>
        </w:rPr>
        <w:t xml:space="preserve"> The court releases lawful property, protects victims and good-faith third parties, or declares forfeiture under the applicable statute. Appeals and the exact point of finality matter.</w:t>
      </w:r>
    </w:p>
    <w:p>
      <w:pPr>
        <w:pStyle w:val="ListNumber"/>
        <w:numPr>
          <w:ilvl w:val="0"/>
          <w:numId w:val="5"/>
        </w:numPr>
      </w:pPr>
      <w:r>
        <w:rPr>
          <w:rFonts w:ascii="Arial" w:hAnsi="Arial"/>
          <w:b/>
          <w:i w:val="0"/>
          <w:color w:val="1E242A"/>
          <w:sz w:val="20"/>
        </w:rPr>
        <w:t>Destination.</w:t>
      </w:r>
      <w:r>
        <w:rPr>
          <w:rFonts w:ascii="Arial" w:hAnsi="Arial"/>
          <w:b w:val="0"/>
          <w:i w:val="0"/>
          <w:color w:val="1E242A"/>
          <w:sz w:val="20"/>
        </w:rPr>
        <w:t xml:space="preserve"> Only after legally effective forfeiture does the governing offence and forum determine whether value goes to the Union, a state, FUNPEN, FUNAD or another destination.</w:t>
      </w:r>
    </w:p>
    <w:p>
      <w:pPr>
        <w:pStyle w:val="ListNumber"/>
        <w:numPr>
          <w:ilvl w:val="0"/>
          <w:numId w:val="5"/>
        </w:numPr>
      </w:pPr>
      <w:r>
        <w:rPr>
          <w:rFonts w:ascii="Arial" w:hAnsi="Arial"/>
          <w:b/>
          <w:i w:val="0"/>
          <w:color w:val="1E242A"/>
          <w:sz w:val="20"/>
        </w:rPr>
        <w:t>Public expenditure.</w:t>
      </w:r>
      <w:r>
        <w:rPr>
          <w:rFonts w:ascii="Arial" w:hAnsi="Arial"/>
          <w:b w:val="0"/>
          <w:i w:val="0"/>
          <w:color w:val="1E242A"/>
          <w:sz w:val="20"/>
        </w:rPr>
        <w:t xml:space="preserve"> A receiving fund or treasury must still use the resources for statutory purposes and through lawful budget execution, financial management, procurement and accountability. Receipt does not create a presidential cash account.</w:t>
      </w:r>
    </w:p>
    <w:p>
      <w:pPr>
        <w:pStyle w:val="Heading2"/>
      </w:pPr>
      <w:r>
        <w:rPr>
          <w:rFonts w:ascii="Arial" w:hAnsi="Arial"/>
          <w:b w:val="0"/>
          <w:i w:val="0"/>
          <w:color w:val="2C5F80"/>
          <w:sz w:val="27"/>
        </w:rPr>
        <w:t>6.2 Who requests and who decides</w:t>
      </w:r>
    </w:p>
    <w:p>
      <w:r>
        <w:rPr>
          <w:rFonts w:ascii="Arial" w:hAnsi="Arial"/>
          <w:b w:val="0"/>
          <w:i w:val="0"/>
          <w:color w:val="1E242A"/>
          <w:sz w:val="21"/>
        </w:rPr>
        <w:t xml:space="preserve">Under </w:t>
      </w:r>
      <w:hyperlink r:id="rId73">
        <w:r>
          <w:rPr>
            <w:color w:val="2C5F80"/>
            <w:u w:val="single"/>
            <w:rFonts w:ascii="Arial" w:hAnsi="Arial"/>
            <w:sz w:val="21"/>
          </w:rPr>
          <w:t>CPP articles 125 to 144-A</w:t>
        </w:r>
      </w:hyperlink>
      <w:r>
        <w:rPr>
          <w:rFonts w:ascii="Arial" w:hAnsi="Arial"/>
          <w:b w:val="0"/>
          <w:i w:val="0"/>
          <w:color w:val="1E242A"/>
          <w:sz w:val="21"/>
        </w:rPr>
        <w:t xml:space="preserve">, a judge may order sequestration before charge or during proceedings when strong indications show illicit provenance, on police representation or application by the MP or victim according to the provision. </w:t>
      </w:r>
      <w:hyperlink r:id="rId78">
        <w:r>
          <w:rPr>
            <w:color w:val="2C5F80"/>
            <w:u w:val="single"/>
            <w:rFonts w:ascii="Arial" w:hAnsi="Arial"/>
            <w:sz w:val="21"/>
          </w:rPr>
          <w:t>Money Laundering Law 9,613</w:t>
        </w:r>
      </w:hyperlink>
      <w:r>
        <w:rPr>
          <w:rFonts w:ascii="Arial" w:hAnsi="Arial"/>
          <w:b w:val="0"/>
          <w:i w:val="0"/>
          <w:color w:val="1E242A"/>
          <w:sz w:val="21"/>
        </w:rPr>
        <w:t xml:space="preserve"> similarly permits judicial restraint of instruments, proceeds and benefits, including property held through interposed persons. The President, MJSP, PF and COAF do not adjudicate title.</w:t>
      </w:r>
    </w:p>
    <w:p>
      <w:r>
        <w:rPr>
          <w:rFonts w:ascii="Arial" w:hAnsi="Arial"/>
          <w:b w:val="0"/>
          <w:i w:val="0"/>
          <w:color w:val="1E242A"/>
          <w:sz w:val="21"/>
        </w:rPr>
        <w:t>The 2026 special law authorises a judge, for its offences, to restrain a broad list including real and movable property, shares, funds, digital assets, luxury goods and business interests. Necessity, adequacy and proportionality must be explained. The affected person receives a statutory opportunity to show lawful origin, and victim and good-faith third-party rights survive. Its most contested novelty allows judicial “extraordinary forfeiture” without criminal conviction where illicit origin is clear. This is a judicial, offence-limited route, not general executive confiscation.</w:t>
      </w:r>
    </w:p>
    <w:p>
      <w:pPr>
        <w:pStyle w:val="Heading2"/>
      </w:pPr>
      <w:r>
        <w:rPr>
          <w:rFonts w:ascii="Arial" w:hAnsi="Arial"/>
          <w:b w:val="0"/>
          <w:i w:val="0"/>
          <w:color w:val="2C5F80"/>
          <w:sz w:val="27"/>
        </w:rPr>
        <w:t>6.3 Interim use and early sale</w:t>
      </w:r>
    </w:p>
    <w:p>
      <w:r>
        <w:rPr>
          <w:rFonts w:ascii="Arial" w:hAnsi="Arial"/>
          <w:b w:val="0"/>
          <w:i w:val="0"/>
          <w:color w:val="1E242A"/>
          <w:sz w:val="21"/>
        </w:rPr>
        <w:t xml:space="preserve">The CPP requires early sale where property is liable to deterioration or depreciation or is difficult to maintain. The laundering statute contains its own judicial sale procedure and valuation safeguards. </w:t>
      </w:r>
      <w:hyperlink r:id="rId79">
        <w:r>
          <w:rPr>
            <w:color w:val="2C5F80"/>
            <w:u w:val="single"/>
            <w:rFonts w:ascii="Arial" w:hAnsi="Arial"/>
            <w:sz w:val="21"/>
          </w:rPr>
          <w:t>Drug Law 11,343</w:t>
        </w:r>
      </w:hyperlink>
      <w:r>
        <w:rPr>
          <w:rFonts w:ascii="Arial" w:hAnsi="Arial"/>
          <w:b w:val="0"/>
          <w:i w:val="0"/>
          <w:color w:val="1E242A"/>
          <w:sz w:val="21"/>
        </w:rPr>
        <w:t xml:space="preserve"> has specialised treatment for instruments and proceeds, with SENAD involved in management and disposal. In all these routes, early conversion to money does not make the proceeds spendable before disposition.</w:t>
      </w:r>
    </w:p>
    <w:p>
      <w:pPr>
        <w:pStyle w:val="Heading2"/>
      </w:pPr>
      <w:r>
        <w:rPr>
          <w:rFonts w:ascii="Arial" w:hAnsi="Arial"/>
          <w:b w:val="0"/>
          <w:i w:val="0"/>
          <w:color w:val="2C5F80"/>
          <w:sz w:val="27"/>
        </w:rPr>
        <w:t>6.4 Final destination is offence and forum dependent</w:t>
      </w:r>
    </w:p>
    <w:p>
      <w:r>
        <w:rPr>
          <w:rFonts w:ascii="Arial" w:hAnsi="Arial"/>
          <w:b w:val="0"/>
          <w:i w:val="0"/>
          <w:color w:val="1E242A"/>
          <w:sz w:val="21"/>
        </w:rPr>
        <w:t xml:space="preserve">There is no universal seized-assets fund. Under the general CPP rule, after final conviction and satisfaction of victim or good-faith claims, sale proceeds are directed to public funds, principally FUNPEN unless special law provides otherwise. Drug assets forfeited to the Union are directed to FUNAD under the Drug Law and </w:t>
      </w:r>
      <w:hyperlink r:id="rId80">
        <w:r>
          <w:rPr>
            <w:color w:val="2C5F80"/>
            <w:u w:val="single"/>
            <w:rFonts w:ascii="Arial" w:hAnsi="Arial"/>
            <w:sz w:val="21"/>
          </w:rPr>
          <w:t>Law 7,560 of 1986</w:t>
        </w:r>
      </w:hyperlink>
      <w:r>
        <w:rPr>
          <w:rFonts w:ascii="Arial" w:hAnsi="Arial"/>
          <w:b w:val="0"/>
          <w:i w:val="0"/>
          <w:color w:val="1E242A"/>
          <w:sz w:val="21"/>
        </w:rPr>
        <w:t>. Following the 2026 amendments, laundering forfeiture differentiates federal and state proceedings: value goes to the Union in federal cases and the relevant state or DF in state cases, with implementing rules to prefer corresponding prevention, investigation, prosecution and adjudication bodies.</w:t>
      </w:r>
    </w:p>
    <w:p>
      <w:r>
        <w:rPr>
          <w:rFonts w:ascii="Arial" w:hAnsi="Arial"/>
          <w:b w:val="0"/>
          <w:i w:val="0"/>
          <w:color w:val="1E242A"/>
          <w:sz w:val="21"/>
        </w:rPr>
        <w:t xml:space="preserve">FNSP, FUNPEN and FUNAD each have statutory purposes and governance. </w:t>
      </w:r>
      <w:hyperlink r:id="rId81">
        <w:r>
          <w:rPr>
            <w:color w:val="2C5F80"/>
            <w:u w:val="single"/>
            <w:rFonts w:ascii="Arial" w:hAnsi="Arial"/>
            <w:sz w:val="21"/>
          </w:rPr>
          <w:t>Law 13,756 of 2018</w:t>
        </w:r>
      </w:hyperlink>
      <w:r>
        <w:rPr>
          <w:rFonts w:ascii="Arial" w:hAnsi="Arial"/>
          <w:b w:val="0"/>
          <w:i w:val="0"/>
          <w:color w:val="1E242A"/>
          <w:sz w:val="21"/>
        </w:rPr>
        <w:t>, as amended in 2026, expands FNSP support for organised-crime operations, prisons, task forces and intelligence and requires substantial decentralisation to states and the DF. MJSP management is not unrestricted discretion: earmarks, council governance, transfer conditions, appropriations, procurement and audit remain.</w:t>
      </w:r>
    </w:p>
    <w:p>
      <w:pPr>
        <w:pStyle w:val="Heading2"/>
      </w:pPr>
      <w:r>
        <w:rPr>
          <w:rFonts w:ascii="Arial" w:hAnsi="Arial"/>
          <w:b w:val="0"/>
          <w:i w:val="0"/>
          <w:color w:val="2C5F80"/>
          <w:sz w:val="27"/>
        </w:rPr>
        <w:t>6.5 The R$100 million answer</w:t>
      </w:r>
    </w:p>
    <w:p>
      <w:r>
        <w:rPr>
          <w:rFonts w:ascii="Arial" w:hAnsi="Arial"/>
          <w:b w:val="0"/>
          <w:i w:val="0"/>
          <w:color w:val="1E242A"/>
          <w:sz w:val="21"/>
        </w:rPr>
        <w:t>If a federal operation identifies R$100 million linked to an organisation, the amount itself changes no authority. No reviewed statute creates an R$100 million presidential threshold. The ordinary sequence is tracing; a formally instituted investigation; police representation or MP application; reasoned judicial restraint; custody and possibly court-authorised sale; adjudication of lawful ownership, victims and third-party rights; legally effective forfeiture; destination under the offence and forum; and only then expenditure by the receiving public entity under fund and budget law.</w:t>
      </w:r>
    </w:p>
    <w:p>
      <w:r>
        <w:rPr>
          <w:rFonts w:ascii="Arial" w:hAnsi="Arial"/>
          <w:b w:val="0"/>
          <w:i w:val="0"/>
          <w:color w:val="1E242A"/>
          <w:sz w:val="21"/>
        </w:rPr>
        <w:t>Thus:</w:t>
      </w:r>
    </w:p>
    <w:p>
      <w:r>
        <w:rPr>
          <w:rFonts w:ascii="Arial" w:hAnsi="Arial"/>
          <w:b/>
          <w:i w:val="0"/>
          <w:color w:val="1E242A"/>
          <w:sz w:val="21"/>
        </w:rPr>
        <w:t>frozen assets are not seized assets; seized assets are not forfeited assets; forfeited assets are not necessarily Union assets; and Union assets are not automatically discretionary, immediately spendable presidential resources.</w:t>
      </w:r>
    </w:p>
    <w:p>
      <w:r>
        <w:rPr>
          <w:rFonts w:ascii="Arial" w:hAnsi="Arial"/>
          <w:b w:val="0"/>
          <w:i w:val="0"/>
          <w:color w:val="1E242A"/>
          <w:sz w:val="21"/>
        </w:rPr>
        <w:t>The government may sometimes receive provisional use of a physical asset, but that is legally different from consuming its value. If the property is released, return or compensation may be required. A simulation that credits R$100 million to the federal budget upon a raid would confer an impossible fiscal and judicial power.</w:t>
      </w:r>
    </w:p>
    <w:p>
      <w:pPr>
        <w:pStyle w:val="Heading1"/>
      </w:pPr>
      <w:r>
        <w:rPr>
          <w:rFonts w:ascii="Arial" w:hAnsi="Arial"/>
          <w:b w:val="0"/>
          <w:i w:val="0"/>
          <w:color w:val="183752"/>
          <w:sz w:val="34"/>
        </w:rPr>
        <w:t>7 COAF and financial intelligence</w:t>
      </w:r>
    </w:p>
    <w:p>
      <w:pPr>
        <w:pStyle w:val="Heading2"/>
      </w:pPr>
      <w:r>
        <w:rPr>
          <w:rFonts w:ascii="Arial" w:hAnsi="Arial"/>
          <w:b w:val="0"/>
          <w:i w:val="0"/>
          <w:color w:val="2C5F80"/>
          <w:sz w:val="27"/>
        </w:rPr>
        <w:t>7.1 Status governance and function</w:t>
      </w:r>
    </w:p>
    <w:p>
      <w:r>
        <w:rPr>
          <w:rFonts w:ascii="Arial" w:hAnsi="Arial"/>
          <w:b/>
          <w:i w:val="0"/>
          <w:color w:val="1E242A"/>
          <w:sz w:val="21"/>
        </w:rPr>
        <w:t>FORMAL RULE.</w:t>
      </w:r>
      <w:r>
        <w:rPr>
          <w:rFonts w:ascii="Arial" w:hAnsi="Arial"/>
          <w:b w:val="0"/>
          <w:i w:val="0"/>
          <w:color w:val="1E242A"/>
          <w:sz w:val="21"/>
        </w:rPr>
        <w:t xml:space="preserve"> </w:t>
      </w:r>
      <w:hyperlink r:id="rId82">
        <w:r>
          <w:rPr>
            <w:color w:val="2C5F80"/>
            <w:u w:val="single"/>
            <w:rFonts w:ascii="Arial" w:hAnsi="Arial"/>
            <w:sz w:val="21"/>
          </w:rPr>
          <w:t>Law 13,974 of 2020</w:t>
        </w:r>
      </w:hyperlink>
      <w:r>
        <w:rPr>
          <w:rFonts w:ascii="Arial" w:hAnsi="Arial"/>
          <w:b w:val="0"/>
          <w:i w:val="0"/>
          <w:color w:val="1E242A"/>
          <w:sz w:val="21"/>
        </w:rPr>
        <w:t xml:space="preserve"> makes COAF Brazil's financial-intelligence unit, with nationwide jurisdiction and technical and operational autonomy, administratively linked to the Banco Central do Brasil. The BCB Collegiate Board approves its internal rules; the BCB President chooses and appoints COAF's President and Plenary. The compiled laundering law may retain older institutional wording, but the later specific organisational statute and lapse of the 2023 provisional relocation leave the current BCB link controlling.</w:t>
      </w:r>
    </w:p>
    <w:p>
      <w:r>
        <w:rPr>
          <w:rFonts w:ascii="Arial" w:hAnsi="Arial"/>
          <w:b w:val="0"/>
          <w:i w:val="0"/>
          <w:color w:val="1E242A"/>
          <w:sz w:val="21"/>
        </w:rPr>
        <w:t xml:space="preserve">Regulated sectors submit required and suspicious-transaction communications without tipping off clients. Under </w:t>
      </w:r>
      <w:hyperlink r:id="rId78">
        <w:r>
          <w:rPr>
            <w:color w:val="2C5F80"/>
            <w:u w:val="single"/>
            <w:rFonts w:ascii="Arial" w:hAnsi="Arial"/>
            <w:sz w:val="21"/>
          </w:rPr>
          <w:t>Law 9,613</w:t>
        </w:r>
      </w:hyperlink>
      <w:r>
        <w:rPr>
          <w:rFonts w:ascii="Arial" w:hAnsi="Arial"/>
          <w:b w:val="0"/>
          <w:i w:val="0"/>
          <w:color w:val="1E242A"/>
          <w:sz w:val="21"/>
        </w:rPr>
        <w:t>, COAF receives, examines and identifies suspicious activity, can seek specified information from public administration, coordinates exchanges and communicates competent authorities when it finds grounded indications of crime or another illicit act.</w:t>
      </w:r>
    </w:p>
    <w:p>
      <w:r>
        <w:rPr>
          <w:rFonts w:ascii="Arial" w:hAnsi="Arial"/>
          <w:b w:val="0"/>
          <w:i w:val="0"/>
          <w:color w:val="1E242A"/>
          <w:sz w:val="21"/>
        </w:rPr>
        <w:t xml:space="preserve">COAF is not a police or confiscation body. Its </w:t>
      </w:r>
      <w:hyperlink r:id="rId83">
        <w:r>
          <w:rPr>
            <w:color w:val="2C5F80"/>
            <w:u w:val="single"/>
            <w:rFonts w:ascii="Arial" w:hAnsi="Arial"/>
            <w:sz w:val="21"/>
          </w:rPr>
          <w:t>official July 2026 clarification</w:t>
        </w:r>
      </w:hyperlink>
      <w:r>
        <w:rPr>
          <w:rFonts w:ascii="Arial" w:hAnsi="Arial"/>
          <w:b w:val="0"/>
          <w:i w:val="0"/>
          <w:color w:val="1E242A"/>
          <w:sz w:val="21"/>
        </w:rPr>
        <w:t xml:space="preserve"> states that it does not block, retain, release or seize resources, investigate people or open police inquiries. Its intelligence may trigger independent police or MP work; restraint remains judicial.</w:t>
      </w:r>
    </w:p>
    <w:p>
      <w:pPr>
        <w:pStyle w:val="Heading2"/>
      </w:pPr>
      <w:r>
        <w:rPr>
          <w:rFonts w:ascii="Arial" w:hAnsi="Arial"/>
          <w:b w:val="0"/>
          <w:i w:val="0"/>
          <w:color w:val="2C5F80"/>
          <w:sz w:val="27"/>
        </w:rPr>
        <w:t>7.2 Secrecy and RIF sharing</w:t>
      </w:r>
    </w:p>
    <w:p>
      <w:r>
        <w:rPr>
          <w:rFonts w:ascii="Arial" w:hAnsi="Arial"/>
          <w:b w:val="0"/>
          <w:i w:val="0"/>
          <w:color w:val="1E242A"/>
          <w:sz w:val="21"/>
        </w:rPr>
        <w:t>COAF members cannot disclose protected information to persons lacking legal or judicial authority. Political seniority does not entitle the President to a named person's RIF. Legitimate presidential policy can strengthen reporting rules through competent bodies, staffing, secure technology, international FIU cooperation and interagency processes without exposing case material.</w:t>
      </w:r>
    </w:p>
    <w:p>
      <w:r>
        <w:rPr>
          <w:rFonts w:ascii="Arial" w:hAnsi="Arial"/>
          <w:b w:val="0"/>
          <w:i w:val="0"/>
          <w:color w:val="1E242A"/>
          <w:sz w:val="21"/>
        </w:rPr>
        <w:t xml:space="preserve">The judicial position requires careful temporal treatment. </w:t>
      </w:r>
      <w:hyperlink r:id="rId84">
        <w:r>
          <w:rPr>
            <w:color w:val="2C5F80"/>
            <w:u w:val="single"/>
            <w:rFonts w:ascii="Arial" w:hAnsi="Arial"/>
            <w:sz w:val="21"/>
          </w:rPr>
          <w:t>STF Tema 990</w:t>
        </w:r>
      </w:hyperlink>
      <w:r>
        <w:rPr>
          <w:rFonts w:ascii="Arial" w:hAnsi="Arial"/>
          <w:b w:val="0"/>
          <w:i w:val="0"/>
          <w:color w:val="1E242A"/>
          <w:sz w:val="21"/>
        </w:rPr>
        <w:t xml:space="preserve"> permits formal sharing of COAF reports and completed tax-assessment files with criminal-enforcement bodies without prior judicial authorisation, provided secrecy, an instituted procedure and later judicial control. The STF later accepted both spontaneous and requested reports, while the STJ adopted a narrower approach to direct MP requests. In </w:t>
      </w:r>
      <w:hyperlink r:id="rId85">
        <w:r>
          <w:rPr>
            <w:color w:val="2C5F80"/>
            <w:u w:val="single"/>
            <w:rFonts w:ascii="Arial" w:hAnsi="Arial"/>
            <w:sz w:val="21"/>
          </w:rPr>
          <w:t>Tema 1404</w:t>
        </w:r>
      </w:hyperlink>
      <w:r>
        <w:rPr>
          <w:rFonts w:ascii="Arial" w:hAnsi="Arial"/>
          <w:b w:val="0"/>
          <w:i w:val="0"/>
          <w:color w:val="1E242A"/>
          <w:sz w:val="21"/>
        </w:rPr>
        <w:t xml:space="preserve">, an interim order of 27 March 2026 imposed prospective safeguards for requested RIFs: a formally opened investigation or sanctioning proceeding, a specifically identified target, concrete and individualised necessity and no exploratory “fishing expedition.” The </w:t>
      </w:r>
      <w:hyperlink r:id="rId86">
        <w:r>
          <w:rPr>
            <w:color w:val="2C5F80"/>
            <w:u w:val="single"/>
            <w:rFonts w:ascii="Arial" w:hAnsi="Arial"/>
            <w:sz w:val="21"/>
          </w:rPr>
          <w:t>STF's official explanation</w:t>
        </w:r>
      </w:hyperlink>
      <w:r>
        <w:rPr>
          <w:rFonts w:ascii="Arial" w:hAnsi="Arial"/>
          <w:b w:val="0"/>
          <w:i w:val="0"/>
          <w:color w:val="1E242A"/>
          <w:sz w:val="21"/>
        </w:rPr>
        <w:t xml:space="preserve"> is current but provisional; final merits were not verified by the cutoff.</w:t>
      </w:r>
    </w:p>
    <w:p>
      <w:r>
        <w:rPr>
          <w:rFonts w:ascii="Arial" w:hAnsi="Arial"/>
          <w:b/>
          <w:i w:val="0"/>
          <w:color w:val="1E242A"/>
          <w:sz w:val="21"/>
        </w:rPr>
        <w:t>POLITICAL PRACTICE.</w:t>
      </w:r>
      <w:r>
        <w:rPr>
          <w:rFonts w:ascii="Arial" w:hAnsi="Arial"/>
          <w:b w:val="0"/>
          <w:i w:val="0"/>
          <w:color w:val="1E242A"/>
          <w:sz w:val="21"/>
        </w:rPr>
        <w:t xml:space="preserve"> The </w:t>
      </w:r>
      <w:hyperlink r:id="rId87">
        <w:r>
          <w:rPr>
            <w:color w:val="2C5F80"/>
            <w:u w:val="single"/>
            <w:rFonts w:ascii="Arial" w:hAnsi="Arial"/>
            <w:sz w:val="21"/>
          </w:rPr>
          <w:t>FATF/GAFILAT 2023 evaluation</w:t>
        </w:r>
      </w:hyperlink>
      <w:r>
        <w:rPr>
          <w:rFonts w:ascii="Arial" w:hAnsi="Arial"/>
          <w:b w:val="0"/>
          <w:i w:val="0"/>
          <w:color w:val="1E242A"/>
          <w:sz w:val="21"/>
        </w:rPr>
        <w:t xml:space="preserve"> rated Brazil's formal FIU and secrecy framework strongly but found only moderate effectiveness for financial intelligence, investigation and confiscation outcomes, with coordination gaps. Formal authority should not be translated into automatic operational success.</w:t>
      </w:r>
    </w:p>
    <w:p>
      <w:pPr>
        <w:pStyle w:val="Heading1"/>
      </w:pPr>
      <w:r>
        <w:rPr>
          <w:rFonts w:ascii="Arial" w:hAnsi="Arial"/>
          <w:b w:val="0"/>
          <w:i w:val="0"/>
          <w:color w:val="183752"/>
          <w:sz w:val="34"/>
        </w:rPr>
        <w:t>8 ABIN and SISBIN intelligence architecture</w:t>
      </w:r>
    </w:p>
    <w:p>
      <w:pPr>
        <w:pStyle w:val="Heading2"/>
      </w:pPr>
      <w:r>
        <w:rPr>
          <w:rFonts w:ascii="Arial" w:hAnsi="Arial"/>
          <w:b w:val="0"/>
          <w:i w:val="0"/>
          <w:color w:val="2C5F80"/>
          <w:sz w:val="27"/>
        </w:rPr>
        <w:t>8.1 Intelligence is not law enforcement</w:t>
      </w:r>
    </w:p>
    <w:p>
      <w:r>
        <w:rPr>
          <w:rFonts w:ascii="Arial" w:hAnsi="Arial"/>
          <w:b/>
          <w:i w:val="0"/>
          <w:color w:val="1E242A"/>
          <w:sz w:val="21"/>
        </w:rPr>
        <w:t>FORMAL RULE.</w:t>
      </w:r>
      <w:r>
        <w:rPr>
          <w:rFonts w:ascii="Arial" w:hAnsi="Arial"/>
          <w:b w:val="0"/>
          <w:i w:val="0"/>
          <w:color w:val="1E242A"/>
          <w:sz w:val="21"/>
        </w:rPr>
        <w:t xml:space="preserve"> </w:t>
      </w:r>
      <w:hyperlink r:id="rId88">
        <w:r>
          <w:rPr>
            <w:color w:val="2C5F80"/>
            <w:u w:val="single"/>
            <w:rFonts w:ascii="Arial" w:hAnsi="Arial"/>
            <w:sz w:val="21"/>
          </w:rPr>
          <w:t>Law 9,883 of 1999</w:t>
        </w:r>
      </w:hyperlink>
      <w:r>
        <w:rPr>
          <w:rFonts w:ascii="Arial" w:hAnsi="Arial"/>
          <w:b w:val="0"/>
          <w:i w:val="0"/>
          <w:color w:val="1E242A"/>
          <w:sz w:val="21"/>
        </w:rPr>
        <w:t xml:space="preserve"> creates SISBIN and ABIN. Intelligence means obtaining, analysing and disseminating knowledge inside and outside Brazil relevant to executive decisions and the security of state and society. ABIN plans, executes, coordinates and supervises intelligence, protects sensitive knowledge and assesses threats.</w:t>
      </w:r>
    </w:p>
    <w:p>
      <w:r>
        <w:rPr>
          <w:rFonts w:ascii="Arial" w:hAnsi="Arial"/>
          <w:b w:val="0"/>
          <w:i w:val="0"/>
          <w:color w:val="1E242A"/>
          <w:sz w:val="21"/>
        </w:rPr>
        <w:t>The statute does not give ABIN arrest, criminal search, charging or prosecutorial power. The strongest support for this conclusion is the exhaustive statutory functions combined with the constitutional and criminal-procedure allocation of coercion. When intelligence indicates a crime, ABIN must pass material through lawful channels to PF, another police body, a regulator or prosecutor; that institution establishes its own jurisdiction and evidential route.</w:t>
      </w:r>
    </w:p>
    <w:p>
      <w:pPr>
        <w:pStyle w:val="Heading2"/>
      </w:pPr>
      <w:r>
        <w:rPr>
          <w:rFonts w:ascii="Arial" w:hAnsi="Arial"/>
          <w:b w:val="0"/>
          <w:i w:val="0"/>
          <w:color w:val="2C5F80"/>
          <w:sz w:val="27"/>
        </w:rPr>
        <w:t>8.2 Presidential tasking and institutional safeguards</w:t>
      </w:r>
    </w:p>
    <w:p>
      <w:r>
        <w:rPr>
          <w:rFonts w:ascii="Arial" w:hAnsi="Arial"/>
          <w:b w:val="0"/>
          <w:i w:val="0"/>
          <w:color w:val="1E242A"/>
          <w:sz w:val="21"/>
        </w:rPr>
        <w:t>The President establishes the National Intelligence Policy after it is submitted to Congress's external-control body for examination and suggestions. The President nominates the ABIN Director-General, but Senate approval must precede appointment. The President can request strategic assessments and set lawful priorities; personal or partisan surveillance is not a lawful priority.</w:t>
      </w:r>
    </w:p>
    <w:p>
      <w:r>
        <w:rPr>
          <w:rFonts w:ascii="Arial" w:hAnsi="Arial"/>
          <w:b w:val="0"/>
          <w:i w:val="0"/>
          <w:color w:val="1E242A"/>
          <w:sz w:val="21"/>
        </w:rPr>
        <w:t xml:space="preserve">ABIN moved from the GSI to civilian supervision in the Casa Civil on 1 March 2023. </w:t>
      </w:r>
      <w:hyperlink r:id="rId89">
        <w:r>
          <w:rPr>
            <w:color w:val="2C5F80"/>
            <w:u w:val="single"/>
            <w:rFonts w:ascii="Arial" w:hAnsi="Arial"/>
            <w:sz w:val="21"/>
          </w:rPr>
          <w:t>Decree 11,816 of 2023</w:t>
        </w:r>
      </w:hyperlink>
      <w:r>
        <w:rPr>
          <w:rFonts w:ascii="Arial" w:hAnsi="Arial"/>
          <w:b w:val="0"/>
          <w:i w:val="0"/>
          <w:color w:val="1E242A"/>
          <w:sz w:val="21"/>
        </w:rPr>
        <w:t xml:space="preserve"> supplies the current regimental structure. This is an institutional breakpoint: historical scenarios should not silently use the present placement.</w:t>
      </w:r>
    </w:p>
    <w:p>
      <w:hyperlink r:id="rId90">
        <w:r>
          <w:rPr>
            <w:color w:val="2C5F80"/>
            <w:u w:val="single"/>
            <w:rFonts w:ascii="Arial" w:hAnsi="Arial"/>
            <w:sz w:val="21"/>
          </w:rPr>
          <w:t>Decree 11,693 of 2023</w:t>
        </w:r>
      </w:hyperlink>
      <w:r>
        <w:rPr>
          <w:rFonts w:ascii="Arial" w:hAnsi="Arial"/>
          <w:b w:val="0"/>
          <w:i w:val="0"/>
          <w:color w:val="1E242A"/>
          <w:sz w:val="21"/>
        </w:rPr>
        <w:t xml:space="preserve"> reorganises SISBIN as a cooperative system. ABIN is the central body, but members retain functional autonomy. PF, Receita, defence bodies and state participants do not lend all their powers to ABIN merely by sharing intelligence.</w:t>
      </w:r>
    </w:p>
    <w:p>
      <w:r>
        <w:rPr>
          <w:rFonts w:ascii="Arial" w:hAnsi="Arial"/>
          <w:b w:val="0"/>
          <w:i w:val="0"/>
          <w:color w:val="1E242A"/>
          <w:sz w:val="21"/>
        </w:rPr>
        <w:t xml:space="preserve">Congress oversees intelligence through the CCAI under </w:t>
      </w:r>
      <w:hyperlink r:id="rId91">
        <w:r>
          <w:rPr>
            <w:color w:val="2C5F80"/>
            <w:u w:val="single"/>
            <w:rFonts w:ascii="Arial" w:hAnsi="Arial"/>
            <w:sz w:val="21"/>
          </w:rPr>
          <w:t>Congressional Resolution 2 of 2013</w:t>
        </w:r>
      </w:hyperlink>
      <w:r>
        <w:rPr>
          <w:rFonts w:ascii="Arial" w:hAnsi="Arial"/>
          <w:b w:val="0"/>
          <w:i w:val="0"/>
          <w:color w:val="1E242A"/>
          <w:sz w:val="21"/>
        </w:rPr>
        <w:t xml:space="preserve">; internal control, TCU and courts also matter. In </w:t>
      </w:r>
      <w:hyperlink r:id="rId92">
        <w:r>
          <w:rPr>
            <w:color w:val="2C5F80"/>
            <w:u w:val="single"/>
            <w:rFonts w:ascii="Arial" w:hAnsi="Arial"/>
            <w:sz w:val="21"/>
          </w:rPr>
          <w:t>ADI 6,529</w:t>
        </w:r>
      </w:hyperlink>
      <w:r>
        <w:rPr>
          <w:rFonts w:ascii="Arial" w:hAnsi="Arial"/>
          <w:b w:val="0"/>
          <w:i w:val="0"/>
          <w:color w:val="1E242A"/>
          <w:sz w:val="21"/>
        </w:rPr>
        <w:t>, the STF required demonstrated public interest, motivated requests capable of judicial review, formal procedures and secure access records; information subject to constitutional judicial reservation cannot simply be shared into the system.</w:t>
      </w:r>
    </w:p>
    <w:p>
      <w:pPr>
        <w:pStyle w:val="Heading2"/>
      </w:pPr>
      <w:r>
        <w:rPr>
          <w:rFonts w:ascii="Arial" w:hAnsi="Arial"/>
          <w:b w:val="0"/>
          <w:i w:val="0"/>
          <w:color w:val="2C5F80"/>
          <w:sz w:val="27"/>
        </w:rPr>
        <w:t>8.3 Abuse risk and independent accountability</w:t>
      </w:r>
    </w:p>
    <w:p>
      <w:r>
        <w:rPr>
          <w:rFonts w:ascii="Arial" w:hAnsi="Arial"/>
          <w:b/>
          <w:i w:val="0"/>
          <w:color w:val="1E242A"/>
          <w:sz w:val="21"/>
        </w:rPr>
        <w:t>HISTORICAL EXPERIENCE WITH UNRESOLVED ALLEGATIONS.</w:t>
      </w:r>
      <w:r>
        <w:rPr>
          <w:rFonts w:ascii="Arial" w:hAnsi="Arial"/>
          <w:b w:val="0"/>
          <w:i w:val="0"/>
          <w:color w:val="1E242A"/>
          <w:sz w:val="21"/>
        </w:rPr>
        <w:t xml:space="preserve"> In the First Mile investigation, the PF alleged unlawful monitoring within ABIN for a political nucleus. The </w:t>
      </w:r>
      <w:hyperlink r:id="rId93">
        <w:r>
          <w:rPr>
            <w:color w:val="2C5F80"/>
            <w:u w:val="single"/>
            <w:rFonts w:ascii="Arial" w:hAnsi="Arial"/>
            <w:sz w:val="21"/>
          </w:rPr>
          <w:t>STF's official account of court-authorised arrests and searches</w:t>
        </w:r>
      </w:hyperlink>
      <w:r>
        <w:rPr>
          <w:rFonts w:ascii="Arial" w:hAnsi="Arial"/>
          <w:b w:val="0"/>
          <w:i w:val="0"/>
          <w:color w:val="1E242A"/>
          <w:sz w:val="21"/>
        </w:rPr>
        <w:t xml:space="preserve"> demonstrates two truths: proximity to the Presidency creates abuse risk, and PF, PGR and STF can investigate ABIN independently. Allegations should not be encoded as adjudicated facts.</w:t>
      </w:r>
    </w:p>
    <w:p>
      <w:pPr>
        <w:pStyle w:val="Heading1"/>
      </w:pPr>
      <w:r>
        <w:rPr>
          <w:rFonts w:ascii="Arial" w:hAnsi="Arial"/>
          <w:b w:val="0"/>
          <w:i w:val="0"/>
          <w:color w:val="183752"/>
          <w:sz w:val="34"/>
        </w:rPr>
        <w:t>9 Border security and transnational crime</w:t>
      </w:r>
    </w:p>
    <w:p>
      <w:pPr>
        <w:pStyle w:val="Heading2"/>
      </w:pPr>
      <w:r>
        <w:rPr>
          <w:rFonts w:ascii="Arial" w:hAnsi="Arial"/>
          <w:b w:val="0"/>
          <w:i w:val="0"/>
          <w:color w:val="2C5F80"/>
          <w:sz w:val="27"/>
        </w:rPr>
        <w:t>9.1 Functional division at borders ports and airports</w:t>
      </w:r>
    </w:p>
    <w:p>
      <w:r>
        <w:rPr>
          <w:rFonts w:ascii="Arial" w:hAnsi="Arial"/>
          <w:b w:val="0"/>
          <w:i w:val="0"/>
          <w:color w:val="1E242A"/>
          <w:sz w:val="21"/>
        </w:rPr>
        <w:t xml:space="preserve">PF is constitutionally responsible for maritime, airport and border police and carries out migration control under </w:t>
      </w:r>
      <w:hyperlink r:id="rId94">
        <w:r>
          <w:rPr>
            <w:color w:val="2C5F80"/>
            <w:u w:val="single"/>
            <w:rFonts w:ascii="Arial" w:hAnsi="Arial"/>
            <w:sz w:val="21"/>
          </w:rPr>
          <w:t>Law 13,445 of 2017</w:t>
        </w:r>
      </w:hyperlink>
      <w:r>
        <w:rPr>
          <w:rFonts w:ascii="Arial" w:hAnsi="Arial"/>
          <w:b w:val="0"/>
          <w:i w:val="0"/>
          <w:color w:val="1E242A"/>
          <w:sz w:val="21"/>
        </w:rPr>
        <w:t xml:space="preserve">. Receita Federal administers customs, taxation and inspection across customs territory under the </w:t>
      </w:r>
      <w:hyperlink r:id="rId95">
        <w:r>
          <w:rPr>
            <w:color w:val="2C5F80"/>
            <w:u w:val="single"/>
            <w:rFonts w:ascii="Arial" w:hAnsi="Arial"/>
            <w:sz w:val="21"/>
          </w:rPr>
          <w:t>Customs Regulation</w:t>
        </w:r>
      </w:hyperlink>
      <w:r>
        <w:rPr>
          <w:rFonts w:ascii="Arial" w:hAnsi="Arial"/>
          <w:b w:val="0"/>
          <w:i w:val="0"/>
          <w:color w:val="1E242A"/>
          <w:sz w:val="21"/>
        </w:rPr>
        <w:t>. PRF patrols federal highways, including corridors feeding border crossings. The Navy exercises maritime authority. State police retain state crime and public-order functions. Port and airport operators and regulators have security obligations but do not replace PF criminal or migration jurisdiction or Receita customs jurisdiction.</w:t>
      </w:r>
    </w:p>
    <w:p>
      <w:r>
        <w:rPr>
          <w:rFonts w:ascii="Arial" w:hAnsi="Arial"/>
          <w:b/>
          <w:i w:val="0"/>
          <w:color w:val="1E242A"/>
          <w:sz w:val="21"/>
        </w:rPr>
        <w:t>FORMAL RULE.</w:t>
      </w:r>
      <w:r>
        <w:rPr>
          <w:rFonts w:ascii="Arial" w:hAnsi="Arial"/>
          <w:b w:val="0"/>
          <w:i w:val="0"/>
          <w:color w:val="1E242A"/>
          <w:sz w:val="21"/>
        </w:rPr>
        <w:t xml:space="preserve"> </w:t>
      </w:r>
      <w:hyperlink r:id="rId28">
        <w:r>
          <w:rPr>
            <w:color w:val="2C5F80"/>
            <w:u w:val="single"/>
            <w:rFonts w:ascii="Arial" w:hAnsi="Arial"/>
            <w:sz w:val="21"/>
          </w:rPr>
          <w:t>Complementary Law 97 of 1999</w:t>
        </w:r>
      </w:hyperlink>
      <w:r>
        <w:rPr>
          <w:rFonts w:ascii="Arial" w:hAnsi="Arial"/>
          <w:b w:val="0"/>
          <w:i w:val="0"/>
          <w:color w:val="1E242A"/>
          <w:sz w:val="21"/>
        </w:rPr>
        <w:t>, article 16-A, gives the Armed Forces standing subsidiary preventive and repressive powers in the border strip, sea and inland waters against cross-border and environmental offences. They may patrol, search persons, vehicles, vessels and aircraft and arrest in flagrante, but the law preserves exclusive judicial-police functions: evidence and detainees pass to the competent criminal-justice body. This is distinct from GLO and does not require a prior declaration that article 144 forces are exhausted.</w:t>
      </w:r>
    </w:p>
    <w:p>
      <w:pPr>
        <w:pStyle w:val="Heading2"/>
      </w:pPr>
      <w:r>
        <w:rPr>
          <w:rFonts w:ascii="Arial" w:hAnsi="Arial"/>
          <w:b w:val="0"/>
          <w:i w:val="0"/>
          <w:color w:val="2C5F80"/>
          <w:sz w:val="27"/>
        </w:rPr>
        <w:t>9.2 Coordination instruments</w:t>
      </w:r>
    </w:p>
    <w:p>
      <w:r>
        <w:rPr>
          <w:rFonts w:ascii="Arial" w:hAnsi="Arial"/>
          <w:b/>
          <w:i w:val="0"/>
          <w:color w:val="1E242A"/>
          <w:sz w:val="21"/>
        </w:rPr>
        <w:t>GOVERNMENT ACTION INSTRUMENT.</w:t>
      </w:r>
      <w:r>
        <w:rPr>
          <w:rFonts w:ascii="Arial" w:hAnsi="Arial"/>
          <w:b w:val="0"/>
          <w:i w:val="0"/>
          <w:color w:val="1E242A"/>
          <w:sz w:val="21"/>
        </w:rPr>
        <w:t xml:space="preserve"> The President and ministers can resource agencies, set categories and places for emphasis, direct integrated federal operations, negotiate cooperation with states and neighbouring countries, improve scanners and information systems, and seek legislation or appropriations. </w:t>
      </w:r>
      <w:hyperlink r:id="rId96">
        <w:r>
          <w:rPr>
            <w:color w:val="2C5F80"/>
            <w:u w:val="single"/>
            <w:rFonts w:ascii="Arial" w:hAnsi="Arial"/>
            <w:sz w:val="21"/>
          </w:rPr>
          <w:t>Operation Ágata</w:t>
        </w:r>
      </w:hyperlink>
      <w:r>
        <w:rPr>
          <w:rFonts w:ascii="Arial" w:hAnsi="Arial"/>
          <w:b w:val="0"/>
          <w:i w:val="0"/>
          <w:color w:val="1E242A"/>
          <w:sz w:val="21"/>
        </w:rPr>
        <w:t xml:space="preserve"> and the Integrated Border Protection Programme coordinate time- and area-bounded activity by Armed Forces, PF, PRF, Receita, environmental and Indigenous agencies and state forces, each within competence. CONPORTOS, chaired through the PF/MJSP structure, coordinates port-security standards rather than serving as a unitary port police.</w:t>
      </w:r>
    </w:p>
    <w:p>
      <w:r>
        <w:rPr>
          <w:rFonts w:ascii="Arial" w:hAnsi="Arial"/>
          <w:b w:val="0"/>
          <w:i w:val="0"/>
          <w:color w:val="1E242A"/>
          <w:sz w:val="21"/>
        </w:rPr>
        <w:t>Drug and arms interdiction can begin with overt seizure but often requires financial investigation, controlled delivery, foreign liaison, mutual legal assistance, extradition and parallel proceedings. International police liaison can be operational; formal extradition and evidence transfer engage treaties, the executive's foreign-affairs machinery, prosecutors and courts. A presidential announcement cannot substitute for a foreign state's lawful process.</w:t>
      </w:r>
    </w:p>
    <w:p>
      <w:pPr>
        <w:pStyle w:val="Heading2"/>
      </w:pPr>
      <w:r>
        <w:rPr>
          <w:rFonts w:ascii="Arial" w:hAnsi="Arial"/>
          <w:b w:val="0"/>
          <w:i w:val="0"/>
          <w:color w:val="2C5F80"/>
          <w:sz w:val="27"/>
        </w:rPr>
        <w:t>9.3 Adaptation risk</w:t>
      </w:r>
    </w:p>
    <w:p>
      <w:r>
        <w:rPr>
          <w:rFonts w:ascii="Arial" w:hAnsi="Arial"/>
          <w:b w:val="0"/>
          <w:i w:val="0"/>
          <w:color w:val="1E242A"/>
          <w:sz w:val="21"/>
        </w:rPr>
        <w:t>Pressure on one crossing, port or route can displace flows toward another corridor, mode, intermediary or neighbouring jurisdiction. This is an evidence-supported possibility, not a deterministic rule. Border strategy therefore involves intelligence and financial follow-through as well as seizure totals.</w:t>
      </w:r>
    </w:p>
    <w:p>
      <w:pPr>
        <w:pStyle w:val="Heading1"/>
      </w:pPr>
      <w:r>
        <w:rPr>
          <w:rFonts w:ascii="Arial" w:hAnsi="Arial"/>
          <w:b w:val="0"/>
          <w:i w:val="0"/>
          <w:color w:val="183752"/>
          <w:sz w:val="34"/>
        </w:rPr>
        <w:t>10 Prisons corrections and criminal command</w:t>
      </w:r>
    </w:p>
    <w:p>
      <w:pPr>
        <w:pStyle w:val="Heading2"/>
      </w:pPr>
      <w:r>
        <w:rPr>
          <w:rFonts w:ascii="Arial" w:hAnsi="Arial"/>
          <w:b w:val="0"/>
          <w:i w:val="0"/>
          <w:color w:val="2C5F80"/>
          <w:sz w:val="27"/>
        </w:rPr>
        <w:t>10.1 State responsibility and federal role</w:t>
      </w:r>
    </w:p>
    <w:p>
      <w:r>
        <w:rPr>
          <w:rFonts w:ascii="Arial" w:hAnsi="Arial"/>
          <w:b w:val="0"/>
          <w:i w:val="0"/>
          <w:color w:val="1E242A"/>
          <w:sz w:val="21"/>
        </w:rPr>
        <w:t xml:space="preserve">State systems hold the overwhelming majority of prisoners. SENAPPEN is a direct-administration body in MJSP that coordinates national penal policy, manages FUNPEN, consolidates data, supports and inspects subnational systems, oversees the federal penitentiary system and Federal Penal Police. Its </w:t>
      </w:r>
      <w:hyperlink r:id="rId97">
        <w:r>
          <w:rPr>
            <w:color w:val="2C5F80"/>
            <w:u w:val="single"/>
            <w:rFonts w:ascii="Arial" w:hAnsi="Arial"/>
            <w:sz w:val="21"/>
          </w:rPr>
          <w:t>official institutional description</w:t>
        </w:r>
      </w:hyperlink>
      <w:r>
        <w:rPr>
          <w:rFonts w:ascii="Arial" w:hAnsi="Arial"/>
          <w:b w:val="0"/>
          <w:i w:val="0"/>
          <w:color w:val="1E242A"/>
          <w:sz w:val="21"/>
        </w:rPr>
        <w:t xml:space="preserve"> reflects the 2023 transition from DEPEN; older statutes may still use the predecessor name.</w:t>
      </w:r>
    </w:p>
    <w:p>
      <w:r>
        <w:rPr>
          <w:rFonts w:ascii="Arial" w:hAnsi="Arial"/>
          <w:b w:val="0"/>
          <w:i w:val="0"/>
          <w:color w:val="1E242A"/>
          <w:sz w:val="21"/>
        </w:rPr>
        <w:t>Federal influence normally operates through standards, data, inspection, technical support, transfers, prison intelligence, funding and the small federal system, not command of state prisons. A President cannot personally select a state prisoner for federal placement.</w:t>
      </w:r>
    </w:p>
    <w:p>
      <w:pPr>
        <w:pStyle w:val="Heading2"/>
      </w:pPr>
      <w:r>
        <w:rPr>
          <w:rFonts w:ascii="Arial" w:hAnsi="Arial"/>
          <w:b w:val="0"/>
          <w:i w:val="0"/>
          <w:color w:val="2C5F80"/>
          <w:sz w:val="27"/>
        </w:rPr>
        <w:t>10.2 Federal transfer procedure</w:t>
      </w:r>
    </w:p>
    <w:p>
      <w:r>
        <w:rPr>
          <w:rFonts w:ascii="Arial" w:hAnsi="Arial"/>
          <w:b/>
          <w:i w:val="0"/>
          <w:color w:val="1E242A"/>
          <w:sz w:val="21"/>
        </w:rPr>
        <w:t>FORMAL RULE.</w:t>
      </w:r>
      <w:r>
        <w:rPr>
          <w:rFonts w:ascii="Arial" w:hAnsi="Arial"/>
          <w:b w:val="0"/>
          <w:i w:val="0"/>
          <w:color w:val="1E242A"/>
          <w:sz w:val="21"/>
        </w:rPr>
        <w:t xml:space="preserve"> </w:t>
      </w:r>
      <w:hyperlink r:id="rId98">
        <w:r>
          <w:rPr>
            <w:color w:val="2C5F80"/>
            <w:u w:val="single"/>
            <w:rFonts w:ascii="Arial" w:hAnsi="Arial"/>
            <w:sz w:val="21"/>
          </w:rPr>
          <w:t>Law 11,671 of 2008</w:t>
        </w:r>
      </w:hyperlink>
      <w:r>
        <w:rPr>
          <w:rFonts w:ascii="Arial" w:hAnsi="Arial"/>
          <w:b w:val="0"/>
          <w:i w:val="0"/>
          <w:color w:val="1E242A"/>
          <w:sz w:val="21"/>
        </w:rPr>
        <w:t xml:space="preserve"> and </w:t>
      </w:r>
      <w:hyperlink r:id="rId99">
        <w:r>
          <w:rPr>
            <w:color w:val="2C5F80"/>
            <w:u w:val="single"/>
            <w:rFonts w:ascii="Arial" w:hAnsi="Arial"/>
            <w:sz w:val="21"/>
          </w:rPr>
          <w:t>Decree 6,877 of 2009</w:t>
        </w:r>
      </w:hyperlink>
      <w:r>
        <w:rPr>
          <w:rFonts w:ascii="Arial" w:hAnsi="Arial"/>
          <w:b w:val="0"/>
          <w:i w:val="0"/>
          <w:color w:val="1E242A"/>
          <w:sz w:val="21"/>
        </w:rPr>
        <w:t xml:space="preserve"> make federal admission exceptional and temporary where public security or the prisoner's safety requires it. An administrative authority, the MP or the prisoner may initiate; the origin judge assesses necessity; a federal judge gives the prior, reasoned admission decision. Urgent immediate transfer is possible, followed by procedure and review. Criteria include criminal-organisation leadership, RDD status, repeated serious violence, escape or grave indiscipline and threats to a collaborator.</w:t>
      </w:r>
    </w:p>
    <w:p>
      <w:r>
        <w:rPr>
          <w:rFonts w:ascii="Arial" w:hAnsi="Arial"/>
          <w:b w:val="0"/>
          <w:i w:val="0"/>
          <w:color w:val="1E242A"/>
          <w:sz w:val="21"/>
        </w:rPr>
        <w:t>Placement is generally up to three years and renewable for equal periods on a reasoned request by the origin court if grounds persist. If renewal is not timely sought, the origin must receive the prisoner back; a pending conflict can leave the prisoner federally held until decision. The chain therefore includes state or prosecutorial initiative, two judicial roles, SENAPPEN capacity and periodic justification.</w:t>
      </w:r>
    </w:p>
    <w:p>
      <w:r>
        <w:rPr>
          <w:rFonts w:ascii="Arial" w:hAnsi="Arial"/>
          <w:b w:val="0"/>
          <w:i w:val="0"/>
          <w:color w:val="1E242A"/>
          <w:sz w:val="21"/>
        </w:rPr>
        <w:t xml:space="preserve">Federal baseline conditions include individual cells, tightly controlled and recorded visits and monitored communications, with protected treatment of lawyer meetings absent express judicial authority. The federal baseline is not identical to the differentiated disciplinary regime, RDD, under </w:t>
      </w:r>
      <w:hyperlink r:id="rId100">
        <w:r>
          <w:rPr>
            <w:color w:val="2C5F80"/>
            <w:u w:val="single"/>
            <w:rFonts w:ascii="Arial" w:hAnsi="Arial"/>
            <w:sz w:val="21"/>
          </w:rPr>
          <w:t>Penal Execution Law 7,210</w:t>
        </w:r>
      </w:hyperlink>
      <w:r>
        <w:rPr>
          <w:rFonts w:ascii="Arial" w:hAnsi="Arial"/>
          <w:b w:val="0"/>
          <w:i w:val="0"/>
          <w:color w:val="1E242A"/>
          <w:sz w:val="21"/>
        </w:rPr>
        <w:t>. Federal custody and RDD must not be encoded as synonyms.</w:t>
      </w:r>
    </w:p>
    <w:p>
      <w:pPr>
        <w:pStyle w:val="Heading2"/>
      </w:pPr>
      <w:r>
        <w:rPr>
          <w:rFonts w:ascii="Arial" w:hAnsi="Arial"/>
          <w:b w:val="0"/>
          <w:i w:val="0"/>
          <w:color w:val="2C5F80"/>
          <w:sz w:val="27"/>
        </w:rPr>
        <w:t>10.3 The prison command problem</w:t>
      </w:r>
    </w:p>
    <w:p>
      <w:r>
        <w:rPr>
          <w:rFonts w:ascii="Arial" w:hAnsi="Arial"/>
          <w:b/>
          <w:i w:val="0"/>
          <w:color w:val="1E242A"/>
          <w:sz w:val="21"/>
        </w:rPr>
        <w:t>HISTORICAL EXPERIENCE.</w:t>
      </w:r>
      <w:r>
        <w:rPr>
          <w:rFonts w:ascii="Arial" w:hAnsi="Arial"/>
          <w:b w:val="0"/>
          <w:i w:val="0"/>
          <w:color w:val="1E242A"/>
          <w:sz w:val="21"/>
        </w:rPr>
        <w:t xml:space="preserve"> Academic research describes PCC power as a prison-street network with internal rule-making, dispute resolution and market governance, rather than a conventional hierarchy wholly dependent on one leader. Lessing and Willis's </w:t>
      </w:r>
      <w:hyperlink r:id="rId101">
        <w:r>
          <w:rPr>
            <w:color w:val="2C5F80"/>
            <w:u w:val="single"/>
            <w:rFonts w:ascii="Arial" w:hAnsi="Arial"/>
            <w:sz w:val="21"/>
          </w:rPr>
          <w:t>research on criminal governance</w:t>
        </w:r>
      </w:hyperlink>
      <w:r>
        <w:rPr>
          <w:rFonts w:ascii="Arial" w:hAnsi="Arial"/>
          <w:b w:val="0"/>
          <w:i w:val="0"/>
          <w:color w:val="1E242A"/>
          <w:sz w:val="21"/>
        </w:rPr>
        <w:t xml:space="preserve"> finds that legitimacy and a depersonalised organisation can sustain command from prison. Isolation, RDD and communication restrictions may disrupt coordination but do not prove organisational collapse. Transfers can also diffuse networks or recruitment.</w:t>
      </w:r>
    </w:p>
    <w:p>
      <w:r>
        <w:rPr>
          <w:rFonts w:ascii="Arial" w:hAnsi="Arial"/>
          <w:b w:val="0"/>
          <w:i w:val="0"/>
          <w:color w:val="1E242A"/>
          <w:sz w:val="21"/>
        </w:rPr>
        <w:t>Plausible state instruments include case-by-case federal transfer, RDD applications, lawful communications controls, staff integrity measures, state prison reform, penal intelligence, data sharing and federal technical or FUNPEN support. Most underlying prison administration remains state-dependent.</w:t>
      </w:r>
    </w:p>
    <w:p>
      <w:pPr>
        <w:pStyle w:val="Heading1"/>
      </w:pPr>
      <w:r>
        <w:rPr>
          <w:rFonts w:ascii="Arial" w:hAnsi="Arial"/>
          <w:b w:val="0"/>
          <w:i w:val="0"/>
          <w:color w:val="183752"/>
          <w:sz w:val="34"/>
        </w:rPr>
        <w:t>11 Armed Forces in domestic security</w:t>
      </w:r>
    </w:p>
    <w:p>
      <w:pPr>
        <w:pStyle w:val="Heading2"/>
      </w:pPr>
      <w:r>
        <w:rPr>
          <w:rFonts w:ascii="Arial" w:hAnsi="Arial"/>
          <w:b w:val="0"/>
          <w:i w:val="0"/>
          <w:color w:val="2C5F80"/>
          <w:sz w:val="27"/>
        </w:rPr>
        <w:t>11.1 Civilian command and limits</w:t>
      </w:r>
    </w:p>
    <w:p>
      <w:r>
        <w:rPr>
          <w:rFonts w:ascii="Arial" w:hAnsi="Arial"/>
          <w:b/>
          <w:i w:val="0"/>
          <w:color w:val="1E242A"/>
          <w:sz w:val="21"/>
        </w:rPr>
        <w:t>FORMAL RULE.</w:t>
      </w:r>
      <w:r>
        <w:rPr>
          <w:rFonts w:ascii="Arial" w:hAnsi="Arial"/>
          <w:b w:val="0"/>
          <w:i w:val="0"/>
          <w:color w:val="1E242A"/>
          <w:sz w:val="21"/>
        </w:rPr>
        <w:t xml:space="preserve"> Constitution article 142 places the Armed Forces under the President's supreme authority; article 84 makes the President commander-in-chief. Complementary Law 97 provides the operational chain: service commands are subordinate to the Defence Minister; the President decides employment after the prescribed advice or request; activation and operational command run through the Defence Ministry and designated commands. Strategic authority is not personal tactical command.</w:t>
      </w:r>
    </w:p>
    <w:p>
      <w:r>
        <w:rPr>
          <w:rFonts w:ascii="Arial" w:hAnsi="Arial"/>
          <w:b w:val="0"/>
          <w:i w:val="0"/>
          <w:color w:val="1E242A"/>
          <w:sz w:val="21"/>
        </w:rPr>
        <w:t xml:space="preserve">In </w:t>
      </w:r>
      <w:hyperlink r:id="rId29">
        <w:r>
          <w:rPr>
            <w:color w:val="2C5F80"/>
            <w:u w:val="single"/>
            <w:rFonts w:ascii="Arial" w:hAnsi="Arial"/>
            <w:sz w:val="21"/>
          </w:rPr>
          <w:t>ADI 6,457</w:t>
        </w:r>
      </w:hyperlink>
      <w:r>
        <w:rPr>
          <w:rFonts w:ascii="Arial" w:hAnsi="Arial"/>
          <w:b w:val="0"/>
          <w:i w:val="0"/>
          <w:color w:val="1E242A"/>
          <w:sz w:val="21"/>
        </w:rPr>
        <w:t>, decided unanimously in April 2024, the STF held that the Armed Forces have no constitutional moderating power and cannot be used for improper interference among the branches. This confirms Pass 1 and is a durable constitutional constraint.</w:t>
      </w:r>
    </w:p>
    <w:p>
      <w:pPr>
        <w:pStyle w:val="Heading2"/>
      </w:pPr>
      <w:r>
        <w:rPr>
          <w:rFonts w:ascii="Arial" w:hAnsi="Arial"/>
          <w:b w:val="0"/>
          <w:i w:val="0"/>
          <w:color w:val="2C5F80"/>
          <w:sz w:val="27"/>
        </w:rPr>
        <w:t>11.2 GLO</w:t>
      </w:r>
    </w:p>
    <w:p>
      <w:r>
        <w:rPr>
          <w:rFonts w:ascii="Arial" w:hAnsi="Arial"/>
          <w:b/>
          <w:i w:val="0"/>
          <w:color w:val="1E242A"/>
          <w:sz w:val="21"/>
        </w:rPr>
        <w:t>FORMAL RULE.</w:t>
      </w:r>
      <w:r>
        <w:rPr>
          <w:rFonts w:ascii="Arial" w:hAnsi="Arial"/>
          <w:b w:val="0"/>
          <w:i w:val="0"/>
          <w:color w:val="1E242A"/>
          <w:sz w:val="21"/>
        </w:rPr>
        <w:t xml:space="preserve"> GLO rests on article 142 and Complementary Law 97, article 15. The President decides employment on the President's initiative or a request formally conveyed by the presidents of the STF, Senate or Chamber for their constitutional sphere. A GLO requires the ordinary article 144 instruments to be formally recognised by the competent federal or state executive head as unavailable, nonexistent or insufficient. It must be episodic, in a predetermined area and for limited time.</w:t>
      </w:r>
    </w:p>
    <w:p>
      <w:r>
        <w:rPr>
          <w:rFonts w:ascii="Arial" w:hAnsi="Arial"/>
          <w:b w:val="0"/>
          <w:i w:val="0"/>
          <w:color w:val="1E242A"/>
          <w:sz w:val="21"/>
        </w:rPr>
        <w:t>Operational control over necessary public-security bodies can be transferred by formal act to assign and coordinate tasks, but each body retains its legal competence. A GLO therefore does not transform soldiers into general criminal investigators, abolish gubernatorial institutions or suspend constitutional rights. Rules of engagement are mission-specific within constitutional, statutory and use-of-force constraints; they should not be assumed from a single universal public manual.</w:t>
      </w:r>
    </w:p>
    <w:p>
      <w:r>
        <w:rPr>
          <w:rFonts w:ascii="Arial" w:hAnsi="Arial"/>
          <w:b w:val="0"/>
          <w:i w:val="0"/>
          <w:color w:val="1E242A"/>
          <w:sz w:val="21"/>
        </w:rPr>
        <w:t>Complementary Law 97 classifies service conduct in GLO and specified subsidiary operations as military activity for military-jurisdiction purposes. This affects forum for crimes defined as military but is not immunity from criminal, civil, administrative or human-rights liability.</w:t>
      </w:r>
    </w:p>
    <w:p>
      <w:pPr>
        <w:pStyle w:val="Heading1"/>
      </w:pPr>
      <w:r>
        <w:rPr>
          <w:rFonts w:ascii="Arial" w:hAnsi="Arial"/>
          <w:b w:val="0"/>
          <w:i w:val="0"/>
          <w:color w:val="183752"/>
          <w:sz w:val="34"/>
        </w:rPr>
        <w:t>12 GLO federal intervention state of defence and state of siege</w:t>
      </w:r>
    </w:p>
    <w:tbl>
      <w:tblPr>
        <w:tblW w:type="dxa" w:w="9360"/>
        <w:jc w:val="center"/>
        <w:tblLayout w:type="fixed"/>
        <w:tblLook w:firstColumn="1" w:firstRow="1" w:lastColumn="0" w:lastRow="0" w:noHBand="0" w:noVBand="1" w:val="04A0"/>
        <w:tblInd w:type="dxa" w:w="120"/>
      </w:tblPr>
      <w:tblGrid>
        <w:gridCol w:w="1152"/>
        <w:gridCol w:w="2376"/>
        <w:gridCol w:w="3096"/>
        <w:gridCol w:w="2736"/>
      </w:tblGrid>
      <w:tr>
        <w:trPr>
          <w:tblHeader w:val="true"/>
          <w:cantSplit/>
        </w:trPr>
        <w:tc>
          <w:tcPr>
            <w:tcW w:type="dxa" w:w="1152"/>
            <w:vAlign w:val="top"/>
            <w:shd w:fill="EAF1F5"/>
          </w:tcPr>
          <w:p>
            <w:r/>
            <w:r>
              <w:rPr>
                <w:rFonts w:ascii="Arial" w:hAnsi="Arial"/>
                <w:b w:val="0"/>
                <w:i w:val="0"/>
                <w:color w:val="183752"/>
                <w:sz w:val="16"/>
              </w:rPr>
              <w:t>Mechanism</w:t>
            </w:r>
          </w:p>
        </w:tc>
        <w:tc>
          <w:tcPr>
            <w:tcW w:type="dxa" w:w="2376"/>
            <w:vAlign w:val="top"/>
            <w:shd w:fill="EAF1F5"/>
          </w:tcPr>
          <w:p>
            <w:r/>
            <w:r>
              <w:rPr>
                <w:rFonts w:ascii="Arial" w:hAnsi="Arial"/>
                <w:b w:val="0"/>
                <w:i w:val="0"/>
                <w:color w:val="183752"/>
                <w:sz w:val="16"/>
              </w:rPr>
              <w:t>Trigger and initiation</w:t>
            </w:r>
          </w:p>
        </w:tc>
        <w:tc>
          <w:tcPr>
            <w:tcW w:type="dxa" w:w="3096"/>
            <w:vAlign w:val="top"/>
            <w:shd w:fill="EAF1F5"/>
          </w:tcPr>
          <w:p>
            <w:r/>
            <w:r>
              <w:rPr>
                <w:rFonts w:ascii="Arial" w:hAnsi="Arial"/>
                <w:b w:val="0"/>
                <w:i w:val="0"/>
                <w:color w:val="183752"/>
                <w:sz w:val="16"/>
              </w:rPr>
              <w:t>Congress and duration</w:t>
            </w:r>
          </w:p>
        </w:tc>
        <w:tc>
          <w:tcPr>
            <w:tcW w:type="dxa" w:w="2736"/>
            <w:vAlign w:val="top"/>
            <w:shd w:fill="EAF1F5"/>
          </w:tcPr>
          <w:p>
            <w:r/>
            <w:r>
              <w:rPr>
                <w:rFonts w:ascii="Arial" w:hAnsi="Arial"/>
                <w:b w:val="0"/>
                <w:i w:val="0"/>
                <w:color w:val="183752"/>
                <w:sz w:val="16"/>
              </w:rPr>
              <w:t>Institutional and rights effect</w:t>
            </w:r>
          </w:p>
        </w:tc>
      </w:tr>
      <w:tr>
        <w:trPr>
          <w:cantSplit/>
        </w:trPr>
        <w:tc>
          <w:tcPr>
            <w:tcW w:type="dxa" w:w="1152"/>
            <w:vAlign w:val="top"/>
          </w:tcPr>
          <w:p>
            <w:r/>
            <w:r>
              <w:rPr>
                <w:rFonts w:ascii="Arial" w:hAnsi="Arial"/>
                <w:b w:val="0"/>
                <w:i w:val="0"/>
                <w:color w:val="1E242A"/>
                <w:sz w:val="16"/>
              </w:rPr>
              <w:t>GLO</w:t>
            </w:r>
          </w:p>
        </w:tc>
        <w:tc>
          <w:tcPr>
            <w:tcW w:type="dxa" w:w="2376"/>
            <w:vAlign w:val="top"/>
          </w:tcPr>
          <w:p>
            <w:r/>
            <w:r>
              <w:rPr>
                <w:rFonts w:ascii="Arial" w:hAnsi="Arial"/>
                <w:b w:val="0"/>
                <w:i w:val="0"/>
                <w:color w:val="1E242A"/>
                <w:sz w:val="16"/>
              </w:rPr>
              <w:t>President employs Armed Forces after statutory insufficiency/unavailability finding; may act on own initiative or formal request from named branch heads</w:t>
            </w:r>
          </w:p>
        </w:tc>
        <w:tc>
          <w:tcPr>
            <w:tcW w:type="dxa" w:w="3096"/>
            <w:vAlign w:val="top"/>
          </w:tcPr>
          <w:p>
            <w:r/>
            <w:r>
              <w:rPr>
                <w:rFonts w:ascii="Arial" w:hAnsi="Arial"/>
                <w:b w:val="0"/>
                <w:i w:val="0"/>
                <w:color w:val="1E242A"/>
                <w:sz w:val="16"/>
              </w:rPr>
              <w:t>No prior legislative approval; episodic, predetermined area, limited time</w:t>
            </w:r>
          </w:p>
        </w:tc>
        <w:tc>
          <w:tcPr>
            <w:tcW w:type="dxa" w:w="2736"/>
            <w:vAlign w:val="top"/>
          </w:tcPr>
          <w:p>
            <w:r/>
            <w:r>
              <w:rPr>
                <w:rFonts w:ascii="Arial" w:hAnsi="Arial"/>
                <w:b w:val="0"/>
                <w:i w:val="0"/>
                <w:color w:val="1E242A"/>
                <w:sz w:val="16"/>
              </w:rPr>
              <w:t>Temporary military coordination of mission; state civil government is not constitutionally displaced; ordinary rights regime continues</w:t>
            </w:r>
          </w:p>
        </w:tc>
      </w:tr>
      <w:tr>
        <w:trPr>
          <w:cantSplit/>
        </w:trPr>
        <w:tc>
          <w:tcPr>
            <w:tcW w:type="dxa" w:w="1152"/>
            <w:vAlign w:val="top"/>
          </w:tcPr>
          <w:p>
            <w:r/>
            <w:r>
              <w:rPr>
                <w:rFonts w:ascii="Arial" w:hAnsi="Arial"/>
                <w:b w:val="0"/>
                <w:i w:val="0"/>
                <w:color w:val="1E242A"/>
                <w:sz w:val="16"/>
              </w:rPr>
              <w:t>Federal intervention</w:t>
            </w:r>
          </w:p>
        </w:tc>
        <w:tc>
          <w:tcPr>
            <w:tcW w:type="dxa" w:w="2376"/>
            <w:vAlign w:val="top"/>
          </w:tcPr>
          <w:p>
            <w:r/>
            <w:r>
              <w:rPr>
                <w:rFonts w:ascii="Arial" w:hAnsi="Arial"/>
                <w:b w:val="0"/>
                <w:i w:val="0"/>
                <w:color w:val="1E242A"/>
                <w:sz w:val="16"/>
              </w:rPr>
              <w:t>Enumerated CF arts 34 to 36 grounds, including grave compromise of public order; presidential decree specifies amplitude, conditions, duration and interventor</w:t>
            </w:r>
          </w:p>
        </w:tc>
        <w:tc>
          <w:tcPr>
            <w:tcW w:type="dxa" w:w="3096"/>
            <w:vAlign w:val="top"/>
          </w:tcPr>
          <w:p>
            <w:r/>
            <w:r>
              <w:rPr>
                <w:rFonts w:ascii="Arial" w:hAnsi="Arial"/>
                <w:b w:val="0"/>
                <w:i w:val="0"/>
                <w:color w:val="1E242A"/>
                <w:sz w:val="16"/>
              </w:rPr>
              <w:t>Decree normally goes to Congress within 24 hours; Congress approves or suspends</w:t>
            </w:r>
          </w:p>
        </w:tc>
        <w:tc>
          <w:tcPr>
            <w:tcW w:type="dxa" w:w="2736"/>
            <w:vAlign w:val="top"/>
          </w:tcPr>
          <w:p>
            <w:r/>
            <w:r>
              <w:rPr>
                <w:rFonts w:ascii="Arial" w:hAnsi="Arial"/>
                <w:b w:val="0"/>
                <w:i w:val="0"/>
                <w:color w:val="1E242A"/>
                <w:sz w:val="16"/>
              </w:rPr>
              <w:t>Displaces only the specified state authority or function; intervention alone does not suspend constitutional rights</w:t>
            </w:r>
          </w:p>
        </w:tc>
      </w:tr>
      <w:tr>
        <w:trPr>
          <w:cantSplit/>
        </w:trPr>
        <w:tc>
          <w:tcPr>
            <w:tcW w:type="dxa" w:w="1152"/>
            <w:vAlign w:val="top"/>
          </w:tcPr>
          <w:p>
            <w:r/>
            <w:r>
              <w:rPr>
                <w:rFonts w:ascii="Arial" w:hAnsi="Arial"/>
                <w:b w:val="0"/>
                <w:i w:val="0"/>
                <w:color w:val="1E242A"/>
                <w:sz w:val="16"/>
              </w:rPr>
              <w:t>State of defence</w:t>
            </w:r>
          </w:p>
        </w:tc>
        <w:tc>
          <w:tcPr>
            <w:tcW w:type="dxa" w:w="2376"/>
            <w:vAlign w:val="top"/>
          </w:tcPr>
          <w:p>
            <w:r/>
            <w:r>
              <w:rPr>
                <w:rFonts w:ascii="Arial" w:hAnsi="Arial"/>
                <w:b w:val="0"/>
                <w:i w:val="0"/>
                <w:color w:val="1E242A"/>
                <w:sz w:val="16"/>
              </w:rPr>
              <w:t>Grave imminent institutional instability or major natural calamity in restricted locations; President hears Council of Republic and National Defence Council</w:t>
            </w:r>
          </w:p>
        </w:tc>
        <w:tc>
          <w:tcPr>
            <w:tcW w:type="dxa" w:w="3096"/>
            <w:vAlign w:val="top"/>
          </w:tcPr>
          <w:p>
            <w:r/>
            <w:r>
              <w:rPr>
                <w:rFonts w:ascii="Arial" w:hAnsi="Arial"/>
                <w:b w:val="0"/>
                <w:i w:val="0"/>
                <w:color w:val="1E242A"/>
                <w:sz w:val="16"/>
              </w:rPr>
              <w:t>Submit within 24 hours; Congress decides by absolute majority within ten days; 30 days plus one equal extension</w:t>
            </w:r>
          </w:p>
        </w:tc>
        <w:tc>
          <w:tcPr>
            <w:tcW w:type="dxa" w:w="2736"/>
            <w:vAlign w:val="top"/>
          </w:tcPr>
          <w:p>
            <w:r/>
            <w:r>
              <w:rPr>
                <w:rFonts w:ascii="Arial" w:hAnsi="Arial"/>
                <w:b w:val="0"/>
                <w:i w:val="0"/>
                <w:color w:val="1E242A"/>
                <w:sz w:val="16"/>
              </w:rPr>
              <w:t>May restrict assembly and correspondence/telegraph/telephone secrecy and temporarily occupy public services in calamity; detention safeguards remain</w:t>
            </w:r>
          </w:p>
        </w:tc>
      </w:tr>
      <w:tr>
        <w:trPr>
          <w:cantSplit/>
        </w:trPr>
        <w:tc>
          <w:tcPr>
            <w:tcW w:type="dxa" w:w="1152"/>
            <w:vAlign w:val="top"/>
          </w:tcPr>
          <w:p>
            <w:r/>
            <w:r>
              <w:rPr>
                <w:rFonts w:ascii="Arial" w:hAnsi="Arial"/>
                <w:b w:val="0"/>
                <w:i w:val="0"/>
                <w:color w:val="1E242A"/>
                <w:sz w:val="16"/>
              </w:rPr>
              <w:t>State of siege</w:t>
            </w:r>
          </w:p>
        </w:tc>
        <w:tc>
          <w:tcPr>
            <w:tcW w:type="dxa" w:w="2376"/>
            <w:vAlign w:val="top"/>
          </w:tcPr>
          <w:p>
            <w:r/>
            <w:r>
              <w:rPr>
                <w:rFonts w:ascii="Arial" w:hAnsi="Arial"/>
                <w:b w:val="0"/>
                <w:i w:val="0"/>
                <w:color w:val="1E242A"/>
                <w:sz w:val="16"/>
              </w:rPr>
              <w:t>Grave national commotion or failed defence measure, or war/foreign aggression; President hears councils and requests authority</w:t>
            </w:r>
          </w:p>
        </w:tc>
        <w:tc>
          <w:tcPr>
            <w:tcW w:type="dxa" w:w="3096"/>
            <w:vAlign w:val="top"/>
          </w:tcPr>
          <w:p>
            <w:r/>
            <w:r>
              <w:rPr>
                <w:rFonts w:ascii="Arial" w:hAnsi="Arial"/>
                <w:b w:val="0"/>
                <w:i w:val="0"/>
                <w:color w:val="1E242A"/>
                <w:sz w:val="16"/>
              </w:rPr>
              <w:t>Prior Congress authorisation by absolute majority; domestic ground 30-day renewable periods, war ground while conditions persist</w:t>
            </w:r>
          </w:p>
        </w:tc>
        <w:tc>
          <w:tcPr>
            <w:tcW w:type="dxa" w:w="2736"/>
            <w:vAlign w:val="top"/>
          </w:tcPr>
          <w:p>
            <w:r/>
            <w:r>
              <w:rPr>
                <w:rFonts w:ascii="Arial" w:hAnsi="Arial"/>
                <w:b w:val="0"/>
                <w:i w:val="0"/>
                <w:color w:val="1E242A"/>
                <w:sz w:val="16"/>
              </w:rPr>
              <w:t>Decree identifies suspended guarantees and only listed coercive measures; Congress remains sitting and supervises; post-event accountability applies</w:t>
            </w:r>
          </w:p>
        </w:tc>
      </w:tr>
    </w:tbl>
    <w:p>
      <w:pPr>
        <w:spacing w:after="40"/>
      </w:pPr>
    </w:p>
    <w:p>
      <w:r>
        <w:rPr>
          <w:rFonts w:ascii="Arial" w:hAnsi="Arial"/>
          <w:b w:val="0"/>
          <w:i w:val="0"/>
          <w:color w:val="1E242A"/>
          <w:sz w:val="21"/>
        </w:rPr>
        <w:t>These are not rungs on a single crime-response ladder. GLO supplies temporary military support. Intervention replaces a specified state authority. Defence and siege are constitutional rights-emergency regimes with distinct triggers and legislative safeguards. Ordinary violent crime, however serious, does not automatically satisfy each trigger.</w:t>
      </w:r>
    </w:p>
    <w:p>
      <w:pPr>
        <w:pStyle w:val="Heading2"/>
      </w:pPr>
      <w:r>
        <w:rPr>
          <w:rFonts w:ascii="Arial" w:hAnsi="Arial"/>
          <w:b w:val="0"/>
          <w:i w:val="0"/>
          <w:color w:val="2C5F80"/>
          <w:sz w:val="27"/>
        </w:rPr>
        <w:t>12.1 Rio de Janeiro 2018</w:t>
      </w:r>
    </w:p>
    <w:p>
      <w:r>
        <w:rPr>
          <w:rFonts w:ascii="Arial" w:hAnsi="Arial"/>
          <w:b/>
          <w:i w:val="0"/>
          <w:color w:val="1E242A"/>
          <w:sz w:val="21"/>
        </w:rPr>
        <w:t>HISTORICAL EXPERIENCE.</w:t>
      </w:r>
      <w:r>
        <w:rPr>
          <w:rFonts w:ascii="Arial" w:hAnsi="Arial"/>
          <w:b w:val="0"/>
          <w:i w:val="0"/>
          <w:color w:val="1E242A"/>
          <w:sz w:val="21"/>
        </w:rPr>
        <w:t xml:space="preserve"> </w:t>
      </w:r>
      <w:hyperlink r:id="rId31">
        <w:r>
          <w:rPr>
            <w:color w:val="2C5F80"/>
            <w:u w:val="single"/>
            <w:rFonts w:ascii="Arial" w:hAnsi="Arial"/>
            <w:sz w:val="21"/>
          </w:rPr>
          <w:t>Decree 9,288 of 2018</w:t>
        </w:r>
      </w:hyperlink>
      <w:r>
        <w:rPr>
          <w:rFonts w:ascii="Arial" w:hAnsi="Arial"/>
          <w:b w:val="0"/>
          <w:i w:val="0"/>
          <w:color w:val="1E242A"/>
          <w:sz w:val="21"/>
        </w:rPr>
        <w:t xml:space="preserve"> imposed federal intervention in Rio's public-security area from 16 February through 31 December. The military interventor was subordinate to the President and exercised the governor's relevant powers, taking operational control of state public-security bodies and able to requisition state security, prison and fire-service resources and federal means. The elected governor retained powers outside the intervention's subject.</w:t>
      </w:r>
    </w:p>
    <w:p>
      <w:r>
        <w:rPr>
          <w:rFonts w:ascii="Arial" w:hAnsi="Arial"/>
          <w:b w:val="0"/>
          <w:i w:val="0"/>
          <w:color w:val="1E242A"/>
          <w:sz w:val="21"/>
        </w:rPr>
        <w:t>Congress approved it through Legislative Decree 10. The case demonstrates targeted displacement rather than national emergency rule. TCU review identified substantial federal spending and implementation difficulty amid fiscal and institutional weakness. Changes in crime indicators cannot safely be attributed to intervention alone. The precedent should show what can be attempted and which command changes occur, not prescribe default use or guaranteed outcomes.</w:t>
      </w:r>
    </w:p>
    <w:p>
      <w:pPr>
        <w:pStyle w:val="Heading1"/>
      </w:pPr>
      <w:r>
        <w:rPr>
          <w:rFonts w:ascii="Arial" w:hAnsi="Arial"/>
          <w:b w:val="0"/>
          <w:i w:val="0"/>
          <w:color w:val="183752"/>
          <w:sz w:val="34"/>
        </w:rPr>
        <w:t>13 Defence authority beyond domestic policing</w:t>
      </w:r>
    </w:p>
    <w:p>
      <w:r>
        <w:rPr>
          <w:rFonts w:ascii="Arial" w:hAnsi="Arial"/>
          <w:b w:val="0"/>
          <w:i w:val="0"/>
          <w:color w:val="1E242A"/>
          <w:sz w:val="21"/>
        </w:rPr>
        <w:t xml:space="preserve">The President decides Armed Forces employment and appoints service commanders on the Defence Minister's indication, while the Defence Minister supplies civilian ministerial direction and joint command. Congress authorises declaration of war and peace and foreign-force transit or presence under Constitution articles 49 and 84. </w:t>
      </w:r>
      <w:hyperlink r:id="rId102">
        <w:r>
          <w:rPr>
            <w:color w:val="2C5F80"/>
            <w:u w:val="single"/>
            <w:rFonts w:ascii="Arial" w:hAnsi="Arial"/>
            <w:sz w:val="21"/>
          </w:rPr>
          <w:t>Law 10,937 of 2004</w:t>
        </w:r>
      </w:hyperlink>
      <w:r>
        <w:rPr>
          <w:rFonts w:ascii="Arial" w:hAnsi="Arial"/>
          <w:b w:val="0"/>
          <w:i w:val="0"/>
          <w:color w:val="1E242A"/>
          <w:sz w:val="21"/>
        </w:rPr>
        <w:t xml:space="preserve"> requires congressional authorisation for Brazilian armed troops in peacekeeping operations abroad before presidential employment. </w:t>
      </w:r>
      <w:hyperlink r:id="rId103">
        <w:r>
          <w:rPr>
            <w:color w:val="2C5F80"/>
            <w:u w:val="single"/>
            <w:rFonts w:ascii="Arial" w:hAnsi="Arial"/>
            <w:sz w:val="21"/>
          </w:rPr>
          <w:t>Law 11,631 of 2007</w:t>
        </w:r>
      </w:hyperlink>
      <w:r>
        <w:rPr>
          <w:rFonts w:ascii="Arial" w:hAnsi="Arial"/>
          <w:b w:val="0"/>
          <w:i w:val="0"/>
          <w:color w:val="1E242A"/>
          <w:sz w:val="21"/>
        </w:rPr>
        <w:t xml:space="preserve"> governs mobilisation for foreign aggression, with prior congressional authorisation or later referendum during recess.</w:t>
      </w:r>
    </w:p>
    <w:p>
      <w:r>
        <w:rPr>
          <w:rFonts w:ascii="Arial" w:hAnsi="Arial"/>
          <w:b w:val="0"/>
          <w:i w:val="0"/>
          <w:color w:val="1E242A"/>
          <w:sz w:val="21"/>
        </w:rPr>
        <w:t>Defence planning, mobilisation and procurement are executive-administrative processes constrained by statute, appropriations, procurement law, oversight and military professional chains. Presidential command is constitutionally real, but neither limitless money nor lawful authority to use the military against another branch or as a routine substitute for police.</w:t>
      </w:r>
    </w:p>
    <w:p>
      <w:pPr>
        <w:pStyle w:val="Heading1"/>
      </w:pPr>
      <w:r>
        <w:rPr>
          <w:rFonts w:ascii="Arial" w:hAnsi="Arial"/>
          <w:b w:val="0"/>
          <w:i w:val="0"/>
          <w:color w:val="183752"/>
          <w:sz w:val="34"/>
        </w:rPr>
        <w:t>14 Terrorism democratic state law and civil liberties</w:t>
      </w:r>
    </w:p>
    <w:p>
      <w:pPr>
        <w:pStyle w:val="Heading2"/>
      </w:pPr>
      <w:r>
        <w:rPr>
          <w:rFonts w:ascii="Arial" w:hAnsi="Arial"/>
          <w:b w:val="0"/>
          <w:i w:val="0"/>
          <w:color w:val="2C5F80"/>
          <w:sz w:val="27"/>
        </w:rPr>
        <w:t>14.1 Terrorism</w:t>
      </w:r>
    </w:p>
    <w:p>
      <w:r>
        <w:rPr>
          <w:rFonts w:ascii="Arial" w:hAnsi="Arial"/>
          <w:b/>
          <w:i w:val="0"/>
          <w:color w:val="1E242A"/>
          <w:sz w:val="21"/>
        </w:rPr>
        <w:t>FORMAL RULE.</w:t>
      </w:r>
      <w:r>
        <w:rPr>
          <w:rFonts w:ascii="Arial" w:hAnsi="Arial"/>
          <w:b w:val="0"/>
          <w:i w:val="0"/>
          <w:color w:val="1E242A"/>
          <w:sz w:val="21"/>
        </w:rPr>
        <w:t xml:space="preserve"> </w:t>
      </w:r>
      <w:hyperlink r:id="rId104">
        <w:r>
          <w:rPr>
            <w:color w:val="2C5F80"/>
            <w:u w:val="single"/>
            <w:rFonts w:ascii="Arial" w:hAnsi="Arial"/>
            <w:sz w:val="21"/>
          </w:rPr>
          <w:t>Law 13,260 of 2016</w:t>
        </w:r>
      </w:hyperlink>
      <w:r>
        <w:rPr>
          <w:rFonts w:ascii="Arial" w:hAnsi="Arial"/>
          <w:b w:val="0"/>
          <w:i w:val="0"/>
          <w:color w:val="1E242A"/>
          <w:sz w:val="21"/>
        </w:rPr>
        <w:t xml:space="preserve"> defines terrorism through enumerated conduct combined with motives involving xenophobia or discrimination/prejudice based on race, colour, ethnicity or religion and a purpose of causing social or general terror by exposing persons, property, public peace or safety to danger. Financing is separately criminalised. The law expressly excludes political, social, union, religious, class or professional demonstrations aimed at defending constitutional rights, without immunising independent crimes.</w:t>
      </w:r>
    </w:p>
    <w:p>
      <w:r>
        <w:rPr>
          <w:rFonts w:ascii="Arial" w:hAnsi="Arial"/>
          <w:b w:val="0"/>
          <w:i w:val="0"/>
          <w:color w:val="1E242A"/>
          <w:sz w:val="21"/>
        </w:rPr>
        <w:t>The offences are deemed against Union interests: PF investigates, MPF prosecutes and Federal Justice adjudicates. Asset restraint is judicial on MP request or police representation. ABIN may provide threat intelligence but cannot arrest or prosecute.</w:t>
      </w:r>
    </w:p>
    <w:p>
      <w:pPr>
        <w:pStyle w:val="Heading2"/>
      </w:pPr>
      <w:r>
        <w:rPr>
          <w:rFonts w:ascii="Arial" w:hAnsi="Arial"/>
          <w:b w:val="0"/>
          <w:i w:val="0"/>
          <w:color w:val="2C5F80"/>
          <w:sz w:val="27"/>
        </w:rPr>
        <w:t>14.2 Democratic-state crimes</w:t>
      </w:r>
    </w:p>
    <w:p>
      <w:hyperlink r:id="rId105">
        <w:r>
          <w:rPr>
            <w:color w:val="2C5F80"/>
            <w:u w:val="single"/>
            <w:rFonts w:ascii="Arial" w:hAnsi="Arial"/>
            <w:sz w:val="21"/>
          </w:rPr>
          <w:t>Law 14,197 of 2021</w:t>
        </w:r>
      </w:hyperlink>
      <w:r>
        <w:rPr>
          <w:rFonts w:ascii="Arial" w:hAnsi="Arial"/>
          <w:b w:val="0"/>
          <w:i w:val="0"/>
          <w:color w:val="1E242A"/>
          <w:sz w:val="21"/>
        </w:rPr>
        <w:t xml:space="preserve"> repealed the dictatorship-era National Security Law and inserted crimes against the Democratic Rule of Law into the Penal Code. Current scenarios should not describe these as continuing National Security Law prosecutions. The Penal Code safeguards political demonstration, journalism and criticism where the statutory offence elements are absent.</w:t>
      </w:r>
    </w:p>
    <w:p>
      <w:pPr>
        <w:pStyle w:val="Heading2"/>
      </w:pPr>
      <w:r>
        <w:rPr>
          <w:rFonts w:ascii="Arial" w:hAnsi="Arial"/>
          <w:b w:val="0"/>
          <w:i w:val="0"/>
          <w:color w:val="2C5F80"/>
          <w:sz w:val="27"/>
        </w:rPr>
        <w:t>14.3 Rights and use of force</w:t>
      </w:r>
    </w:p>
    <w:p>
      <w:r>
        <w:rPr>
          <w:rFonts w:ascii="Arial" w:hAnsi="Arial"/>
          <w:b w:val="0"/>
          <w:i w:val="0"/>
          <w:color w:val="1E242A"/>
          <w:sz w:val="21"/>
        </w:rPr>
        <w:t>Constitution article 5 protects legality, equality, expression, privacy, home and communications secrecy, peaceful assembly, due process, adversarial defence, presumption of innocence, detention notification, silence, counsel and judicial remedies; prohibits torture; and defines arrest and search exceptions. Security policy that relies on indiscriminate surveillance, punishment without process, collective residential entry or suppression of peaceful protest creates direct constitutional exposure.</w:t>
      </w:r>
    </w:p>
    <w:p>
      <w:hyperlink r:id="rId106">
        <w:r>
          <w:rPr>
            <w:color w:val="2C5F80"/>
            <w:u w:val="single"/>
            <w:rFonts w:ascii="Arial" w:hAnsi="Arial"/>
            <w:sz w:val="21"/>
          </w:rPr>
          <w:t>Law 13,060 of 2014</w:t>
        </w:r>
      </w:hyperlink>
      <w:r>
        <w:rPr>
          <w:rFonts w:ascii="Arial" w:hAnsi="Arial"/>
          <w:b w:val="0"/>
          <w:i w:val="0"/>
          <w:color w:val="1E242A"/>
          <w:sz w:val="21"/>
        </w:rPr>
        <w:t xml:space="preserve"> and </w:t>
      </w:r>
      <w:hyperlink r:id="rId107">
        <w:r>
          <w:rPr>
            <w:color w:val="2C5F80"/>
            <w:u w:val="single"/>
            <w:rFonts w:ascii="Arial" w:hAnsi="Arial"/>
            <w:sz w:val="21"/>
          </w:rPr>
          <w:t>Decree 12,341 of 2024</w:t>
        </w:r>
      </w:hyperlink>
      <w:r>
        <w:rPr>
          <w:rFonts w:ascii="Arial" w:hAnsi="Arial"/>
          <w:b w:val="0"/>
          <w:i w:val="0"/>
          <w:color w:val="1E242A"/>
          <w:sz w:val="21"/>
        </w:rPr>
        <w:t xml:space="preserve"> impose legality, necessity, proportionality, precaution, accountability and nondiscrimination in use of force, preference for less-lethal means where safe, reporting and medical-assistance requirements, and firearm limits. Federal funding, training, standards and data collection can influence state behaviour, but execution and accountability remain institution- and incident-specific.</w:t>
      </w:r>
    </w:p>
    <w:p>
      <w:pPr>
        <w:pStyle w:val="Heading1"/>
      </w:pPr>
      <w:r>
        <w:rPr>
          <w:rFonts w:ascii="Arial" w:hAnsi="Arial"/>
          <w:b w:val="0"/>
          <w:i w:val="0"/>
          <w:color w:val="183752"/>
          <w:sz w:val="34"/>
        </w:rPr>
        <w:t>15 Federal state cooperation options short of intervention</w:t>
      </w:r>
    </w:p>
    <w:p>
      <w:r>
        <w:rPr>
          <w:rFonts w:ascii="Arial" w:hAnsi="Arial"/>
          <w:b w:val="0"/>
          <w:i w:val="0"/>
          <w:color w:val="1E242A"/>
          <w:sz w:val="21"/>
        </w:rPr>
        <w:t>If a President believes a state's security is deteriorating, the lawful menu is substantially wider than “do nothing” or intervene:</w:t>
      </w:r>
    </w:p>
    <w:p>
      <w:pPr>
        <w:pStyle w:val="ListNumber"/>
        <w:numPr>
          <w:ilvl w:val="0"/>
          <w:numId w:val="5"/>
        </w:numPr>
      </w:pPr>
      <w:r>
        <w:rPr>
          <w:rFonts w:ascii="Arial" w:hAnsi="Arial"/>
          <w:b/>
          <w:i w:val="0"/>
          <w:color w:val="1E242A"/>
          <w:sz w:val="20"/>
        </w:rPr>
        <w:t>Use independent federal jurisdiction.</w:t>
      </w:r>
      <w:r>
        <w:rPr>
          <w:rFonts w:ascii="Arial" w:hAnsi="Arial"/>
          <w:b w:val="0"/>
          <w:i w:val="0"/>
          <w:color w:val="1E242A"/>
          <w:sz w:val="20"/>
        </w:rPr>
        <w:t xml:space="preserve"> Intensify PF, PRF, Receita, customs, border and federal prosecutorial work where the Constitution and statutes supply a federal nexus. This does not require gubernatorial permission, though local cooperation may improve effectiveness.</w:t>
      </w:r>
    </w:p>
    <w:p>
      <w:pPr>
        <w:pStyle w:val="ListNumber"/>
        <w:numPr>
          <w:ilvl w:val="0"/>
          <w:numId w:val="5"/>
        </w:numPr>
      </w:pPr>
      <w:r>
        <w:rPr>
          <w:rFonts w:ascii="Arial" w:hAnsi="Arial"/>
          <w:b/>
          <w:i w:val="0"/>
          <w:color w:val="1E242A"/>
          <w:sz w:val="20"/>
        </w:rPr>
        <w:t>Convene SUSP coordination.</w:t>
      </w:r>
      <w:r>
        <w:rPr>
          <w:rFonts w:ascii="Arial" w:hAnsi="Arial"/>
          <w:b w:val="0"/>
          <w:i w:val="0"/>
          <w:color w:val="1E242A"/>
          <w:sz w:val="20"/>
        </w:rPr>
        <w:t xml:space="preserve"> Share intelligence, agree common objectives, train, standardise data and conduct integrated operations while preserving competence.</w:t>
      </w:r>
    </w:p>
    <w:p>
      <w:pPr>
        <w:pStyle w:val="ListNumber"/>
        <w:numPr>
          <w:ilvl w:val="0"/>
          <w:numId w:val="5"/>
        </w:numPr>
      </w:pPr>
      <w:r>
        <w:rPr>
          <w:rFonts w:ascii="Arial" w:hAnsi="Arial"/>
          <w:b/>
          <w:i w:val="0"/>
          <w:color w:val="1E242A"/>
          <w:sz w:val="20"/>
        </w:rPr>
        <w:t>Create or reinforce task forces.</w:t>
      </w:r>
      <w:r>
        <w:rPr>
          <w:rFonts w:ascii="Arial" w:hAnsi="Arial"/>
          <w:b w:val="0"/>
          <w:i w:val="0"/>
          <w:color w:val="1E242A"/>
          <w:sz w:val="20"/>
        </w:rPr>
        <w:t xml:space="preserve"> FICCO-type structures and other cooperation agreements can combine PF, state police, MPs, GAECOs, Receita and other bodies for defined work.</w:t>
      </w:r>
    </w:p>
    <w:p>
      <w:pPr>
        <w:pStyle w:val="ListNumber"/>
        <w:numPr>
          <w:ilvl w:val="0"/>
          <w:numId w:val="5"/>
        </w:numPr>
      </w:pPr>
      <w:r>
        <w:rPr>
          <w:rFonts w:ascii="Arial" w:hAnsi="Arial"/>
          <w:b/>
          <w:i w:val="0"/>
          <w:color w:val="1E242A"/>
          <w:sz w:val="20"/>
        </w:rPr>
        <w:t>Offer funding and capability.</w:t>
      </w:r>
      <w:r>
        <w:rPr>
          <w:rFonts w:ascii="Arial" w:hAnsi="Arial"/>
          <w:b w:val="0"/>
          <w:i w:val="0"/>
          <w:color w:val="1E242A"/>
          <w:sz w:val="20"/>
        </w:rPr>
        <w:t xml:space="preserve"> FNSP and FUNPEN transfers, equipment, training, technology, forensic capacity and prison assistance create leverage, but mandatory transfers, eligibility, plans, reporting and audit constrain discretion.</w:t>
      </w:r>
    </w:p>
    <w:p>
      <w:pPr>
        <w:pStyle w:val="ListNumber"/>
        <w:numPr>
          <w:ilvl w:val="0"/>
          <w:numId w:val="5"/>
        </w:numPr>
      </w:pPr>
      <w:r>
        <w:rPr>
          <w:rFonts w:ascii="Arial" w:hAnsi="Arial"/>
          <w:b/>
          <w:i w:val="0"/>
          <w:color w:val="1E242A"/>
          <w:sz w:val="20"/>
        </w:rPr>
        <w:t>Deploy the Força Nacional on a valid request.</w:t>
      </w:r>
      <w:r>
        <w:rPr>
          <w:rFonts w:ascii="Arial" w:hAnsi="Arial"/>
          <w:b w:val="0"/>
          <w:i w:val="0"/>
          <w:color w:val="1E242A"/>
          <w:sz w:val="20"/>
        </w:rPr>
        <w:t xml:space="preserve"> Under </w:t>
      </w:r>
      <w:hyperlink r:id="rId108">
        <w:r>
          <w:rPr>
            <w:color w:val="2C5F80"/>
            <w:u w:val="single"/>
            <w:rFonts w:ascii="Arial" w:hAnsi="Arial"/>
            <w:sz w:val="21"/>
          </w:rPr>
          <w:t>Decree 5,289 of 2004</w:t>
        </w:r>
      </w:hyperlink>
      <w:r>
        <w:rPr>
          <w:rFonts w:ascii="Arial" w:hAnsi="Arial"/>
          <w:b w:val="0"/>
          <w:i w:val="0"/>
          <w:color w:val="1E242A"/>
          <w:sz w:val="20"/>
        </w:rPr>
        <w:t>, a governor or DF may request temporary support under a cooperation arrangement; a federal minister can request support for work within that federal authority's competence. The latter is not a back door to take over general state policing.</w:t>
      </w:r>
    </w:p>
    <w:p>
      <w:pPr>
        <w:pStyle w:val="ListNumber"/>
        <w:numPr>
          <w:ilvl w:val="0"/>
          <w:numId w:val="5"/>
        </w:numPr>
      </w:pPr>
      <w:r>
        <w:rPr>
          <w:rFonts w:ascii="Arial" w:hAnsi="Arial"/>
          <w:b/>
          <w:i w:val="0"/>
          <w:color w:val="1E242A"/>
          <w:sz w:val="20"/>
        </w:rPr>
        <w:t>Support prisons and penal intelligence.</w:t>
      </w:r>
      <w:r>
        <w:rPr>
          <w:rFonts w:ascii="Arial" w:hAnsi="Arial"/>
          <w:b w:val="0"/>
          <w:i w:val="0"/>
          <w:color w:val="1E242A"/>
          <w:sz w:val="20"/>
        </w:rPr>
        <w:t xml:space="preserve"> SENAPPEN can fund, advise, inspect, share intelligence and operate the federal system. Transfer of a named prisoner remains judicial and case-specific.</w:t>
      </w:r>
    </w:p>
    <w:p>
      <w:pPr>
        <w:pStyle w:val="ListNumber"/>
        <w:numPr>
          <w:ilvl w:val="0"/>
          <w:numId w:val="5"/>
        </w:numPr>
      </w:pPr>
      <w:r>
        <w:rPr>
          <w:rFonts w:ascii="Arial" w:hAnsi="Arial"/>
          <w:b/>
          <w:i w:val="0"/>
          <w:color w:val="1E242A"/>
          <w:sz w:val="20"/>
        </w:rPr>
        <w:t>Use border and international instruments.</w:t>
      </w:r>
      <w:r>
        <w:rPr>
          <w:rFonts w:ascii="Arial" w:hAnsi="Arial"/>
          <w:b w:val="0"/>
          <w:i w:val="0"/>
          <w:color w:val="1E242A"/>
          <w:sz w:val="20"/>
        </w:rPr>
        <w:t xml:space="preserve"> Coordinated operations, police liaison, customs agreements, mutual assistance and extradition may attack supply and finance beyond a single state's reach.</w:t>
      </w:r>
    </w:p>
    <w:p>
      <w:pPr>
        <w:pStyle w:val="ListNumber"/>
        <w:numPr>
          <w:ilvl w:val="0"/>
          <w:numId w:val="5"/>
        </w:numPr>
      </w:pPr>
      <w:r>
        <w:rPr>
          <w:rFonts w:ascii="Arial" w:hAnsi="Arial"/>
          <w:b/>
          <w:i w:val="0"/>
          <w:color w:val="1E242A"/>
          <w:sz w:val="20"/>
        </w:rPr>
        <w:t>Propose legislation or appropriations.</w:t>
      </w:r>
      <w:r>
        <w:rPr>
          <w:rFonts w:ascii="Arial" w:hAnsi="Arial"/>
          <w:b w:val="0"/>
          <w:i w:val="0"/>
          <w:color w:val="1E242A"/>
          <w:sz w:val="20"/>
        </w:rPr>
        <w:t xml:space="preserve"> Congress is required where existing authority or money is insufficient.</w:t>
      </w:r>
    </w:p>
    <w:p>
      <w:pPr>
        <w:pStyle w:val="ListNumber"/>
        <w:numPr>
          <w:ilvl w:val="0"/>
          <w:numId w:val="5"/>
        </w:numPr>
      </w:pPr>
      <w:r>
        <w:rPr>
          <w:rFonts w:ascii="Arial" w:hAnsi="Arial"/>
          <w:b/>
          <w:i w:val="0"/>
          <w:color w:val="1E242A"/>
          <w:sz w:val="20"/>
        </w:rPr>
        <w:t>Use GLO only when its predicates are met.</w:t>
      </w:r>
      <w:r>
        <w:rPr>
          <w:rFonts w:ascii="Arial" w:hAnsi="Arial"/>
          <w:b w:val="0"/>
          <w:i w:val="0"/>
          <w:color w:val="1E242A"/>
          <w:sz w:val="20"/>
        </w:rPr>
        <w:t xml:space="preserve"> It is temporary military support, not ordinary public-security administration.</w:t>
      </w:r>
    </w:p>
    <w:p>
      <w:pPr>
        <w:pStyle w:val="ListNumber"/>
        <w:numPr>
          <w:ilvl w:val="0"/>
          <w:numId w:val="5"/>
        </w:numPr>
      </w:pPr>
      <w:r>
        <w:rPr>
          <w:rFonts w:ascii="Arial" w:hAnsi="Arial"/>
          <w:b/>
          <w:i w:val="0"/>
          <w:color w:val="1E242A"/>
          <w:sz w:val="20"/>
        </w:rPr>
        <w:t>Consider intervention only under article 34 grounds.</w:t>
      </w:r>
      <w:r>
        <w:rPr>
          <w:rFonts w:ascii="Arial" w:hAnsi="Arial"/>
          <w:b w:val="0"/>
          <w:i w:val="0"/>
          <w:color w:val="1E242A"/>
          <w:sz w:val="20"/>
        </w:rPr>
        <w:t xml:space="preserve"> It is exceptional, politically costly and institutionally disruptive.</w:t>
      </w:r>
    </w:p>
    <w:p>
      <w:r>
        <w:rPr>
          <w:rFonts w:ascii="Arial" w:hAnsi="Arial"/>
          <w:b/>
          <w:i w:val="0"/>
          <w:color w:val="1E242A"/>
          <w:sz w:val="21"/>
        </w:rPr>
        <w:t>Força Nacional detail.</w:t>
      </w:r>
      <w:r>
        <w:rPr>
          <w:rFonts w:ascii="Arial" w:hAnsi="Arial"/>
          <w:b w:val="0"/>
          <w:i w:val="0"/>
          <w:color w:val="1E242A"/>
          <w:sz w:val="21"/>
        </w:rPr>
        <w:t xml:space="preserve"> State-request deployment requires a current cooperation agreement and a reasoned description of facts, mission, territory and claimed indispensability. Duration is fixed by ministerial act and renewal requires a new request. Personnel remain a temporary cooperative contingent, not a new constitutional police force.</w:t>
      </w:r>
    </w:p>
    <w:p>
      <w:pPr>
        <w:pStyle w:val="Heading1"/>
      </w:pPr>
      <w:r>
        <w:rPr>
          <w:rFonts w:ascii="Arial" w:hAnsi="Arial"/>
          <w:b w:val="0"/>
          <w:i w:val="0"/>
          <w:color w:val="183752"/>
          <w:sz w:val="34"/>
        </w:rPr>
        <w:t>16 PCC Comando Vermelho and adaptation</w:t>
      </w:r>
    </w:p>
    <w:p>
      <w:pPr>
        <w:pStyle w:val="Heading2"/>
      </w:pPr>
      <w:r>
        <w:rPr>
          <w:rFonts w:ascii="Arial" w:hAnsi="Arial"/>
          <w:b w:val="0"/>
          <w:i w:val="0"/>
          <w:color w:val="2C5F80"/>
          <w:sz w:val="27"/>
        </w:rPr>
        <w:t>16.1 Robust structural findings</w:t>
      </w:r>
    </w:p>
    <w:p>
      <w:r>
        <w:rPr>
          <w:rFonts w:ascii="Arial" w:hAnsi="Arial"/>
          <w:b w:val="0"/>
          <w:i w:val="0"/>
          <w:color w:val="1E242A"/>
          <w:sz w:val="21"/>
        </w:rPr>
        <w:t>PCC and Comando Vermelho are not identical organisations and should not be reduced to static national capacities. Robust literature supports several recurring features: prison-based affiliation and command; relations with local groups; trafficking and logistics networks extending across state and national borders; money laundering through legal and illegal markets; territorial and market governance; fluctuating alliances; and adaptation to enforcement pressure.</w:t>
      </w:r>
    </w:p>
    <w:p>
      <w:r>
        <w:rPr>
          <w:rFonts w:ascii="Arial" w:hAnsi="Arial"/>
          <w:b w:val="0"/>
          <w:i w:val="0"/>
          <w:color w:val="1E242A"/>
          <w:sz w:val="21"/>
        </w:rPr>
        <w:t xml:space="preserve">For PCC, peer-reviewed work emphasises decentralised or depersonalised rule-making and legitimacy among affiliates. For Amazonian expansion, the </w:t>
      </w:r>
      <w:hyperlink r:id="rId109">
        <w:r>
          <w:rPr>
            <w:color w:val="2C5F80"/>
            <w:u w:val="single"/>
            <w:rFonts w:ascii="Arial" w:hAnsi="Arial"/>
            <w:sz w:val="21"/>
          </w:rPr>
          <w:t>UNODC Brazil and Southern Cone bulletin</w:t>
        </w:r>
      </w:hyperlink>
      <w:r>
        <w:rPr>
          <w:rFonts w:ascii="Arial" w:hAnsi="Arial"/>
          <w:b w:val="0"/>
          <w:i w:val="0"/>
          <w:color w:val="1E242A"/>
          <w:sz w:val="21"/>
        </w:rPr>
        <w:t xml:space="preserve"> and research on </w:t>
      </w:r>
      <w:hyperlink r:id="rId110">
        <w:r>
          <w:rPr>
            <w:color w:val="2C5F80"/>
            <w:u w:val="single"/>
            <w:rFonts w:ascii="Arial" w:hAnsi="Arial"/>
            <w:sz w:val="21"/>
          </w:rPr>
          <w:t>hybrid criminal governance in the Amazon</w:t>
        </w:r>
      </w:hyperlink>
      <w:r>
        <w:rPr>
          <w:rFonts w:ascii="Arial" w:hAnsi="Arial"/>
          <w:b w:val="0"/>
          <w:i w:val="0"/>
          <w:color w:val="1E242A"/>
          <w:sz w:val="21"/>
        </w:rPr>
        <w:t xml:space="preserve"> describe alliances, prison connections, river and border routes and competition with local factions. The </w:t>
      </w:r>
      <w:hyperlink r:id="rId111">
        <w:r>
          <w:rPr>
            <w:color w:val="2C5F80"/>
            <w:u w:val="single"/>
            <w:rFonts w:ascii="Arial" w:hAnsi="Arial"/>
            <w:sz w:val="21"/>
          </w:rPr>
          <w:t>UNODC Global Cocaine Report 2023</w:t>
        </w:r>
      </w:hyperlink>
      <w:r>
        <w:rPr>
          <w:rFonts w:ascii="Arial" w:hAnsi="Arial"/>
          <w:b w:val="0"/>
          <w:i w:val="0"/>
          <w:color w:val="1E242A"/>
          <w:sz w:val="21"/>
        </w:rPr>
        <w:t xml:space="preserve"> describes Brazilian groups' roles in routes toward Europe and Africa and interactions in source and border regions.</w:t>
      </w:r>
    </w:p>
    <w:p>
      <w:pPr>
        <w:pStyle w:val="Heading2"/>
      </w:pPr>
      <w:r>
        <w:rPr>
          <w:rFonts w:ascii="Arial" w:hAnsi="Arial"/>
          <w:b w:val="0"/>
          <w:i w:val="0"/>
          <w:color w:val="2C5F80"/>
          <w:sz w:val="27"/>
        </w:rPr>
        <w:t>16.2 Evidence-based adaptation possibilities</w:t>
      </w:r>
    </w:p>
    <w:p>
      <w:pPr>
        <w:pStyle w:val="ListBullet"/>
        <w:numPr>
          <w:ilvl w:val="0"/>
          <w:numId w:val="4"/>
        </w:numPr>
      </w:pPr>
      <w:r>
        <w:rPr>
          <w:rFonts w:ascii="Arial" w:hAnsi="Arial"/>
          <w:b w:val="0"/>
          <w:i w:val="0"/>
          <w:color w:val="1E242A"/>
          <w:sz w:val="20"/>
        </w:rPr>
        <w:t>Leadership isolation may slow communication, but can produce delegation, depersonalised rules, covert channels or succession rather than collapse.</w:t>
      </w:r>
    </w:p>
    <w:p>
      <w:pPr>
        <w:pStyle w:val="ListBullet"/>
        <w:numPr>
          <w:ilvl w:val="0"/>
          <w:numId w:val="4"/>
        </w:numPr>
      </w:pPr>
      <w:r>
        <w:rPr>
          <w:rFonts w:ascii="Arial" w:hAnsi="Arial"/>
          <w:b w:val="0"/>
          <w:i w:val="0"/>
          <w:color w:val="1E242A"/>
          <w:sz w:val="20"/>
        </w:rPr>
        <w:t>Prison dispersal can disrupt a local command while spreading affiliation, recruitment or conflict into new institutions.</w:t>
      </w:r>
    </w:p>
    <w:p>
      <w:pPr>
        <w:pStyle w:val="ListBullet"/>
        <w:numPr>
          <w:ilvl w:val="0"/>
          <w:numId w:val="4"/>
        </w:numPr>
      </w:pPr>
      <w:r>
        <w:rPr>
          <w:rFonts w:ascii="Arial" w:hAnsi="Arial"/>
          <w:b w:val="0"/>
          <w:i w:val="0"/>
          <w:color w:val="1E242A"/>
          <w:sz w:val="20"/>
        </w:rPr>
        <w:t>Territorial pressure can displace retail markets, logistics and violence into another neighbourhood, state, port or border corridor.</w:t>
      </w:r>
    </w:p>
    <w:p>
      <w:pPr>
        <w:pStyle w:val="ListBullet"/>
        <w:numPr>
          <w:ilvl w:val="0"/>
          <w:numId w:val="4"/>
        </w:numPr>
      </w:pPr>
      <w:r>
        <w:rPr>
          <w:rFonts w:ascii="Arial" w:hAnsi="Arial"/>
          <w:b w:val="0"/>
          <w:i w:val="0"/>
          <w:color w:val="1E242A"/>
          <w:sz w:val="20"/>
        </w:rPr>
        <w:t>Route interdiction can prompt mode switching, new partners and lower-visibility financial or wholesale activity.</w:t>
      </w:r>
    </w:p>
    <w:p>
      <w:pPr>
        <w:pStyle w:val="ListBullet"/>
        <w:numPr>
          <w:ilvl w:val="0"/>
          <w:numId w:val="4"/>
        </w:numPr>
      </w:pPr>
      <w:r>
        <w:rPr>
          <w:rFonts w:ascii="Arial" w:hAnsi="Arial"/>
          <w:b w:val="0"/>
          <w:i w:val="0"/>
          <w:color w:val="1E242A"/>
          <w:sz w:val="20"/>
        </w:rPr>
        <w:t>Asset pressure can encourage nominees, shell entities, cash-intensive businesses, digital assets and movement among regulated and unregulated channels.</w:t>
      </w:r>
    </w:p>
    <w:p>
      <w:pPr>
        <w:pStyle w:val="ListBullet"/>
        <w:numPr>
          <w:ilvl w:val="0"/>
          <w:numId w:val="4"/>
        </w:numPr>
      </w:pPr>
      <w:r>
        <w:rPr>
          <w:rFonts w:ascii="Arial" w:hAnsi="Arial"/>
          <w:b w:val="0"/>
          <w:i w:val="0"/>
          <w:color w:val="1E242A"/>
          <w:sz w:val="20"/>
        </w:rPr>
        <w:t>Ruptured alliances or fragmentation can increase competitive violence; consolidation can reduce visible homicide while deepening coercive governance and extraction.</w:t>
      </w:r>
    </w:p>
    <w:p>
      <w:pPr>
        <w:pStyle w:val="ListBullet"/>
        <w:numPr>
          <w:ilvl w:val="0"/>
          <w:numId w:val="4"/>
        </w:numPr>
      </w:pPr>
      <w:r>
        <w:rPr>
          <w:rFonts w:ascii="Arial" w:hAnsi="Arial"/>
          <w:b w:val="0"/>
          <w:i w:val="0"/>
          <w:color w:val="1E242A"/>
          <w:sz w:val="20"/>
        </w:rPr>
        <w:t>Arrests and seizures can remove people and resources without removing the organisation's dispute-resolution norms, prison authority or replacement pool.</w:t>
      </w:r>
    </w:p>
    <w:p>
      <w:r>
        <w:rPr>
          <w:rFonts w:ascii="Arial" w:hAnsi="Arial"/>
          <w:b w:val="0"/>
          <w:i w:val="0"/>
          <w:color w:val="1E242A"/>
          <w:sz w:val="21"/>
        </w:rPr>
        <w:t>These are contingent pathways. The evidence does not justify guaranteed outcomes.</w:t>
      </w:r>
    </w:p>
    <w:p>
      <w:pPr>
        <w:pStyle w:val="Heading2"/>
      </w:pPr>
      <w:r>
        <w:rPr>
          <w:rFonts w:ascii="Arial" w:hAnsi="Arial"/>
          <w:b w:val="0"/>
          <w:i w:val="0"/>
          <w:color w:val="2C5F80"/>
          <w:sz w:val="27"/>
        </w:rPr>
        <w:t>16.3 Scenario state and disputed estimates</w:t>
      </w:r>
    </w:p>
    <w:p>
      <w:r>
        <w:rPr>
          <w:rFonts w:ascii="Arial" w:hAnsi="Arial"/>
          <w:b/>
          <w:i w:val="0"/>
          <w:color w:val="1E242A"/>
          <w:sz w:val="21"/>
        </w:rPr>
        <w:t>SCENARIO-SPECIFIC.</w:t>
      </w:r>
      <w:r>
        <w:rPr>
          <w:rFonts w:ascii="Arial" w:hAnsi="Arial"/>
          <w:b w:val="0"/>
          <w:i w:val="0"/>
          <w:color w:val="1E242A"/>
          <w:sz w:val="21"/>
        </w:rPr>
        <w:t xml:space="preserve"> The </w:t>
      </w:r>
      <w:hyperlink r:id="rId112">
        <w:r>
          <w:rPr>
            <w:color w:val="2C5F80"/>
            <w:u w:val="single"/>
            <w:rFonts w:ascii="Arial" w:hAnsi="Arial"/>
            <w:sz w:val="21"/>
          </w:rPr>
          <w:t>Brazilian Forum on Public Security's 2024 Amazon mapping</w:t>
        </w:r>
      </w:hyperlink>
      <w:r>
        <w:rPr>
          <w:rFonts w:ascii="Arial" w:hAnsi="Arial"/>
          <w:b w:val="0"/>
          <w:i w:val="0"/>
          <w:color w:val="1E242A"/>
          <w:sz w:val="21"/>
        </w:rPr>
        <w:t xml:space="preserve"> reported faction presence in 260 of 772 Legal Amazon municipalities, with CV in about half. Such figures depend on police intelligence, coding and date. They are useful scenario inputs but not permanent Country Knowledge. National membership totals, fixed hierarchies and territorial-control maps should always preserve source, date, method and uncertainty.</w:t>
      </w:r>
    </w:p>
    <w:p>
      <w:pPr>
        <w:pStyle w:val="Heading1"/>
      </w:pPr>
      <w:r>
        <w:rPr>
          <w:rFonts w:ascii="Arial" w:hAnsi="Arial"/>
          <w:b w:val="0"/>
          <w:i w:val="0"/>
          <w:color w:val="183752"/>
          <w:sz w:val="34"/>
        </w:rPr>
        <w:t>17 Independent security activity and presidential agenda generation</w:t>
      </w:r>
    </w:p>
    <w:p>
      <w:pPr>
        <w:pStyle w:val="Heading2"/>
      </w:pPr>
      <w:r>
        <w:rPr>
          <w:rFonts w:ascii="Arial" w:hAnsi="Arial"/>
          <w:b w:val="0"/>
          <w:i w:val="0"/>
          <w:color w:val="2C5F80"/>
          <w:sz w:val="27"/>
        </w:rPr>
        <w:t>17.1 Recurring originators</w:t>
      </w:r>
    </w:p>
    <w:tbl>
      <w:tblPr>
        <w:tblW w:type="dxa" w:w="9360"/>
        <w:jc w:val="center"/>
        <w:tblLayout w:type="fixed"/>
        <w:tblLook w:firstColumn="1" w:firstRow="1" w:lastColumn="0" w:lastRow="0" w:noHBand="0" w:noVBand="1" w:val="04A0"/>
        <w:tblInd w:type="dxa" w:w="120"/>
      </w:tblPr>
      <w:tblGrid>
        <w:gridCol w:w="3120"/>
        <w:gridCol w:w="3120"/>
        <w:gridCol w:w="3120"/>
      </w:tblGrid>
      <w:tr>
        <w:trPr>
          <w:tblHeader w:val="true"/>
          <w:cantSplit/>
        </w:trPr>
        <w:tc>
          <w:tcPr>
            <w:tcW w:type="dxa" w:w="3120"/>
            <w:vAlign w:val="top"/>
            <w:shd w:fill="EAF1F5"/>
          </w:tcPr>
          <w:p>
            <w:r/>
            <w:r>
              <w:rPr>
                <w:rFonts w:ascii="Arial" w:hAnsi="Arial"/>
                <w:b w:val="0"/>
                <w:i w:val="0"/>
                <w:color w:val="183752"/>
                <w:sz w:val="16"/>
              </w:rPr>
              <w:t>Originating actor</w:t>
            </w:r>
          </w:p>
        </w:tc>
        <w:tc>
          <w:tcPr>
            <w:tcW w:type="dxa" w:w="3120"/>
            <w:vAlign w:val="top"/>
            <w:shd w:fill="EAF1F5"/>
          </w:tcPr>
          <w:p>
            <w:r/>
            <w:r>
              <w:rPr>
                <w:rFonts w:ascii="Arial" w:hAnsi="Arial"/>
                <w:b w:val="0"/>
                <w:i w:val="0"/>
                <w:color w:val="183752"/>
                <w:sz w:val="16"/>
              </w:rPr>
              <w:t>Development it can generate without presidential order</w:t>
            </w:r>
          </w:p>
        </w:tc>
        <w:tc>
          <w:tcPr>
            <w:tcW w:type="dxa" w:w="3120"/>
            <w:vAlign w:val="top"/>
            <w:shd w:fill="EAF1F5"/>
          </w:tcPr>
          <w:p>
            <w:r/>
            <w:r>
              <w:rPr>
                <w:rFonts w:ascii="Arial" w:hAnsi="Arial"/>
                <w:b w:val="0"/>
                <w:i w:val="0"/>
                <w:color w:val="183752"/>
                <w:sz w:val="16"/>
              </w:rPr>
              <w:t>Presidential response status</w:t>
            </w:r>
          </w:p>
        </w:tc>
      </w:tr>
      <w:tr>
        <w:trPr>
          <w:cantSplit/>
        </w:trPr>
        <w:tc>
          <w:tcPr>
            <w:tcW w:type="dxa" w:w="3120"/>
            <w:vAlign w:val="top"/>
          </w:tcPr>
          <w:p>
            <w:r/>
            <w:r>
              <w:rPr>
                <w:rFonts w:ascii="Arial" w:hAnsi="Arial"/>
                <w:b w:val="0"/>
                <w:i w:val="0"/>
                <w:color w:val="1E242A"/>
                <w:sz w:val="16"/>
              </w:rPr>
              <w:t>Governor or state secretary</w:t>
            </w:r>
          </w:p>
        </w:tc>
        <w:tc>
          <w:tcPr>
            <w:tcW w:type="dxa" w:w="3120"/>
            <w:vAlign w:val="top"/>
          </w:tcPr>
          <w:p>
            <w:r/>
            <w:r>
              <w:rPr>
                <w:rFonts w:ascii="Arial" w:hAnsi="Arial"/>
                <w:b w:val="0"/>
                <w:i w:val="0"/>
                <w:color w:val="1E242A"/>
                <w:sz w:val="16"/>
              </w:rPr>
              <w:t>Request Força Nacional, equipment, intelligence, prison place or crisis coordination; launch state operation</w:t>
            </w:r>
          </w:p>
        </w:tc>
        <w:tc>
          <w:tcPr>
            <w:tcW w:type="dxa" w:w="3120"/>
            <w:vAlign w:val="top"/>
          </w:tcPr>
          <w:p>
            <w:r/>
            <w:r>
              <w:rPr>
                <w:rFonts w:ascii="Arial" w:hAnsi="Arial"/>
                <w:b w:val="0"/>
                <w:i w:val="0"/>
                <w:color w:val="1E242A"/>
                <w:sz w:val="16"/>
              </w:rPr>
              <w:t>President or MJSP may respond within law; usually politically expected, not automatically legally compelled</w:t>
            </w:r>
          </w:p>
        </w:tc>
      </w:tr>
      <w:tr>
        <w:trPr>
          <w:cantSplit/>
        </w:trPr>
        <w:tc>
          <w:tcPr>
            <w:tcW w:type="dxa" w:w="3120"/>
            <w:vAlign w:val="top"/>
          </w:tcPr>
          <w:p>
            <w:r/>
            <w:r>
              <w:rPr>
                <w:rFonts w:ascii="Arial" w:hAnsi="Arial"/>
                <w:b w:val="0"/>
                <w:i w:val="0"/>
                <w:color w:val="1E242A"/>
                <w:sz w:val="16"/>
              </w:rPr>
              <w:t>PF delegate or unit</w:t>
            </w:r>
          </w:p>
        </w:tc>
        <w:tc>
          <w:tcPr>
            <w:tcW w:type="dxa" w:w="3120"/>
            <w:vAlign w:val="top"/>
          </w:tcPr>
          <w:p>
            <w:r/>
            <w:r>
              <w:rPr>
                <w:rFonts w:ascii="Arial" w:hAnsi="Arial"/>
                <w:b w:val="0"/>
                <w:i w:val="0"/>
                <w:color w:val="1E242A"/>
                <w:sz w:val="16"/>
              </w:rPr>
              <w:t>Open or advance a federal inquiry, execute warrants, uncover politically sensitive evidence, request international assistance</w:t>
            </w:r>
          </w:p>
        </w:tc>
        <w:tc>
          <w:tcPr>
            <w:tcW w:type="dxa" w:w="3120"/>
            <w:vAlign w:val="top"/>
          </w:tcPr>
          <w:p>
            <w:r/>
            <w:r>
              <w:rPr>
                <w:rFonts w:ascii="Arial" w:hAnsi="Arial"/>
                <w:b w:val="0"/>
                <w:i w:val="0"/>
                <w:color w:val="1E242A"/>
                <w:sz w:val="16"/>
              </w:rPr>
              <w:t>Executive must not dictate merits; may ensure resources and lawful cooperation</w:t>
            </w:r>
          </w:p>
        </w:tc>
      </w:tr>
      <w:tr>
        <w:trPr>
          <w:cantSplit/>
        </w:trPr>
        <w:tc>
          <w:tcPr>
            <w:tcW w:type="dxa" w:w="3120"/>
            <w:vAlign w:val="top"/>
          </w:tcPr>
          <w:p>
            <w:r/>
            <w:r>
              <w:rPr>
                <w:rFonts w:ascii="Arial" w:hAnsi="Arial"/>
                <w:b w:val="0"/>
                <w:i w:val="0"/>
                <w:color w:val="1E242A"/>
                <w:sz w:val="16"/>
              </w:rPr>
              <w:t>MPF or state MP</w:t>
            </w:r>
          </w:p>
        </w:tc>
        <w:tc>
          <w:tcPr>
            <w:tcW w:type="dxa" w:w="3120"/>
            <w:vAlign w:val="top"/>
          </w:tcPr>
          <w:p>
            <w:r/>
            <w:r>
              <w:rPr>
                <w:rFonts w:ascii="Arial" w:hAnsi="Arial"/>
                <w:b w:val="0"/>
                <w:i w:val="0"/>
                <w:color w:val="1E242A"/>
                <w:sz w:val="16"/>
              </w:rPr>
              <w:t>Open investigation, requisition steps, seek warrant, charge, negotiate collaboration, challenge policy</w:t>
            </w:r>
          </w:p>
        </w:tc>
        <w:tc>
          <w:tcPr>
            <w:tcW w:type="dxa" w:w="3120"/>
            <w:vAlign w:val="top"/>
          </w:tcPr>
          <w:p>
            <w:r/>
            <w:r>
              <w:rPr>
                <w:rFonts w:ascii="Arial" w:hAnsi="Arial"/>
                <w:b w:val="0"/>
                <w:i w:val="0"/>
                <w:color w:val="1E242A"/>
                <w:sz w:val="16"/>
              </w:rPr>
              <w:t>President cannot direct or stop it; executive may defend itself and comply or litigate lawfully</w:t>
            </w:r>
          </w:p>
        </w:tc>
      </w:tr>
      <w:tr>
        <w:trPr>
          <w:cantSplit/>
        </w:trPr>
        <w:tc>
          <w:tcPr>
            <w:tcW w:type="dxa" w:w="3120"/>
            <w:vAlign w:val="top"/>
          </w:tcPr>
          <w:p>
            <w:r/>
            <w:r>
              <w:rPr>
                <w:rFonts w:ascii="Arial" w:hAnsi="Arial"/>
                <w:b w:val="0"/>
                <w:i w:val="0"/>
                <w:color w:val="1E242A"/>
                <w:sz w:val="16"/>
              </w:rPr>
              <w:t>Judge or tribunal</w:t>
            </w:r>
          </w:p>
        </w:tc>
        <w:tc>
          <w:tcPr>
            <w:tcW w:type="dxa" w:w="3120"/>
            <w:vAlign w:val="top"/>
          </w:tcPr>
          <w:p>
            <w:r/>
            <w:r>
              <w:rPr>
                <w:rFonts w:ascii="Arial" w:hAnsi="Arial"/>
                <w:b w:val="0"/>
                <w:i w:val="0"/>
                <w:color w:val="1E242A"/>
                <w:sz w:val="16"/>
              </w:rPr>
              <w:t>Authorise or refuse coercion, release detainee, restrain asset, suppress evidence, order structural change, resolve jurisdiction</w:t>
            </w:r>
          </w:p>
        </w:tc>
        <w:tc>
          <w:tcPr>
            <w:tcW w:type="dxa" w:w="3120"/>
            <w:vAlign w:val="top"/>
          </w:tcPr>
          <w:p>
            <w:r/>
            <w:r>
              <w:rPr>
                <w:rFonts w:ascii="Arial" w:hAnsi="Arial"/>
                <w:b w:val="0"/>
                <w:i w:val="0"/>
                <w:color w:val="1E242A"/>
                <w:sz w:val="16"/>
              </w:rPr>
              <w:t>Binding orders require compliance subject to lawful appeal; President cannot reverse by instruction</w:t>
            </w:r>
          </w:p>
        </w:tc>
      </w:tr>
      <w:tr>
        <w:trPr>
          <w:cantSplit/>
        </w:trPr>
        <w:tc>
          <w:tcPr>
            <w:tcW w:type="dxa" w:w="3120"/>
            <w:vAlign w:val="top"/>
          </w:tcPr>
          <w:p>
            <w:r/>
            <w:r>
              <w:rPr>
                <w:rFonts w:ascii="Arial" w:hAnsi="Arial"/>
                <w:b w:val="0"/>
                <w:i w:val="0"/>
                <w:color w:val="1E242A"/>
                <w:sz w:val="16"/>
              </w:rPr>
              <w:t>COAF</w:t>
            </w:r>
          </w:p>
        </w:tc>
        <w:tc>
          <w:tcPr>
            <w:tcW w:type="dxa" w:w="3120"/>
            <w:vAlign w:val="top"/>
          </w:tcPr>
          <w:p>
            <w:r/>
            <w:r>
              <w:rPr>
                <w:rFonts w:ascii="Arial" w:hAnsi="Arial"/>
                <w:b w:val="0"/>
                <w:i w:val="0"/>
                <w:color w:val="1E242A"/>
                <w:sz w:val="16"/>
              </w:rPr>
              <w:t>Generate and disseminate a spontaneous RIF</w:t>
            </w:r>
          </w:p>
        </w:tc>
        <w:tc>
          <w:tcPr>
            <w:tcW w:type="dxa" w:w="3120"/>
            <w:vAlign w:val="top"/>
          </w:tcPr>
          <w:p>
            <w:r/>
            <w:r>
              <w:rPr>
                <w:rFonts w:ascii="Arial" w:hAnsi="Arial"/>
                <w:b w:val="0"/>
                <w:i w:val="0"/>
                <w:color w:val="1E242A"/>
                <w:sz w:val="16"/>
              </w:rPr>
              <w:t>May lead to investigation; political access is barred</w:t>
            </w:r>
          </w:p>
        </w:tc>
      </w:tr>
      <w:tr>
        <w:trPr>
          <w:cantSplit/>
        </w:trPr>
        <w:tc>
          <w:tcPr>
            <w:tcW w:type="dxa" w:w="3120"/>
            <w:vAlign w:val="top"/>
          </w:tcPr>
          <w:p>
            <w:r/>
            <w:r>
              <w:rPr>
                <w:rFonts w:ascii="Arial" w:hAnsi="Arial"/>
                <w:b w:val="0"/>
                <w:i w:val="0"/>
                <w:color w:val="1E242A"/>
                <w:sz w:val="16"/>
              </w:rPr>
              <w:t>ABIN or SISBIN member</w:t>
            </w:r>
          </w:p>
        </w:tc>
        <w:tc>
          <w:tcPr>
            <w:tcW w:type="dxa" w:w="3120"/>
            <w:vAlign w:val="top"/>
          </w:tcPr>
          <w:p>
            <w:r/>
            <w:r>
              <w:rPr>
                <w:rFonts w:ascii="Arial" w:hAnsi="Arial"/>
                <w:b w:val="0"/>
                <w:i w:val="0"/>
                <w:color w:val="1E242A"/>
                <w:sz w:val="16"/>
              </w:rPr>
              <w:t>Produce warning or assessment; identify threat requiring referral</w:t>
            </w:r>
          </w:p>
        </w:tc>
        <w:tc>
          <w:tcPr>
            <w:tcW w:type="dxa" w:w="3120"/>
            <w:vAlign w:val="top"/>
          </w:tcPr>
          <w:p>
            <w:r/>
            <w:r>
              <w:rPr>
                <w:rFonts w:ascii="Arial" w:hAnsi="Arial"/>
                <w:b w:val="0"/>
                <w:i w:val="0"/>
                <w:color w:val="1E242A"/>
                <w:sz w:val="16"/>
              </w:rPr>
              <w:t>President may task priorities and receive lawful strategic intelligence; enforcement goes to competent body</w:t>
            </w:r>
          </w:p>
        </w:tc>
      </w:tr>
      <w:tr>
        <w:trPr>
          <w:cantSplit/>
        </w:trPr>
        <w:tc>
          <w:tcPr>
            <w:tcW w:type="dxa" w:w="3120"/>
            <w:vAlign w:val="top"/>
          </w:tcPr>
          <w:p>
            <w:r/>
            <w:r>
              <w:rPr>
                <w:rFonts w:ascii="Arial" w:hAnsi="Arial"/>
                <w:b w:val="0"/>
                <w:i w:val="0"/>
                <w:color w:val="1E242A"/>
                <w:sz w:val="16"/>
              </w:rPr>
              <w:t>SENAPPEN or prison authority</w:t>
            </w:r>
          </w:p>
        </w:tc>
        <w:tc>
          <w:tcPr>
            <w:tcW w:type="dxa" w:w="3120"/>
            <w:vAlign w:val="top"/>
          </w:tcPr>
          <w:p>
            <w:r/>
            <w:r>
              <w:rPr>
                <w:rFonts w:ascii="Arial" w:hAnsi="Arial"/>
                <w:b w:val="0"/>
                <w:i w:val="0"/>
                <w:color w:val="1E242A"/>
                <w:sz w:val="16"/>
              </w:rPr>
              <w:t>Report disturbance, intelligence, capacity crisis or transfer need; restrict visits under lawful authority</w:t>
            </w:r>
          </w:p>
        </w:tc>
        <w:tc>
          <w:tcPr>
            <w:tcW w:type="dxa" w:w="3120"/>
            <w:vAlign w:val="top"/>
          </w:tcPr>
          <w:p>
            <w:r/>
            <w:r>
              <w:rPr>
                <w:rFonts w:ascii="Arial" w:hAnsi="Arial"/>
                <w:b w:val="0"/>
                <w:i w:val="0"/>
                <w:color w:val="1E242A"/>
                <w:sz w:val="16"/>
              </w:rPr>
              <w:t>MJSP can coordinate/support; judicial and state roles remain</w:t>
            </w:r>
          </w:p>
        </w:tc>
      </w:tr>
      <w:tr>
        <w:trPr>
          <w:cantSplit/>
        </w:trPr>
        <w:tc>
          <w:tcPr>
            <w:tcW w:type="dxa" w:w="3120"/>
            <w:vAlign w:val="top"/>
          </w:tcPr>
          <w:p>
            <w:r/>
            <w:r>
              <w:rPr>
                <w:rFonts w:ascii="Arial" w:hAnsi="Arial"/>
                <w:b w:val="0"/>
                <w:i w:val="0"/>
                <w:color w:val="1E242A"/>
                <w:sz w:val="16"/>
              </w:rPr>
              <w:t>Criminal organisation</w:t>
            </w:r>
          </w:p>
        </w:tc>
        <w:tc>
          <w:tcPr>
            <w:tcW w:type="dxa" w:w="3120"/>
            <w:vAlign w:val="top"/>
          </w:tcPr>
          <w:p>
            <w:r/>
            <w:r>
              <w:rPr>
                <w:rFonts w:ascii="Arial" w:hAnsi="Arial"/>
                <w:b w:val="0"/>
                <w:i w:val="0"/>
                <w:color w:val="1E242A"/>
                <w:sz w:val="16"/>
              </w:rPr>
              <w:t>Retaliation, alliance, rupture, relocation, route change, laundering adaptation, prison mobilisation or territorial coercion</w:t>
            </w:r>
          </w:p>
        </w:tc>
        <w:tc>
          <w:tcPr>
            <w:tcW w:type="dxa" w:w="3120"/>
            <w:vAlign w:val="top"/>
          </w:tcPr>
          <w:p>
            <w:r/>
            <w:r>
              <w:rPr>
                <w:rFonts w:ascii="Arial" w:hAnsi="Arial"/>
                <w:b w:val="0"/>
                <w:i w:val="0"/>
                <w:color w:val="1E242A"/>
                <w:sz w:val="16"/>
              </w:rPr>
              <w:t>Creates policy demand; immediate response often begins with states, police, prisons, MP and courts</w:t>
            </w:r>
          </w:p>
        </w:tc>
      </w:tr>
      <w:tr>
        <w:trPr>
          <w:cantSplit/>
        </w:trPr>
        <w:tc>
          <w:tcPr>
            <w:tcW w:type="dxa" w:w="3120"/>
            <w:vAlign w:val="top"/>
          </w:tcPr>
          <w:p>
            <w:r/>
            <w:r>
              <w:rPr>
                <w:rFonts w:ascii="Arial" w:hAnsi="Arial"/>
                <w:b w:val="0"/>
                <w:i w:val="0"/>
                <w:color w:val="1E242A"/>
                <w:sz w:val="16"/>
              </w:rPr>
              <w:t>Foreign authority or international body</w:t>
            </w:r>
          </w:p>
        </w:tc>
        <w:tc>
          <w:tcPr>
            <w:tcW w:type="dxa" w:w="3120"/>
            <w:vAlign w:val="top"/>
          </w:tcPr>
          <w:p>
            <w:r/>
            <w:r>
              <w:rPr>
                <w:rFonts w:ascii="Arial" w:hAnsi="Arial"/>
                <w:b w:val="0"/>
                <w:i w:val="0"/>
                <w:color w:val="1E242A"/>
                <w:sz w:val="16"/>
              </w:rPr>
              <w:t>Extradition, evidence, liaison, sanctions or mutual-assistance request</w:t>
            </w:r>
          </w:p>
        </w:tc>
        <w:tc>
          <w:tcPr>
            <w:tcW w:type="dxa" w:w="3120"/>
            <w:vAlign w:val="top"/>
          </w:tcPr>
          <w:p>
            <w:r/>
            <w:r>
              <w:rPr>
                <w:rFonts w:ascii="Arial" w:hAnsi="Arial"/>
                <w:b w:val="0"/>
                <w:i w:val="0"/>
                <w:color w:val="1E242A"/>
                <w:sz w:val="16"/>
              </w:rPr>
              <w:t>Executive, police, MP, courts and foreign-affairs bodies act according to instrument; no unilateral guarantee</w:t>
            </w:r>
          </w:p>
        </w:tc>
      </w:tr>
      <w:tr>
        <w:trPr>
          <w:cantSplit/>
        </w:trPr>
        <w:tc>
          <w:tcPr>
            <w:tcW w:type="dxa" w:w="3120"/>
            <w:vAlign w:val="top"/>
          </w:tcPr>
          <w:p>
            <w:r/>
            <w:r>
              <w:rPr>
                <w:rFonts w:ascii="Arial" w:hAnsi="Arial"/>
                <w:b w:val="0"/>
                <w:i w:val="0"/>
                <w:color w:val="1E242A"/>
                <w:sz w:val="16"/>
              </w:rPr>
              <w:t>STF or other court</w:t>
            </w:r>
          </w:p>
        </w:tc>
        <w:tc>
          <w:tcPr>
            <w:tcW w:type="dxa" w:w="3120"/>
            <w:vAlign w:val="top"/>
          </w:tcPr>
          <w:p>
            <w:r/>
            <w:r>
              <w:rPr>
                <w:rFonts w:ascii="Arial" w:hAnsi="Arial"/>
                <w:b w:val="0"/>
                <w:i w:val="0"/>
                <w:color w:val="1E242A"/>
                <w:sz w:val="16"/>
              </w:rPr>
              <w:t>Constitutional ruling on police lethality, intelligence sharing, evidence, emergency power or new statute</w:t>
            </w:r>
          </w:p>
        </w:tc>
        <w:tc>
          <w:tcPr>
            <w:tcW w:type="dxa" w:w="3120"/>
            <w:vAlign w:val="top"/>
          </w:tcPr>
          <w:p>
            <w:r/>
            <w:r>
              <w:rPr>
                <w:rFonts w:ascii="Arial" w:hAnsi="Arial"/>
                <w:b w:val="0"/>
                <w:i w:val="0"/>
                <w:color w:val="1E242A"/>
                <w:sz w:val="16"/>
              </w:rPr>
              <w:t>Government must comply or seek lawful clarification/change; may require nationwide policy revision</w:t>
            </w:r>
          </w:p>
        </w:tc>
      </w:tr>
    </w:tbl>
    <w:p>
      <w:pPr>
        <w:spacing w:after="40"/>
      </w:pPr>
    </w:p>
    <w:p>
      <w:pPr>
        <w:pStyle w:val="Heading2"/>
      </w:pPr>
      <w:r>
        <w:rPr>
          <w:rFonts w:ascii="Arial" w:hAnsi="Arial"/>
          <w:b w:val="0"/>
          <w:i w:val="0"/>
          <w:color w:val="2C5F80"/>
          <w:sz w:val="27"/>
        </w:rPr>
        <w:t>17.2 Why this matters</w:t>
      </w:r>
    </w:p>
    <w:p>
      <w:r>
        <w:rPr>
          <w:rFonts w:ascii="Arial" w:hAnsi="Arial"/>
          <w:b w:val="0"/>
          <w:i w:val="0"/>
          <w:color w:val="1E242A"/>
          <w:sz w:val="21"/>
        </w:rPr>
        <w:t>Security history often reaches the presidential agenda from below or outside the executive. A credible representation must allow institutions to mature evidence, deliver judgments, request assistance and create crises independently. Presidential inaction may itself have political consequences, but legal responsibility varies: some responses are required by judicial order or statute; others are politically expected; some are merely permitted; and direct intervention in an independent process is forbidden.</w:t>
      </w:r>
    </w:p>
    <w:p>
      <w:pPr>
        <w:pStyle w:val="Heading1"/>
      </w:pPr>
      <w:r>
        <w:rPr>
          <w:rFonts w:ascii="Arial" w:hAnsi="Arial"/>
          <w:b w:val="0"/>
          <w:i w:val="0"/>
          <w:color w:val="183752"/>
          <w:sz w:val="34"/>
        </w:rPr>
        <w:t>18 Government action pathways by objective</w:t>
      </w:r>
    </w:p>
    <w:p>
      <w:pPr>
        <w:pStyle w:val="Heading2"/>
      </w:pPr>
      <w:r>
        <w:rPr>
          <w:rFonts w:ascii="Arial" w:hAnsi="Arial"/>
          <w:b w:val="0"/>
          <w:i w:val="0"/>
          <w:color w:val="2C5F80"/>
          <w:sz w:val="27"/>
        </w:rPr>
        <w:t>18.1 Reduce PCC territorial and financial power</w:t>
      </w:r>
    </w:p>
    <w:p>
      <w:r>
        <w:rPr>
          <w:rFonts w:ascii="Arial" w:hAnsi="Arial"/>
          <w:b/>
          <w:i w:val="0"/>
          <w:color w:val="1E242A"/>
          <w:sz w:val="21"/>
        </w:rPr>
        <w:t>Policy instruments.</w:t>
      </w:r>
      <w:r>
        <w:rPr>
          <w:rFonts w:ascii="Arial" w:hAnsi="Arial"/>
          <w:b w:val="0"/>
          <w:i w:val="0"/>
          <w:color w:val="1E242A"/>
          <w:sz w:val="21"/>
        </w:rPr>
        <w:t xml:space="preserve"> Set federal organised-crime and financial priorities; resource PF, border, cyber and forensic units; reinforce COAF and regulator capacity without case access; use SUSP/FICCO cooperation; negotiate state prison and territorial strategies; pursue international evidence; propose targeted law or appropriations; support asset administration.</w:t>
      </w:r>
    </w:p>
    <w:p>
      <w:r>
        <w:rPr>
          <w:rFonts w:ascii="Arial" w:hAnsi="Arial"/>
          <w:b/>
          <w:i w:val="0"/>
          <w:color w:val="1E242A"/>
          <w:sz w:val="21"/>
        </w:rPr>
        <w:t>Implementation path.</w:t>
      </w:r>
      <w:r>
        <w:rPr>
          <w:rFonts w:ascii="Arial" w:hAnsi="Arial"/>
          <w:b w:val="0"/>
          <w:i w:val="0"/>
          <w:color w:val="1E242A"/>
          <w:sz w:val="21"/>
        </w:rPr>
        <w:t xml:space="preserve"> Federal and state investigators develop evidence; COAF or Receita may supply lawful intelligence; MP independently evaluates applications and charges; courts authorise searches, interceptions, restraints and custody; prisons and governors implement state-dependent measures.</w:t>
      </w:r>
    </w:p>
    <w:p>
      <w:r>
        <w:rPr>
          <w:rFonts w:ascii="Arial" w:hAnsi="Arial"/>
          <w:b/>
          <w:i w:val="0"/>
          <w:color w:val="1E242A"/>
          <w:sz w:val="21"/>
        </w:rPr>
        <w:t>Constraints.</w:t>
      </w:r>
      <w:r>
        <w:rPr>
          <w:rFonts w:ascii="Arial" w:hAnsi="Arial"/>
          <w:b w:val="0"/>
          <w:i w:val="0"/>
          <w:color w:val="1E242A"/>
          <w:sz w:val="21"/>
        </w:rPr>
        <w:t xml:space="preserve"> Federal jurisdiction, secrecy, judicial reservation, prosecutorial independence, state cooperation, prison capacity, due process and organisational adaptation. Speed is high for reallocating existing federal effort, slower for cooperation, hiring, legislation and final forfeiture.</w:t>
      </w:r>
    </w:p>
    <w:p>
      <w:pPr>
        <w:pStyle w:val="Heading2"/>
      </w:pPr>
      <w:r>
        <w:rPr>
          <w:rFonts w:ascii="Arial" w:hAnsi="Arial"/>
          <w:b w:val="0"/>
          <w:i w:val="0"/>
          <w:color w:val="2C5F80"/>
          <w:sz w:val="27"/>
        </w:rPr>
        <w:t>18.2 Reduce arms trafficking and strengthen borders</w:t>
      </w:r>
    </w:p>
    <w:p>
      <w:r>
        <w:rPr>
          <w:rFonts w:ascii="Arial" w:hAnsi="Arial"/>
          <w:b w:val="0"/>
          <w:i w:val="0"/>
          <w:color w:val="1E242A"/>
          <w:sz w:val="21"/>
        </w:rPr>
        <w:t>Use PF, PRF, Receita and military border powers in their separate competences; focus intelligence on routes and financial sponsors; integrate with state police and neighbouring governments; improve scanners, registries and tracing; employ controlled delivery and mutual assistance when legally justified. Expect route substitution. Named searches and arrests still require case-level legal predicates.</w:t>
      </w:r>
    </w:p>
    <w:p>
      <w:pPr>
        <w:pStyle w:val="Heading2"/>
      </w:pPr>
      <w:r>
        <w:rPr>
          <w:rFonts w:ascii="Arial" w:hAnsi="Arial"/>
          <w:b w:val="0"/>
          <w:i w:val="0"/>
          <w:color w:val="2C5F80"/>
          <w:sz w:val="27"/>
        </w:rPr>
        <w:t>18.3 Respond to coordinated urban violence</w:t>
      </w:r>
    </w:p>
    <w:p>
      <w:r>
        <w:rPr>
          <w:rFonts w:ascii="Arial" w:hAnsi="Arial"/>
          <w:b w:val="0"/>
          <w:i w:val="0"/>
          <w:color w:val="1E242A"/>
          <w:sz w:val="21"/>
        </w:rPr>
        <w:t>State incident command and state police act first in ordinary cases. The governor may seek Força Nacional, intelligence, logistics or prison support. Federal bodies act without consent where genuine federal jurisdiction exists. MJSP can convene SUSP coordination. GLO or intervention is available only under its distinct exceptional predicates. Immediate force must still comply with constitutional and use-of-force law.</w:t>
      </w:r>
    </w:p>
    <w:p>
      <w:pPr>
        <w:pStyle w:val="Heading2"/>
      </w:pPr>
      <w:r>
        <w:rPr>
          <w:rFonts w:ascii="Arial" w:hAnsi="Arial"/>
          <w:b w:val="0"/>
          <w:i w:val="0"/>
          <w:color w:val="2C5F80"/>
          <w:sz w:val="27"/>
        </w:rPr>
        <w:t>18.4 Increase intelligence capability</w:t>
      </w:r>
    </w:p>
    <w:p>
      <w:r>
        <w:rPr>
          <w:rFonts w:ascii="Arial" w:hAnsi="Arial"/>
          <w:b w:val="0"/>
          <w:i w:val="0"/>
          <w:color w:val="1E242A"/>
          <w:sz w:val="21"/>
        </w:rPr>
        <w:t>Set the National Intelligence Policy; nominate ABIN leadership subject to Senate; budget for secure systems and professional staff; improve CCAI-compliant oversight; convene SISBIN; issue lawful organisational decrees. The desired output is strategic knowledge, not an executive-controlled criminal dossier. Protected data, functional autonomy and judicial reservation remain.</w:t>
      </w:r>
    </w:p>
    <w:p>
      <w:pPr>
        <w:pStyle w:val="Heading2"/>
      </w:pPr>
      <w:r>
        <w:rPr>
          <w:rFonts w:ascii="Arial" w:hAnsi="Arial"/>
          <w:b w:val="0"/>
          <w:i w:val="0"/>
          <w:color w:val="2C5F80"/>
          <w:sz w:val="27"/>
        </w:rPr>
        <w:t>18.5 Improve federal state cooperation</w:t>
      </w:r>
    </w:p>
    <w:p>
      <w:r>
        <w:rPr>
          <w:rFonts w:ascii="Arial" w:hAnsi="Arial"/>
          <w:b w:val="0"/>
          <w:i w:val="0"/>
          <w:color w:val="1E242A"/>
          <w:sz w:val="21"/>
        </w:rPr>
        <w:t>Negotiate SUSP plans and agreements; harmonise data and training; create joint task forces; target grants and equipment within statutory conditions; offer temporary Força Nacional support when a valid request exists; publish interoperable standards; support state prisons and forensics. Political trust, gubernatorial consent and local implementation capacity are as important as formal federal resources.</w:t>
      </w:r>
    </w:p>
    <w:p>
      <w:pPr>
        <w:pStyle w:val="Heading2"/>
      </w:pPr>
      <w:r>
        <w:rPr>
          <w:rFonts w:ascii="Arial" w:hAnsi="Arial"/>
          <w:b w:val="0"/>
          <w:i w:val="0"/>
          <w:color w:val="2C5F80"/>
          <w:sz w:val="27"/>
        </w:rPr>
        <w:t>18.6 Respond to cyber threats</w:t>
      </w:r>
    </w:p>
    <w:p>
      <w:r>
        <w:rPr>
          <w:rFonts w:ascii="Arial" w:hAnsi="Arial"/>
          <w:b w:val="0"/>
          <w:i w:val="0"/>
          <w:color w:val="1E242A"/>
          <w:sz w:val="21"/>
        </w:rPr>
        <w:t>Distinguish crime, intelligence, defence and infrastructure regulation. PF investigates federal or qualifying transnational cybercrime; ABIN assesses strategic threats; GSI and sector regulators protect government and critical systems within assigned competences; MP and courts handle prosecution and reserved evidence access; states retain ordinary crime. The President can establish national policy, coordination and resources but cannot authorise indiscriminate access to private data.</w:t>
      </w:r>
    </w:p>
    <w:p>
      <w:pPr>
        <w:pStyle w:val="Heading2"/>
      </w:pPr>
      <w:r>
        <w:rPr>
          <w:rFonts w:ascii="Arial" w:hAnsi="Arial"/>
          <w:b w:val="0"/>
          <w:i w:val="0"/>
          <w:color w:val="2C5F80"/>
          <w:sz w:val="27"/>
        </w:rPr>
        <w:t>18.7 Disrupt criminal financial networks</w:t>
      </w:r>
    </w:p>
    <w:p>
      <w:r>
        <w:rPr>
          <w:rFonts w:ascii="Arial" w:hAnsi="Arial"/>
          <w:b w:val="0"/>
          <w:i w:val="0"/>
          <w:color w:val="1E242A"/>
          <w:sz w:val="21"/>
        </w:rPr>
        <w:t>Strengthen reporting and supervisory frameworks, data security and international FIU links; prioritise federal money-laundering investigation; combine Receita, regulators, PF, MP and foreign evidence; seek targeted judicial restraints; administer assets professionally and expedite lawful sale. The decisive distinction is between intelligence, evidential access, restraint and final fiscal availability.</w:t>
      </w:r>
    </w:p>
    <w:p>
      <w:pPr>
        <w:pStyle w:val="Heading2"/>
      </w:pPr>
      <w:r>
        <w:rPr>
          <w:rFonts w:ascii="Arial" w:hAnsi="Arial"/>
          <w:b w:val="0"/>
          <w:i w:val="0"/>
          <w:color w:val="2C5F80"/>
          <w:sz w:val="27"/>
        </w:rPr>
        <w:t>18.8 Address prison based leadership</w:t>
      </w:r>
    </w:p>
    <w:p>
      <w:r>
        <w:rPr>
          <w:rFonts w:ascii="Arial" w:hAnsi="Arial"/>
          <w:b w:val="0"/>
          <w:i w:val="0"/>
          <w:color w:val="1E242A"/>
          <w:sz w:val="21"/>
        </w:rPr>
        <w:t>Support state prison integrity and communications controls; improve penal intelligence; seek RDD or federal transfer through competent applicants and courts; fund infrastructure and staff; coordinate simultaneous investigations outside prisons. Transfers are temporary, capacity-limited and judicially reviewed. Network resilience and diffusion risk mean isolation is a disruption instrument, not an assured dismantlement outcome.</w:t>
      </w:r>
    </w:p>
    <w:p>
      <w:pPr>
        <w:pStyle w:val="Heading2"/>
      </w:pPr>
      <w:r>
        <w:rPr>
          <w:rFonts w:ascii="Arial" w:hAnsi="Arial"/>
          <w:b w:val="0"/>
          <w:i w:val="0"/>
          <w:color w:val="2C5F80"/>
          <w:sz w:val="27"/>
        </w:rPr>
        <w:t>18.9 Handle severe public disorder</w:t>
      </w:r>
    </w:p>
    <w:p>
      <w:r>
        <w:rPr>
          <w:rFonts w:ascii="Arial" w:hAnsi="Arial"/>
          <w:b w:val="0"/>
          <w:i w:val="0"/>
          <w:color w:val="1E242A"/>
          <w:sz w:val="21"/>
        </w:rPr>
        <w:t>Ordinary public-order policing belongs principally to governors and military police. Federal support can arrive through cooperation, Força Nacional or federal jurisdiction. A GLO is temporary and subsidiary. Defence or siege requires constitutional instability or calamity conditions and Congress; intervention displaces a specified state authority only under enumerated grounds. Peaceful protest protections and differentiated force remain.</w:t>
      </w:r>
    </w:p>
    <w:p>
      <w:pPr>
        <w:pStyle w:val="Heading2"/>
      </w:pPr>
      <w:r>
        <w:rPr>
          <w:rFonts w:ascii="Arial" w:hAnsi="Arial"/>
          <w:b w:val="0"/>
          <w:i w:val="0"/>
          <w:color w:val="2C5F80"/>
          <w:sz w:val="27"/>
        </w:rPr>
        <w:t>18.10 Respond to a terrorist threat</w:t>
      </w:r>
    </w:p>
    <w:p>
      <w:r>
        <w:rPr>
          <w:rFonts w:ascii="Arial" w:hAnsi="Arial"/>
          <w:b w:val="0"/>
          <w:i w:val="0"/>
          <w:color w:val="1E242A"/>
          <w:sz w:val="21"/>
        </w:rPr>
        <w:t>ABIN and other SISBIN bodies assess and share; PF investigates because the statute deems the offence federal; MPF applies for reserved measures and prosecutes; Federal Justice authorises and tries; COAF and regulators support financing intelligence; international partners share evidence. The President may set preparedness and coordination but cannot broaden the statutory terrorism definition to peaceful political activity.</w:t>
      </w:r>
    </w:p>
    <w:p>
      <w:pPr>
        <w:pStyle w:val="Heading1"/>
      </w:pPr>
      <w:r>
        <w:rPr>
          <w:rFonts w:ascii="Arial" w:hAnsi="Arial"/>
          <w:b w:val="0"/>
          <w:i w:val="0"/>
          <w:color w:val="183752"/>
          <w:sz w:val="34"/>
        </w:rPr>
        <w:t>19 Presidential altitude and delegated execution</w:t>
      </w:r>
    </w:p>
    <w:p>
      <w:r>
        <w:rPr>
          <w:rFonts w:ascii="Arial" w:hAnsi="Arial"/>
          <w:b w:val="0"/>
          <w:i w:val="0"/>
          <w:color w:val="1E242A"/>
          <w:sz w:val="21"/>
        </w:rPr>
        <w:t>Once the President decides a lawful high-level objective, much of the machinery can and should proceed without repeated personal intervention. MJSP can translate strategy into plans, allocation proposals, agreements and agency guidance. PF leadership can assign units and operations. COAF and ABIN can perform protected professional functions. Governors command state bodies. Prosecutors and judges act independently. SENAPPEN and fund managers administer programmes. Defence commands turn a lawful employment decision into operational orders.</w:t>
      </w:r>
    </w:p>
    <w:p>
      <w:r>
        <w:rPr>
          <w:rFonts w:ascii="Arial" w:hAnsi="Arial"/>
          <w:b w:val="0"/>
          <w:i w:val="0"/>
          <w:color w:val="1E242A"/>
          <w:sz w:val="21"/>
        </w:rPr>
        <w:t>The distinctions that cannot be abstracted away without creating impossible powers are:</w:t>
      </w:r>
    </w:p>
    <w:p>
      <w:pPr>
        <w:pStyle w:val="ListBullet"/>
        <w:numPr>
          <w:ilvl w:val="0"/>
          <w:numId w:val="4"/>
        </w:numPr>
      </w:pPr>
      <w:r>
        <w:rPr>
          <w:rFonts w:ascii="Arial" w:hAnsi="Arial"/>
          <w:b w:val="0"/>
          <w:i w:val="0"/>
          <w:color w:val="1E242A"/>
          <w:sz w:val="20"/>
        </w:rPr>
        <w:t>federal versus state jurisdiction;</w:t>
      </w:r>
    </w:p>
    <w:p>
      <w:pPr>
        <w:pStyle w:val="ListBullet"/>
        <w:numPr>
          <w:ilvl w:val="0"/>
          <w:numId w:val="4"/>
        </w:numPr>
      </w:pPr>
      <w:r>
        <w:rPr>
          <w:rFonts w:ascii="Arial" w:hAnsi="Arial"/>
          <w:b w:val="0"/>
          <w:i w:val="0"/>
          <w:color w:val="1E242A"/>
          <w:sz w:val="20"/>
        </w:rPr>
        <w:t>intelligence versus criminal investigation;</w:t>
      </w:r>
    </w:p>
    <w:p>
      <w:pPr>
        <w:pStyle w:val="ListBullet"/>
        <w:numPr>
          <w:ilvl w:val="0"/>
          <w:numId w:val="4"/>
        </w:numPr>
      </w:pPr>
      <w:r>
        <w:rPr>
          <w:rFonts w:ascii="Arial" w:hAnsi="Arial"/>
          <w:b w:val="0"/>
          <w:i w:val="0"/>
          <w:color w:val="1E242A"/>
          <w:sz w:val="20"/>
        </w:rPr>
        <w:t>investigation versus prosecution;</w:t>
      </w:r>
    </w:p>
    <w:p>
      <w:pPr>
        <w:pStyle w:val="ListBullet"/>
        <w:numPr>
          <w:ilvl w:val="0"/>
          <w:numId w:val="4"/>
        </w:numPr>
      </w:pPr>
      <w:r>
        <w:rPr>
          <w:rFonts w:ascii="Arial" w:hAnsi="Arial"/>
          <w:b w:val="0"/>
          <w:i w:val="0"/>
          <w:color w:val="1E242A"/>
          <w:sz w:val="20"/>
        </w:rPr>
        <w:t>policy priority versus named-case direction;</w:t>
      </w:r>
    </w:p>
    <w:p>
      <w:pPr>
        <w:pStyle w:val="ListBullet"/>
        <w:numPr>
          <w:ilvl w:val="0"/>
          <w:numId w:val="4"/>
        </w:numPr>
      </w:pPr>
      <w:r>
        <w:rPr>
          <w:rFonts w:ascii="Arial" w:hAnsi="Arial"/>
          <w:b w:val="0"/>
          <w:i w:val="0"/>
          <w:color w:val="1E242A"/>
          <w:sz w:val="20"/>
        </w:rPr>
        <w:t>warrantless step versus judicially reserved coercion;</w:t>
      </w:r>
    </w:p>
    <w:p>
      <w:pPr>
        <w:pStyle w:val="ListBullet"/>
        <w:numPr>
          <w:ilvl w:val="0"/>
          <w:numId w:val="4"/>
        </w:numPr>
      </w:pPr>
      <w:r>
        <w:rPr>
          <w:rFonts w:ascii="Arial" w:hAnsi="Arial"/>
          <w:b w:val="0"/>
          <w:i w:val="0"/>
          <w:color w:val="1E242A"/>
          <w:sz w:val="20"/>
        </w:rPr>
        <w:t>state cooperation versus federal command;</w:t>
      </w:r>
    </w:p>
    <w:p>
      <w:pPr>
        <w:pStyle w:val="ListBullet"/>
        <w:numPr>
          <w:ilvl w:val="0"/>
          <w:numId w:val="4"/>
        </w:numPr>
      </w:pPr>
      <w:r>
        <w:rPr>
          <w:rFonts w:ascii="Arial" w:hAnsi="Arial"/>
          <w:b w:val="0"/>
          <w:i w:val="0"/>
          <w:color w:val="1E242A"/>
          <w:sz w:val="20"/>
        </w:rPr>
        <w:t>ordinary policing versus Força Nacional, GLO, intervention, defence and siege;</w:t>
      </w:r>
    </w:p>
    <w:p>
      <w:pPr>
        <w:pStyle w:val="ListBullet"/>
        <w:numPr>
          <w:ilvl w:val="0"/>
          <w:numId w:val="4"/>
        </w:numPr>
      </w:pPr>
      <w:r>
        <w:rPr>
          <w:rFonts w:ascii="Arial" w:hAnsi="Arial"/>
          <w:b w:val="0"/>
          <w:i w:val="0"/>
          <w:color w:val="1E242A"/>
          <w:sz w:val="20"/>
        </w:rPr>
        <w:t>identification, restraint, custody, early sale, forfeiture, destination and expenditure of assets;</w:t>
      </w:r>
    </w:p>
    <w:p>
      <w:pPr>
        <w:pStyle w:val="ListBullet"/>
        <w:numPr>
          <w:ilvl w:val="0"/>
          <w:numId w:val="4"/>
        </w:numPr>
      </w:pPr>
      <w:r>
        <w:rPr>
          <w:rFonts w:ascii="Arial" w:hAnsi="Arial"/>
          <w:b w:val="0"/>
          <w:i w:val="0"/>
          <w:color w:val="1E242A"/>
          <w:sz w:val="20"/>
        </w:rPr>
        <w:t>executive agency hierarchy versus MP, judicial, COAF and BCB safeguards;</w:t>
      </w:r>
    </w:p>
    <w:p>
      <w:pPr>
        <w:pStyle w:val="ListBullet"/>
        <w:numPr>
          <w:ilvl w:val="0"/>
          <w:numId w:val="4"/>
        </w:numPr>
      </w:pPr>
      <w:r>
        <w:rPr>
          <w:rFonts w:ascii="Arial" w:hAnsi="Arial"/>
          <w:b w:val="0"/>
          <w:i w:val="0"/>
          <w:color w:val="1E242A"/>
          <w:sz w:val="20"/>
        </w:rPr>
        <w:t>current scenario facts versus durable institutional law.</w:t>
      </w:r>
    </w:p>
    <w:p>
      <w:pPr>
        <w:pStyle w:val="Heading1"/>
      </w:pPr>
      <w:r>
        <w:rPr>
          <w:rFonts w:ascii="Arial" w:hAnsi="Arial"/>
          <w:b w:val="0"/>
          <w:i w:val="0"/>
          <w:color w:val="183752"/>
          <w:sz w:val="34"/>
        </w:rPr>
        <w:t>A Simulation Relevant Findings</w:t>
      </w:r>
    </w:p>
    <w:p>
      <w:pPr>
        <w:pStyle w:val="ListNumber"/>
        <w:numPr>
          <w:ilvl w:val="0"/>
          <w:numId w:val="5"/>
        </w:numPr>
      </w:pPr>
      <w:r>
        <w:rPr>
          <w:rFonts w:ascii="Arial" w:hAnsi="Arial"/>
          <w:b w:val="0"/>
          <w:i w:val="0"/>
          <w:color w:val="1E242A"/>
          <w:sz w:val="20"/>
        </w:rPr>
        <w:t>Brazil's police system is functionally and federally divided; no President commands all police.</w:t>
      </w:r>
    </w:p>
    <w:p>
      <w:pPr>
        <w:pStyle w:val="ListNumber"/>
        <w:numPr>
          <w:ilvl w:val="0"/>
          <w:numId w:val="5"/>
        </w:numPr>
      </w:pPr>
      <w:r>
        <w:rPr>
          <w:rFonts w:ascii="Arial" w:hAnsi="Arial"/>
          <w:b w:val="0"/>
          <w:i w:val="0"/>
          <w:color w:val="1E242A"/>
          <w:sz w:val="20"/>
        </w:rPr>
        <w:t>The PF is administratively subordinate to the executive and its Director-General is removable, but lawful case outcomes remain bounded by evidence, prosecutors, judges and defence rights.</w:t>
      </w:r>
    </w:p>
    <w:p>
      <w:pPr>
        <w:pStyle w:val="ListNumber"/>
        <w:numPr>
          <w:ilvl w:val="0"/>
          <w:numId w:val="5"/>
        </w:numPr>
      </w:pPr>
      <w:r>
        <w:rPr>
          <w:rFonts w:ascii="Arial" w:hAnsi="Arial"/>
          <w:b w:val="0"/>
          <w:i w:val="0"/>
          <w:color w:val="1E242A"/>
          <w:sz w:val="20"/>
        </w:rPr>
        <w:t>Public prosecution belongs to the independent Ministério Público. The President cannot start, stop or direct a federal prosecution.</w:t>
      </w:r>
    </w:p>
    <w:p>
      <w:pPr>
        <w:pStyle w:val="ListNumber"/>
        <w:numPr>
          <w:ilvl w:val="0"/>
          <w:numId w:val="5"/>
        </w:numPr>
      </w:pPr>
      <w:r>
        <w:rPr>
          <w:rFonts w:ascii="Arial" w:hAnsi="Arial"/>
          <w:b w:val="0"/>
          <w:i w:val="0"/>
          <w:color w:val="1E242A"/>
          <w:sz w:val="20"/>
        </w:rPr>
        <w:t>Search, non-flagrante arrest, preventive detention, interception and criminal asset restraint commonly require distinct judicial decisions; “court approval” is not one generic step.</w:t>
      </w:r>
    </w:p>
    <w:p>
      <w:pPr>
        <w:pStyle w:val="ListNumber"/>
        <w:numPr>
          <w:ilvl w:val="0"/>
          <w:numId w:val="5"/>
        </w:numPr>
      </w:pPr>
      <w:r>
        <w:rPr>
          <w:rFonts w:ascii="Arial" w:hAnsi="Arial"/>
          <w:b w:val="0"/>
          <w:i w:val="0"/>
          <w:color w:val="1E242A"/>
          <w:sz w:val="20"/>
        </w:rPr>
        <w:t>SUSP, task forces, transfers, standards and funding allow powerful federal influence without displacing state competence.</w:t>
      </w:r>
    </w:p>
    <w:p>
      <w:pPr>
        <w:pStyle w:val="ListNumber"/>
        <w:numPr>
          <w:ilvl w:val="0"/>
          <w:numId w:val="5"/>
        </w:numPr>
      </w:pPr>
      <w:r>
        <w:rPr>
          <w:rFonts w:ascii="Arial" w:hAnsi="Arial"/>
          <w:b w:val="0"/>
          <w:i w:val="0"/>
          <w:color w:val="1E242A"/>
          <w:sz w:val="20"/>
        </w:rPr>
        <w:t>Força Nacional is temporary cooperative support, not a federal police takeover.</w:t>
      </w:r>
    </w:p>
    <w:p>
      <w:pPr>
        <w:pStyle w:val="ListNumber"/>
        <w:numPr>
          <w:ilvl w:val="0"/>
          <w:numId w:val="5"/>
        </w:numPr>
      </w:pPr>
      <w:r>
        <w:rPr>
          <w:rFonts w:ascii="Arial" w:hAnsi="Arial"/>
          <w:b w:val="0"/>
          <w:i w:val="0"/>
          <w:color w:val="1E242A"/>
          <w:sz w:val="20"/>
        </w:rPr>
        <w:t>GLO, intervention, state of defence and state of siege have different triggers, command effects, congressional roles and rights consequences.</w:t>
      </w:r>
    </w:p>
    <w:p>
      <w:pPr>
        <w:pStyle w:val="ListNumber"/>
        <w:numPr>
          <w:ilvl w:val="0"/>
          <w:numId w:val="5"/>
        </w:numPr>
      </w:pPr>
      <w:r>
        <w:rPr>
          <w:rFonts w:ascii="Arial" w:hAnsi="Arial"/>
          <w:b w:val="0"/>
          <w:i w:val="0"/>
          <w:color w:val="1E242A"/>
          <w:sz w:val="20"/>
        </w:rPr>
        <w:t>Armed Forces have no moderating power. GLO is episodic and subsidiary; border subsidiary authority is a separate standing statutory basis.</w:t>
      </w:r>
    </w:p>
    <w:p>
      <w:pPr>
        <w:pStyle w:val="ListNumber"/>
        <w:numPr>
          <w:ilvl w:val="0"/>
          <w:numId w:val="5"/>
        </w:numPr>
      </w:pPr>
      <w:r>
        <w:rPr>
          <w:rFonts w:ascii="Arial" w:hAnsi="Arial"/>
          <w:b w:val="0"/>
          <w:i w:val="0"/>
          <w:color w:val="1E242A"/>
          <w:sz w:val="20"/>
        </w:rPr>
        <w:t>ABIN produces intelligence and coordinates SISBIN; it has no arrest or prosecution power. SISBIN members retain competence.</w:t>
      </w:r>
    </w:p>
    <w:p>
      <w:pPr>
        <w:pStyle w:val="ListNumber"/>
        <w:numPr>
          <w:ilvl w:val="0"/>
          <w:numId w:val="5"/>
        </w:numPr>
      </w:pPr>
      <w:r>
        <w:rPr>
          <w:rFonts w:ascii="Arial" w:hAnsi="Arial"/>
          <w:b w:val="0"/>
          <w:i w:val="0"/>
          <w:color w:val="1E242A"/>
          <w:sz w:val="20"/>
        </w:rPr>
        <w:t>COAF can independently generate financial intelligence, but cannot freeze money or expose case data to political authorities.</w:t>
      </w:r>
    </w:p>
    <w:p>
      <w:pPr>
        <w:pStyle w:val="ListNumber"/>
        <w:numPr>
          <w:ilvl w:val="0"/>
          <w:numId w:val="5"/>
        </w:numPr>
      </w:pPr>
      <w:r>
        <w:rPr>
          <w:rFonts w:ascii="Arial" w:hAnsi="Arial"/>
          <w:b w:val="0"/>
          <w:i w:val="0"/>
          <w:color w:val="1E242A"/>
          <w:sz w:val="20"/>
        </w:rPr>
        <w:t>Frozen or seized assets are not revenue. Judicial disposition, victim and third-party rights, offence-specific destination and budget law intervene before expenditure.</w:t>
      </w:r>
    </w:p>
    <w:p>
      <w:pPr>
        <w:pStyle w:val="ListNumber"/>
        <w:numPr>
          <w:ilvl w:val="0"/>
          <w:numId w:val="5"/>
        </w:numPr>
      </w:pPr>
      <w:r>
        <w:rPr>
          <w:rFonts w:ascii="Arial" w:hAnsi="Arial"/>
          <w:b w:val="0"/>
          <w:i w:val="0"/>
          <w:color w:val="1E242A"/>
          <w:sz w:val="20"/>
        </w:rPr>
        <w:t>The R$100 million amount creates no special executive power. A valid asset path is institution- and status-dependent.</w:t>
      </w:r>
    </w:p>
    <w:p>
      <w:pPr>
        <w:pStyle w:val="ListNumber"/>
        <w:numPr>
          <w:ilvl w:val="0"/>
          <w:numId w:val="5"/>
        </w:numPr>
      </w:pPr>
      <w:r>
        <w:rPr>
          <w:rFonts w:ascii="Arial" w:hAnsi="Arial"/>
          <w:b w:val="0"/>
          <w:i w:val="0"/>
          <w:color w:val="1E242A"/>
          <w:sz w:val="20"/>
        </w:rPr>
        <w:t>State prisons are ordinary custody; federal placement is exceptional, temporary, capacity-limited and judicially authorised.</w:t>
      </w:r>
    </w:p>
    <w:p>
      <w:pPr>
        <w:pStyle w:val="ListNumber"/>
        <w:numPr>
          <w:ilvl w:val="0"/>
          <w:numId w:val="5"/>
        </w:numPr>
      </w:pPr>
      <w:r>
        <w:rPr>
          <w:rFonts w:ascii="Arial" w:hAnsi="Arial"/>
          <w:b w:val="0"/>
          <w:i w:val="0"/>
          <w:color w:val="1E242A"/>
          <w:sz w:val="20"/>
        </w:rPr>
        <w:t>Criminal organisations can remain resilient after leadership detention and can adapt through delegation, displacement, alliances, financial substitution or violence. Outcomes are contingent.</w:t>
      </w:r>
    </w:p>
    <w:p>
      <w:pPr>
        <w:pStyle w:val="ListNumber"/>
        <w:numPr>
          <w:ilvl w:val="0"/>
          <w:numId w:val="5"/>
        </w:numPr>
      </w:pPr>
      <w:r>
        <w:rPr>
          <w:rFonts w:ascii="Arial" w:hAnsi="Arial"/>
          <w:b w:val="0"/>
          <w:i w:val="0"/>
          <w:color w:val="1E242A"/>
          <w:sz w:val="20"/>
        </w:rPr>
        <w:t>Security events can originate in state governments, police, MPs, courts, COAF, ABIN, prisons, foreign authorities and criminal actors without presidential action.</w:t>
      </w:r>
    </w:p>
    <w:p>
      <w:pPr>
        <w:pStyle w:val="ListNumber"/>
        <w:numPr>
          <w:ilvl w:val="0"/>
          <w:numId w:val="5"/>
        </w:numPr>
      </w:pPr>
      <w:r>
        <w:rPr>
          <w:rFonts w:ascii="Arial" w:hAnsi="Arial"/>
          <w:b w:val="0"/>
          <w:i w:val="0"/>
          <w:color w:val="1E242A"/>
          <w:sz w:val="20"/>
        </w:rPr>
        <w:t>Law 15,358 of 2026 is operative scenario law but not mature Country Knowledge; its extraordinary forfeiture and institutional changes require versioning and validation.</w:t>
      </w:r>
    </w:p>
    <w:p>
      <w:pPr>
        <w:pStyle w:val="Heading1"/>
      </w:pPr>
      <w:r>
        <w:rPr>
          <w:rFonts w:ascii="Arial" w:hAnsi="Arial"/>
          <w:b w:val="0"/>
          <w:i w:val="0"/>
          <w:color w:val="183752"/>
          <w:sz w:val="34"/>
        </w:rPr>
        <w:t>B Candidate Structured Knowledge</w:t>
      </w:r>
    </w:p>
    <w:p>
      <w:r>
        <w:rPr>
          <w:rFonts w:ascii="Arial" w:hAnsi="Arial"/>
          <w:b w:val="0"/>
          <w:i w:val="0"/>
          <w:color w:val="1E242A"/>
          <w:sz w:val="21"/>
        </w:rPr>
        <w:t>Potential later structured representations, without production schema or mechanics:</w:t>
      </w:r>
    </w:p>
    <w:p>
      <w:pPr>
        <w:pStyle w:val="ListBullet"/>
        <w:numPr>
          <w:ilvl w:val="0"/>
          <w:numId w:val="4"/>
        </w:numPr>
      </w:pPr>
      <w:r>
        <w:rPr>
          <w:rFonts w:ascii="Arial" w:hAnsi="Arial"/>
          <w:b w:val="0"/>
          <w:i w:val="0"/>
          <w:color w:val="1E242A"/>
          <w:sz w:val="20"/>
        </w:rPr>
        <w:t>Institution records for PF, PRF, federal and state penal police, state civil and military police, fire brigades, municipal guards, SENAPPEN, SENASP, Força Nacional, MPF, state MPs, federal and state courts, COAF, ABIN, CCAI, Receita, Defence Ministry and service commands.</w:t>
      </w:r>
    </w:p>
    <w:p>
      <w:pPr>
        <w:pStyle w:val="ListBullet"/>
        <w:numPr>
          <w:ilvl w:val="0"/>
          <w:numId w:val="4"/>
        </w:numPr>
      </w:pPr>
      <w:r>
        <w:rPr>
          <w:rFonts w:ascii="Arial" w:hAnsi="Arial"/>
          <w:b w:val="0"/>
          <w:i w:val="0"/>
          <w:color w:val="1E242A"/>
          <w:sz w:val="20"/>
        </w:rPr>
        <w:t>Authority relationships distinguishing appointment, administrative supervision, operational command, functional independence, external control and judicial review.</w:t>
      </w:r>
    </w:p>
    <w:p>
      <w:pPr>
        <w:pStyle w:val="ListBullet"/>
        <w:numPr>
          <w:ilvl w:val="0"/>
          <w:numId w:val="4"/>
        </w:numPr>
      </w:pPr>
      <w:r>
        <w:rPr>
          <w:rFonts w:ascii="Arial" w:hAnsi="Arial"/>
          <w:b w:val="0"/>
          <w:i w:val="0"/>
          <w:color w:val="1E242A"/>
          <w:sz w:val="20"/>
        </w:rPr>
        <w:t>Jurisdiction predicates: Union interest; interstate or international repercussion requiring uniform repression; federal highways; border, airport and maritime policing; customs; state ordinary crime; prison custody.</w:t>
      </w:r>
    </w:p>
    <w:p>
      <w:pPr>
        <w:pStyle w:val="ListBullet"/>
        <w:numPr>
          <w:ilvl w:val="0"/>
          <w:numId w:val="4"/>
        </w:numPr>
      </w:pPr>
      <w:r>
        <w:rPr>
          <w:rFonts w:ascii="Arial" w:hAnsi="Arial"/>
          <w:b w:val="0"/>
          <w:i w:val="0"/>
          <w:color w:val="1E242A"/>
          <w:sz w:val="20"/>
        </w:rPr>
        <w:t>Government action instruments: category prioritisation, resource allocation, organisational decree, SUSP coordination, cooperation agreement, task force, FNSP or FUNPEN support, Força Nacional request/deployment, border operation, international cooperation, legislative proposal, GLO decision and intervention decree.</w:t>
      </w:r>
    </w:p>
    <w:p>
      <w:pPr>
        <w:pStyle w:val="ListBullet"/>
        <w:numPr>
          <w:ilvl w:val="0"/>
          <w:numId w:val="4"/>
        </w:numPr>
      </w:pPr>
      <w:r>
        <w:rPr>
          <w:rFonts w:ascii="Arial" w:hAnsi="Arial"/>
          <w:b w:val="0"/>
          <w:i w:val="0"/>
          <w:color w:val="1E242A"/>
          <w:sz w:val="20"/>
        </w:rPr>
        <w:t>Coercive-measure records containing initiator, applicant, authoriser, executor, duration, evidence predicate, secrecy, review and remedy.</w:t>
      </w:r>
    </w:p>
    <w:p>
      <w:pPr>
        <w:pStyle w:val="ListBullet"/>
        <w:numPr>
          <w:ilvl w:val="0"/>
          <w:numId w:val="4"/>
        </w:numPr>
      </w:pPr>
      <w:r>
        <w:rPr>
          <w:rFonts w:ascii="Arial" w:hAnsi="Arial"/>
          <w:b w:val="0"/>
          <w:i w:val="0"/>
          <w:color w:val="1E242A"/>
          <w:sz w:val="20"/>
        </w:rPr>
        <w:t>Asset-state records: identified, traced, voluntarily preserved, judicially blocked, physically seized, in custody, provisionally used, sold early, released, forfeited, allocated and legally spendable.</w:t>
      </w:r>
    </w:p>
    <w:p>
      <w:pPr>
        <w:pStyle w:val="ListBullet"/>
        <w:numPr>
          <w:ilvl w:val="0"/>
          <w:numId w:val="4"/>
        </w:numPr>
      </w:pPr>
      <w:r>
        <w:rPr>
          <w:rFonts w:ascii="Arial" w:hAnsi="Arial"/>
          <w:b w:val="0"/>
          <w:i w:val="0"/>
          <w:color w:val="1E242A"/>
          <w:sz w:val="20"/>
        </w:rPr>
        <w:t>Asset destination dependencies: predicate offence, statutory regime, federal or state forum, victim claim, good-faith third party, finality, receiving fund, earmark and budget execution.</w:t>
      </w:r>
    </w:p>
    <w:p>
      <w:pPr>
        <w:pStyle w:val="ListBullet"/>
        <w:numPr>
          <w:ilvl w:val="0"/>
          <w:numId w:val="4"/>
        </w:numPr>
      </w:pPr>
      <w:r>
        <w:rPr>
          <w:rFonts w:ascii="Arial" w:hAnsi="Arial"/>
          <w:b w:val="0"/>
          <w:i w:val="0"/>
          <w:color w:val="1E242A"/>
          <w:sz w:val="20"/>
        </w:rPr>
        <w:t>Intelligence records distinguishing assessment, operational intelligence, RIF, evidence, referral and judicially protected data.</w:t>
      </w:r>
    </w:p>
    <w:p>
      <w:pPr>
        <w:pStyle w:val="ListBullet"/>
        <w:numPr>
          <w:ilvl w:val="0"/>
          <w:numId w:val="4"/>
        </w:numPr>
      </w:pPr>
      <w:r>
        <w:rPr>
          <w:rFonts w:ascii="Arial" w:hAnsi="Arial"/>
          <w:b w:val="0"/>
          <w:i w:val="0"/>
          <w:color w:val="1E242A"/>
          <w:sz w:val="20"/>
        </w:rPr>
        <w:t>Emergency-authority records for GLO, intervention, defence and siege, including trigger, initiator, consultation, Congress, scope, displaced authority, rights effect and expiry.</w:t>
      </w:r>
    </w:p>
    <w:p>
      <w:pPr>
        <w:pStyle w:val="ListBullet"/>
        <w:numPr>
          <w:ilvl w:val="0"/>
          <w:numId w:val="4"/>
        </w:numPr>
      </w:pPr>
      <w:r>
        <w:rPr>
          <w:rFonts w:ascii="Arial" w:hAnsi="Arial"/>
          <w:b w:val="0"/>
          <w:i w:val="0"/>
          <w:color w:val="1E242A"/>
          <w:sz w:val="20"/>
        </w:rPr>
        <w:t>Prison-transfer pathway: eligible requester, origin judge, federal judge, urgent route, SENAPPEN capacity, duration, renewal and return.</w:t>
      </w:r>
    </w:p>
    <w:p>
      <w:pPr>
        <w:pStyle w:val="ListBullet"/>
        <w:numPr>
          <w:ilvl w:val="0"/>
          <w:numId w:val="4"/>
        </w:numPr>
      </w:pPr>
      <w:r>
        <w:rPr>
          <w:rFonts w:ascii="Arial" w:hAnsi="Arial"/>
          <w:b w:val="0"/>
          <w:i w:val="0"/>
          <w:color w:val="1E242A"/>
          <w:sz w:val="20"/>
        </w:rPr>
        <w:t>Independent-actor capability records for governors, delegates, MP members, courts, COAF, ABIN, prison officials, foreign authorities and criminal organisations.</w:t>
      </w:r>
    </w:p>
    <w:p>
      <w:pPr>
        <w:pStyle w:val="ListBullet"/>
        <w:numPr>
          <w:ilvl w:val="0"/>
          <w:numId w:val="4"/>
        </w:numPr>
      </w:pPr>
      <w:r>
        <w:rPr>
          <w:rFonts w:ascii="Arial" w:hAnsi="Arial"/>
          <w:b w:val="0"/>
          <w:i w:val="0"/>
          <w:color w:val="1E242A"/>
          <w:sz w:val="20"/>
        </w:rPr>
        <w:t>Temporal validity fields for EC 104/2019, COAF and ABIN relocations, SUSP, terrorism and democratic-state laws, current use-of-force regime and Law 15,358/2026.</w:t>
      </w:r>
    </w:p>
    <w:p>
      <w:pPr>
        <w:pStyle w:val="ListBullet"/>
        <w:numPr>
          <w:ilvl w:val="0"/>
          <w:numId w:val="4"/>
        </w:numPr>
      </w:pPr>
      <w:r>
        <w:rPr>
          <w:rFonts w:ascii="Arial" w:hAnsi="Arial"/>
          <w:b w:val="0"/>
          <w:i w:val="0"/>
          <w:color w:val="1E242A"/>
          <w:sz w:val="20"/>
        </w:rPr>
        <w:t>Provenance fields: claim, evidence type, exact provision, URL, confidence, temporal status, last verified, contradiction and implementation note.</w:t>
      </w:r>
    </w:p>
    <w:p>
      <w:pPr>
        <w:pStyle w:val="Heading1"/>
      </w:pPr>
      <w:r>
        <w:rPr>
          <w:rFonts w:ascii="Arial" w:hAnsi="Arial"/>
          <w:b w:val="0"/>
          <w:i w:val="0"/>
          <w:color w:val="183752"/>
          <w:sz w:val="34"/>
        </w:rPr>
        <w:t>C Independent Actor World Activity Findings</w:t>
      </w:r>
    </w:p>
    <w:p>
      <w:pPr>
        <w:pStyle w:val="ListBullet"/>
        <w:numPr>
          <w:ilvl w:val="0"/>
          <w:numId w:val="4"/>
        </w:numPr>
      </w:pPr>
      <w:r>
        <w:rPr>
          <w:rFonts w:ascii="Arial" w:hAnsi="Arial"/>
          <w:b/>
          <w:i w:val="0"/>
          <w:color w:val="1E242A"/>
          <w:sz w:val="20"/>
        </w:rPr>
        <w:t>Governors and state security secretariats</w:t>
      </w:r>
      <w:r>
        <w:rPr>
          <w:rFonts w:ascii="Arial" w:hAnsi="Arial"/>
          <w:b w:val="0"/>
          <w:i w:val="0"/>
          <w:color w:val="1E242A"/>
          <w:sz w:val="20"/>
        </w:rPr>
        <w:t xml:space="preserve"> can launch state operations, change state policing priorities, manage crises and request federal support. Their actions can generate political pressure on the President.</w:t>
      </w:r>
    </w:p>
    <w:p>
      <w:pPr>
        <w:pStyle w:val="ListBullet"/>
        <w:numPr>
          <w:ilvl w:val="0"/>
          <w:numId w:val="4"/>
        </w:numPr>
      </w:pPr>
      <w:r>
        <w:rPr>
          <w:rFonts w:ascii="Arial" w:hAnsi="Arial"/>
          <w:b/>
          <w:i w:val="0"/>
          <w:color w:val="1E242A"/>
          <w:sz w:val="20"/>
        </w:rPr>
        <w:t>PF units and delegates</w:t>
      </w:r>
      <w:r>
        <w:rPr>
          <w:rFonts w:ascii="Arial" w:hAnsi="Arial"/>
          <w:b w:val="0"/>
          <w:i w:val="0"/>
          <w:color w:val="1E242A"/>
          <w:sz w:val="20"/>
        </w:rPr>
        <w:t xml:space="preserve"> can advance federal inquiries and reach operational or evidential milestones within law. Politically sensitive results need not originate in the Presidency.</w:t>
      </w:r>
    </w:p>
    <w:p>
      <w:pPr>
        <w:pStyle w:val="ListBullet"/>
        <w:numPr>
          <w:ilvl w:val="0"/>
          <w:numId w:val="4"/>
        </w:numPr>
      </w:pPr>
      <w:r>
        <w:rPr>
          <w:rFonts w:ascii="Arial" w:hAnsi="Arial"/>
          <w:b/>
          <w:i w:val="0"/>
          <w:color w:val="1E242A"/>
          <w:sz w:val="20"/>
        </w:rPr>
        <w:t>MPF and state MPs</w:t>
      </w:r>
      <w:r>
        <w:rPr>
          <w:rFonts w:ascii="Arial" w:hAnsi="Arial"/>
          <w:b w:val="0"/>
          <w:i w:val="0"/>
          <w:color w:val="1E242A"/>
          <w:sz w:val="20"/>
        </w:rPr>
        <w:t xml:space="preserve"> can investigate, requisition, seek coercive orders, charge, negotiate collaboration and challenge executive or police conduct.</w:t>
      </w:r>
    </w:p>
    <w:p>
      <w:pPr>
        <w:pStyle w:val="ListBullet"/>
        <w:numPr>
          <w:ilvl w:val="0"/>
          <w:numId w:val="4"/>
        </w:numPr>
      </w:pPr>
      <w:r>
        <w:rPr>
          <w:rFonts w:ascii="Arial" w:hAnsi="Arial"/>
          <w:b/>
          <w:i w:val="0"/>
          <w:color w:val="1E242A"/>
          <w:sz w:val="20"/>
        </w:rPr>
        <w:t>Judges and courts</w:t>
      </w:r>
      <w:r>
        <w:rPr>
          <w:rFonts w:ascii="Arial" w:hAnsi="Arial"/>
          <w:b w:val="0"/>
          <w:i w:val="0"/>
          <w:color w:val="1E242A"/>
          <w:sz w:val="20"/>
        </w:rPr>
        <w:t xml:space="preserve"> can authorise, narrow or invalidate measures; order release; determine asset status; require policy changes; and settle jurisdictional conflict.</w:t>
      </w:r>
    </w:p>
    <w:p>
      <w:pPr>
        <w:pStyle w:val="ListBullet"/>
        <w:numPr>
          <w:ilvl w:val="0"/>
          <w:numId w:val="4"/>
        </w:numPr>
      </w:pPr>
      <w:r>
        <w:rPr>
          <w:rFonts w:ascii="Arial" w:hAnsi="Arial"/>
          <w:b/>
          <w:i w:val="0"/>
          <w:color w:val="1E242A"/>
          <w:sz w:val="20"/>
        </w:rPr>
        <w:t>COAF</w:t>
      </w:r>
      <w:r>
        <w:rPr>
          <w:rFonts w:ascii="Arial" w:hAnsi="Arial"/>
          <w:b w:val="0"/>
          <w:i w:val="0"/>
          <w:color w:val="1E242A"/>
          <w:sz w:val="20"/>
        </w:rPr>
        <w:t xml:space="preserve"> can receive suspicious reports and disseminate a spontaneous RIF, creating a new investigative lead without presidential instruction.</w:t>
      </w:r>
    </w:p>
    <w:p>
      <w:pPr>
        <w:pStyle w:val="ListBullet"/>
        <w:numPr>
          <w:ilvl w:val="0"/>
          <w:numId w:val="4"/>
        </w:numPr>
      </w:pPr>
      <w:r>
        <w:rPr>
          <w:rFonts w:ascii="Arial" w:hAnsi="Arial"/>
          <w:b/>
          <w:i w:val="0"/>
          <w:color w:val="1E242A"/>
          <w:sz w:val="20"/>
        </w:rPr>
        <w:t>ABIN and SISBIN members</w:t>
      </w:r>
      <w:r>
        <w:rPr>
          <w:rFonts w:ascii="Arial" w:hAnsi="Arial"/>
          <w:b w:val="0"/>
          <w:i w:val="0"/>
          <w:color w:val="1E242A"/>
          <w:sz w:val="20"/>
        </w:rPr>
        <w:t xml:space="preserve"> can produce warnings and assessments; enforcement requires referral, but the warning itself can generate a presidential decision.</w:t>
      </w:r>
    </w:p>
    <w:p>
      <w:pPr>
        <w:pStyle w:val="ListBullet"/>
        <w:numPr>
          <w:ilvl w:val="0"/>
          <w:numId w:val="4"/>
        </w:numPr>
      </w:pPr>
      <w:r>
        <w:rPr>
          <w:rFonts w:ascii="Arial" w:hAnsi="Arial"/>
          <w:b/>
          <w:i w:val="0"/>
          <w:color w:val="1E242A"/>
          <w:sz w:val="20"/>
        </w:rPr>
        <w:t>SENAPPEN and prison authorities</w:t>
      </w:r>
      <w:r>
        <w:rPr>
          <w:rFonts w:ascii="Arial" w:hAnsi="Arial"/>
          <w:b w:val="0"/>
          <w:i w:val="0"/>
          <w:color w:val="1E242A"/>
          <w:sz w:val="20"/>
        </w:rPr>
        <w:t xml:space="preserve"> can identify capacity, intelligence, disorder or transfer issues; judges and authorised applicants can initiate transfer proceedings.</w:t>
      </w:r>
    </w:p>
    <w:p>
      <w:pPr>
        <w:pStyle w:val="ListBullet"/>
        <w:numPr>
          <w:ilvl w:val="0"/>
          <w:numId w:val="4"/>
        </w:numPr>
      </w:pPr>
      <w:r>
        <w:rPr>
          <w:rFonts w:ascii="Arial" w:hAnsi="Arial"/>
          <w:b/>
          <w:i w:val="0"/>
          <w:color w:val="1E242A"/>
          <w:sz w:val="20"/>
        </w:rPr>
        <w:t>State police and municipal institutions</w:t>
      </w:r>
      <w:r>
        <w:rPr>
          <w:rFonts w:ascii="Arial" w:hAnsi="Arial"/>
          <w:b w:val="0"/>
          <w:i w:val="0"/>
          <w:color w:val="1E242A"/>
          <w:sz w:val="20"/>
        </w:rPr>
        <w:t xml:space="preserve"> can generate operations, encounters, use-of-force controversies and requests for coordination outside federal control.</w:t>
      </w:r>
    </w:p>
    <w:p>
      <w:pPr>
        <w:pStyle w:val="ListBullet"/>
        <w:numPr>
          <w:ilvl w:val="0"/>
          <w:numId w:val="4"/>
        </w:numPr>
      </w:pPr>
      <w:r>
        <w:rPr>
          <w:rFonts w:ascii="Arial" w:hAnsi="Arial"/>
          <w:b/>
          <w:i w:val="0"/>
          <w:color w:val="1E242A"/>
          <w:sz w:val="20"/>
        </w:rPr>
        <w:t>Criminal organisations</w:t>
      </w:r>
      <w:r>
        <w:rPr>
          <w:rFonts w:ascii="Arial" w:hAnsi="Arial"/>
          <w:b w:val="0"/>
          <w:i w:val="0"/>
          <w:color w:val="1E242A"/>
          <w:sz w:val="20"/>
        </w:rPr>
        <w:t xml:space="preserve"> can independently change alliances, command methods, routes, laundering methods, territorial strategy and violence, including retaliation and prison mobilisation.</w:t>
      </w:r>
    </w:p>
    <w:p>
      <w:pPr>
        <w:pStyle w:val="ListBullet"/>
        <w:numPr>
          <w:ilvl w:val="0"/>
          <w:numId w:val="4"/>
        </w:numPr>
      </w:pPr>
      <w:r>
        <w:rPr>
          <w:rFonts w:ascii="Arial" w:hAnsi="Arial"/>
          <w:b/>
          <w:i w:val="0"/>
          <w:color w:val="1E242A"/>
          <w:sz w:val="20"/>
        </w:rPr>
        <w:t>Foreign police, prosecutors, courts and FIUs</w:t>
      </w:r>
      <w:r>
        <w:rPr>
          <w:rFonts w:ascii="Arial" w:hAnsi="Arial"/>
          <w:b w:val="0"/>
          <w:i w:val="0"/>
          <w:color w:val="1E242A"/>
          <w:sz w:val="20"/>
        </w:rPr>
        <w:t xml:space="preserve"> can initiate cooperation, extradition or evidence requests and transmit intelligence that Brazil must process institutionally.</w:t>
      </w:r>
    </w:p>
    <w:p>
      <w:pPr>
        <w:pStyle w:val="ListBullet"/>
        <w:numPr>
          <w:ilvl w:val="0"/>
          <w:numId w:val="4"/>
        </w:numPr>
      </w:pPr>
      <w:r>
        <w:rPr>
          <w:rFonts w:ascii="Arial" w:hAnsi="Arial"/>
          <w:b/>
          <w:i w:val="0"/>
          <w:color w:val="1E242A"/>
          <w:sz w:val="20"/>
        </w:rPr>
        <w:t>Congress, CCAI, CNJ, CNMP, TCU and oversight bodies</w:t>
      </w:r>
      <w:r>
        <w:rPr>
          <w:rFonts w:ascii="Arial" w:hAnsi="Arial"/>
          <w:b w:val="0"/>
          <w:i w:val="0"/>
          <w:color w:val="1E242A"/>
          <w:sz w:val="20"/>
        </w:rPr>
        <w:t xml:space="preserve"> can investigate, audit, regulate or expose institutional failure, prompting executive response.</w:t>
      </w:r>
    </w:p>
    <w:p>
      <w:pPr>
        <w:pStyle w:val="Heading1"/>
      </w:pPr>
      <w:r>
        <w:rPr>
          <w:rFonts w:ascii="Arial" w:hAnsi="Arial"/>
          <w:b w:val="0"/>
          <w:i w:val="0"/>
          <w:color w:val="183752"/>
          <w:sz w:val="34"/>
        </w:rPr>
        <w:t>D Uncertainty and Validation Register</w:t>
      </w:r>
    </w:p>
    <w:p>
      <w:pPr>
        <w:pStyle w:val="ListNumber"/>
        <w:numPr>
          <w:ilvl w:val="0"/>
          <w:numId w:val="5"/>
        </w:numPr>
      </w:pPr>
      <w:r>
        <w:rPr>
          <w:rFonts w:ascii="Arial" w:hAnsi="Arial"/>
          <w:b/>
          <w:i w:val="0"/>
          <w:color w:val="1E242A"/>
          <w:sz w:val="20"/>
        </w:rPr>
        <w:t>Law 15,358 constitutional durability.</w:t>
      </w:r>
      <w:r>
        <w:rPr>
          <w:rFonts w:ascii="Arial" w:hAnsi="Arial"/>
          <w:b w:val="0"/>
          <w:i w:val="0"/>
          <w:color w:val="1E242A"/>
          <w:sz w:val="20"/>
        </w:rPr>
        <w:t xml:space="preserve"> Extraordinary conviction-independent forfeiture, burden allocation and new offence concepts are enacted but judicially unsettled. This matters because a binary “forfeiture available” rule could overstate durable state power.</w:t>
      </w:r>
    </w:p>
    <w:p>
      <w:pPr>
        <w:pStyle w:val="ListNumber"/>
        <w:numPr>
          <w:ilvl w:val="0"/>
          <w:numId w:val="5"/>
        </w:numPr>
      </w:pPr>
      <w:r>
        <w:rPr>
          <w:rFonts w:ascii="Arial" w:hAnsi="Arial"/>
          <w:b/>
          <w:i w:val="0"/>
          <w:color w:val="1E242A"/>
          <w:sz w:val="20"/>
        </w:rPr>
        <w:t>STF Tema 1404.</w:t>
      </w:r>
      <w:r>
        <w:rPr>
          <w:rFonts w:ascii="Arial" w:hAnsi="Arial"/>
          <w:b w:val="0"/>
          <w:i w:val="0"/>
          <w:color w:val="1E242A"/>
          <w:sz w:val="20"/>
        </w:rPr>
        <w:t xml:space="preserve"> The March 2026 RIF safeguards were interim and prospective; final merits were not verified. This matters to whether MP or police may request a report and at what investigative stage.</w:t>
      </w:r>
    </w:p>
    <w:p>
      <w:pPr>
        <w:pStyle w:val="ListNumber"/>
        <w:numPr>
          <w:ilvl w:val="0"/>
          <w:numId w:val="5"/>
        </w:numPr>
      </w:pPr>
      <w:r>
        <w:rPr>
          <w:rFonts w:ascii="Arial" w:hAnsi="Arial"/>
          <w:b/>
          <w:i w:val="0"/>
          <w:color w:val="1E242A"/>
          <w:sz w:val="20"/>
        </w:rPr>
        <w:t>PF operational independence.</w:t>
      </w:r>
      <w:r>
        <w:rPr>
          <w:rFonts w:ascii="Arial" w:hAnsi="Arial"/>
          <w:b w:val="0"/>
          <w:i w:val="0"/>
          <w:color w:val="1E242A"/>
          <w:sz w:val="20"/>
        </w:rPr>
        <w:t xml:space="preserve"> Executive hierarchy is clear, but no single statute exhaustively defines protection from case-specific interference. The boundary emerges from legality, career rules, MP control, judicial reservation and abuse-of-authority law. It should not be encoded as either total presidential control or total independence.</w:t>
      </w:r>
    </w:p>
    <w:p>
      <w:pPr>
        <w:pStyle w:val="ListNumber"/>
        <w:numPr>
          <w:ilvl w:val="0"/>
          <w:numId w:val="5"/>
        </w:numPr>
      </w:pPr>
      <w:r>
        <w:rPr>
          <w:rFonts w:ascii="Arial" w:hAnsi="Arial"/>
          <w:b/>
          <w:i w:val="0"/>
          <w:color w:val="1E242A"/>
          <w:sz w:val="20"/>
        </w:rPr>
        <w:t>Municipal guard policing scope.</w:t>
      </w:r>
      <w:r>
        <w:rPr>
          <w:rFonts w:ascii="Arial" w:hAnsi="Arial"/>
          <w:b w:val="0"/>
          <w:i w:val="0"/>
          <w:color w:val="1E242A"/>
          <w:sz w:val="20"/>
        </w:rPr>
        <w:t xml:space="preserve"> Constitutional text is narrower than developing STF jurisprudence on preventive policing. A detailed municipal model needs dedicated case-law validation.</w:t>
      </w:r>
    </w:p>
    <w:p>
      <w:pPr>
        <w:pStyle w:val="ListNumber"/>
        <w:numPr>
          <w:ilvl w:val="0"/>
          <w:numId w:val="5"/>
        </w:numPr>
      </w:pPr>
      <w:r>
        <w:rPr>
          <w:rFonts w:ascii="Arial" w:hAnsi="Arial"/>
          <w:b/>
          <w:i w:val="0"/>
          <w:color w:val="1E242A"/>
          <w:sz w:val="20"/>
        </w:rPr>
        <w:t>GLO rules of engagement.</w:t>
      </w:r>
      <w:r>
        <w:rPr>
          <w:rFonts w:ascii="Arial" w:hAnsi="Arial"/>
          <w:b w:val="0"/>
          <w:i w:val="0"/>
          <w:color w:val="1E242A"/>
          <w:sz w:val="20"/>
        </w:rPr>
        <w:t xml:space="preserve"> Mission-specific orders may be restricted or classified. General constitutional and statutory constraints are clear; tactical permissions should not be inferred universally.</w:t>
      </w:r>
    </w:p>
    <w:p>
      <w:pPr>
        <w:pStyle w:val="ListNumber"/>
        <w:numPr>
          <w:ilvl w:val="0"/>
          <w:numId w:val="5"/>
        </w:numPr>
      </w:pPr>
      <w:r>
        <w:rPr>
          <w:rFonts w:ascii="Arial" w:hAnsi="Arial"/>
          <w:b/>
          <w:i w:val="0"/>
          <w:color w:val="1E242A"/>
          <w:sz w:val="20"/>
        </w:rPr>
        <w:t>Military criminal jurisdiction.</w:t>
      </w:r>
      <w:r>
        <w:rPr>
          <w:rFonts w:ascii="Arial" w:hAnsi="Arial"/>
          <w:b w:val="0"/>
          <w:i w:val="0"/>
          <w:color w:val="1E242A"/>
          <w:sz w:val="20"/>
        </w:rPr>
        <w:t xml:space="preserve"> LC 97 supplies a forum trigger for military activity, but the competent court depends on offence, victim, context and later jurisprudence. Avoid a universal forum rule.</w:t>
      </w:r>
    </w:p>
    <w:p>
      <w:pPr>
        <w:pStyle w:val="ListNumber"/>
        <w:numPr>
          <w:ilvl w:val="0"/>
          <w:numId w:val="5"/>
        </w:numPr>
      </w:pPr>
      <w:r>
        <w:rPr>
          <w:rFonts w:ascii="Arial" w:hAnsi="Arial"/>
          <w:b/>
          <w:i w:val="0"/>
          <w:color w:val="1E242A"/>
          <w:sz w:val="20"/>
        </w:rPr>
        <w:t>ABIN covert techniques.</w:t>
      </w:r>
      <w:r>
        <w:rPr>
          <w:rFonts w:ascii="Arial" w:hAnsi="Arial"/>
          <w:b w:val="0"/>
          <w:i w:val="0"/>
          <w:color w:val="1E242A"/>
          <w:sz w:val="20"/>
        </w:rPr>
        <w:t xml:space="preserve"> The statute lacks a comprehensive technique catalogue comparable to criminal procedure. Absence does not imply unlimited collection power; this is a legal and oversight ambiguity.</w:t>
      </w:r>
    </w:p>
    <w:p>
      <w:pPr>
        <w:pStyle w:val="ListNumber"/>
        <w:numPr>
          <w:ilvl w:val="0"/>
          <w:numId w:val="5"/>
        </w:numPr>
      </w:pPr>
      <w:r>
        <w:rPr>
          <w:rFonts w:ascii="Arial" w:hAnsi="Arial"/>
          <w:b/>
          <w:i w:val="0"/>
          <w:color w:val="1E242A"/>
          <w:sz w:val="20"/>
        </w:rPr>
        <w:t>Cyber architecture.</w:t>
      </w:r>
      <w:r>
        <w:rPr>
          <w:rFonts w:ascii="Arial" w:hAnsi="Arial"/>
          <w:b w:val="0"/>
          <w:i w:val="0"/>
          <w:color w:val="1E242A"/>
          <w:sz w:val="20"/>
        </w:rPr>
        <w:t xml:space="preserve"> Competence is distributed and institutionally evolving. A later pass should verify sector-specific incident authority and critical-infrastructure rules before encoding a single lead agency.</w:t>
      </w:r>
    </w:p>
    <w:p>
      <w:pPr>
        <w:pStyle w:val="ListNumber"/>
        <w:numPr>
          <w:ilvl w:val="0"/>
          <w:numId w:val="5"/>
        </w:numPr>
      </w:pPr>
      <w:r>
        <w:rPr>
          <w:rFonts w:ascii="Arial" w:hAnsi="Arial"/>
          <w:b/>
          <w:i w:val="0"/>
          <w:color w:val="1E242A"/>
          <w:sz w:val="20"/>
        </w:rPr>
        <w:t>Asset destination detail.</w:t>
      </w:r>
      <w:r>
        <w:rPr>
          <w:rFonts w:ascii="Arial" w:hAnsi="Arial"/>
          <w:b w:val="0"/>
          <w:i w:val="0"/>
          <w:color w:val="1E242A"/>
          <w:sz w:val="20"/>
        </w:rPr>
        <w:t xml:space="preserve"> The major regimes are established, but every predicate offence and asset type can engage special law. Future catalogue entries should reference exact current provisions rather than a universal destination.</w:t>
      </w:r>
    </w:p>
    <w:p>
      <w:pPr>
        <w:pStyle w:val="ListNumber"/>
        <w:numPr>
          <w:ilvl w:val="0"/>
          <w:numId w:val="5"/>
        </w:numPr>
      </w:pPr>
      <w:r>
        <w:rPr>
          <w:rFonts w:ascii="Arial" w:hAnsi="Arial"/>
          <w:b/>
          <w:i w:val="0"/>
          <w:color w:val="1E242A"/>
          <w:sz w:val="20"/>
        </w:rPr>
        <w:t>FNSP and Law 15,358 implementation.</w:t>
      </w:r>
      <w:r>
        <w:rPr>
          <w:rFonts w:ascii="Arial" w:hAnsi="Arial"/>
          <w:b w:val="0"/>
          <w:i w:val="0"/>
          <w:color w:val="1E242A"/>
          <w:sz w:val="20"/>
        </w:rPr>
        <w:t xml:space="preserve"> New council, decentralisation and earmarking rules were too recent for mature practice. Budget execution and state uptake should be scenario state.</w:t>
      </w:r>
    </w:p>
    <w:p>
      <w:pPr>
        <w:pStyle w:val="ListNumber"/>
        <w:numPr>
          <w:ilvl w:val="0"/>
          <w:numId w:val="5"/>
        </w:numPr>
      </w:pPr>
      <w:r>
        <w:rPr>
          <w:rFonts w:ascii="Arial" w:hAnsi="Arial"/>
          <w:b/>
          <w:i w:val="0"/>
          <w:color w:val="1E242A"/>
          <w:sz w:val="20"/>
        </w:rPr>
        <w:t>Pass 2 cross-check.</w:t>
      </w:r>
      <w:r>
        <w:rPr>
          <w:rFonts w:ascii="Arial" w:hAnsi="Arial"/>
          <w:b w:val="0"/>
          <w:i w:val="0"/>
          <w:color w:val="1E242A"/>
          <w:sz w:val="20"/>
        </w:rPr>
        <w:t xml:space="preserve"> The supplied Pass 2 file was empty. Any contradiction with its intended analysis of Receita, fiscal flows, transfers or procurement remains untested.</w:t>
      </w:r>
    </w:p>
    <w:p>
      <w:pPr>
        <w:pStyle w:val="ListNumber"/>
        <w:numPr>
          <w:ilvl w:val="0"/>
          <w:numId w:val="5"/>
        </w:numPr>
      </w:pPr>
      <w:r>
        <w:rPr>
          <w:rFonts w:ascii="Arial" w:hAnsi="Arial"/>
          <w:b/>
          <w:i w:val="0"/>
          <w:color w:val="1E242A"/>
          <w:sz w:val="20"/>
        </w:rPr>
        <w:t>Faction reach and membership.</w:t>
      </w:r>
      <w:r>
        <w:rPr>
          <w:rFonts w:ascii="Arial" w:hAnsi="Arial"/>
          <w:b w:val="0"/>
          <w:i w:val="0"/>
          <w:color w:val="1E242A"/>
          <w:sz w:val="20"/>
        </w:rPr>
        <w:t xml:space="preserve"> Counts and territorial maps depend on intelligence definitions and date. Encode only as dated scenario state with method and confidence.</w:t>
      </w:r>
    </w:p>
    <w:p>
      <w:pPr>
        <w:pStyle w:val="ListNumber"/>
        <w:numPr>
          <w:ilvl w:val="0"/>
          <w:numId w:val="5"/>
        </w:numPr>
      </w:pPr>
      <w:r>
        <w:rPr>
          <w:rFonts w:ascii="Arial" w:hAnsi="Arial"/>
          <w:b/>
          <w:i w:val="0"/>
          <w:color w:val="1E242A"/>
          <w:sz w:val="20"/>
        </w:rPr>
        <w:t>Causal effects of intervention, GLO or leader transfer.</w:t>
      </w:r>
      <w:r>
        <w:rPr>
          <w:rFonts w:ascii="Arial" w:hAnsi="Arial"/>
          <w:b w:val="0"/>
          <w:i w:val="0"/>
          <w:color w:val="1E242A"/>
          <w:sz w:val="20"/>
        </w:rPr>
        <w:t xml:space="preserve"> Evidence rarely isolates causation. Historical cases support plausible pathways, not deterministic security outcomes.</w:t>
      </w:r>
    </w:p>
    <w:p>
      <w:pPr>
        <w:pStyle w:val="ListNumber"/>
        <w:numPr>
          <w:ilvl w:val="0"/>
          <w:numId w:val="5"/>
        </w:numPr>
      </w:pPr>
      <w:r>
        <w:rPr>
          <w:rFonts w:ascii="Arial" w:hAnsi="Arial"/>
          <w:b/>
          <w:i w:val="0"/>
          <w:color w:val="1E242A"/>
          <w:sz w:val="20"/>
        </w:rPr>
        <w:t>Criminal adaptation.</w:t>
      </w:r>
      <w:r>
        <w:rPr>
          <w:rFonts w:ascii="Arial" w:hAnsi="Arial"/>
          <w:b w:val="0"/>
          <w:i w:val="0"/>
          <w:color w:val="1E242A"/>
          <w:sz w:val="20"/>
        </w:rPr>
        <w:t xml:space="preserve"> Fragmentation, displacement, consolidation and escalation are credible possibilities, not automatic responses. Context, rivals, prisons, markets and state coordination mediate outcomes.</w:t>
      </w:r>
    </w:p>
    <w:p>
      <w:pPr>
        <w:pStyle w:val="ListNumber"/>
        <w:numPr>
          <w:ilvl w:val="0"/>
          <w:numId w:val="5"/>
        </w:numPr>
      </w:pPr>
      <w:r>
        <w:rPr>
          <w:rFonts w:ascii="Arial" w:hAnsi="Arial"/>
          <w:b/>
          <w:i w:val="0"/>
          <w:color w:val="1E242A"/>
          <w:sz w:val="20"/>
        </w:rPr>
        <w:t>Current leaders facilities and operations.</w:t>
      </w:r>
      <w:r>
        <w:rPr>
          <w:rFonts w:ascii="Arial" w:hAnsi="Arial"/>
          <w:b w:val="0"/>
          <w:i w:val="0"/>
          <w:color w:val="1E242A"/>
          <w:sz w:val="20"/>
        </w:rPr>
        <w:t xml:space="preserve"> PF, ABIN, COAF and SENAPPEN leadership, the number and capacity of federal prisons, active deployments and current threat assessments are scenario-specific and require refresh at every start date.</w:t>
      </w:r>
    </w:p>
    <w:p>
      <w:pPr>
        <w:pStyle w:val="Heading1"/>
      </w:pPr>
      <w:r>
        <w:rPr>
          <w:rFonts w:ascii="Arial" w:hAnsi="Arial"/>
          <w:b w:val="0"/>
          <w:i w:val="0"/>
          <w:color w:val="183752"/>
          <w:sz w:val="34"/>
        </w:rPr>
        <w:t>Source and validation notes</w:t>
      </w:r>
    </w:p>
    <w:p>
      <w:r>
        <w:rPr>
          <w:rFonts w:ascii="Arial" w:hAnsi="Arial"/>
          <w:b w:val="0"/>
          <w:i w:val="0"/>
          <w:color w:val="1E242A"/>
          <w:sz w:val="21"/>
        </w:rPr>
        <w:t>Mechanically consequential authority claims were checked against the Constitution, current compiled statutes, decrees, STF holdings and official institutional descriptions. The research actively sought contrary evidence on PF independence, MP investigative authority, COAF report requests, ABIN data sharing, military domestic power and asset availability. Disagreements are preserved above rather than silently resolved.</w:t>
      </w:r>
    </w:p>
    <w:p>
      <w:r>
        <w:rPr>
          <w:rFonts w:ascii="Arial" w:hAnsi="Arial"/>
          <w:b w:val="0"/>
          <w:i w:val="0"/>
          <w:color w:val="1E242A"/>
          <w:sz w:val="21"/>
        </w:rPr>
        <w:t>Key secondary evidence was used only for practice and organisational behaviour: FATF/GAFILAT for AML effectiveness; peer-reviewed research for prison and criminal governance; UNODC and the Brazilian Forum on Public Security for transnational networks and dated faction mapping. The evidence reached diminishing returns when each required section had primary authority, major contradictions were bounded, and remaining uncertainty concentrated in expressly identified 2025–26 litigation, implementation and non-public intelligence.</w:t>
      </w:r>
    </w:p>
    <w:p>
      <w:r>
        <w:rPr>
          <w:rFonts w:ascii="Arial" w:hAnsi="Arial"/>
          <w:b w:val="0"/>
          <w:i w:val="0"/>
          <w:color w:val="1E242A"/>
          <w:sz w:val="21"/>
        </w:rPr>
        <w:t xml:space="preserve">The governing conclusion is institutional: </w:t>
      </w:r>
      <w:r>
        <w:rPr>
          <w:rFonts w:ascii="Arial" w:hAnsi="Arial"/>
          <w:b/>
          <w:i w:val="0"/>
          <w:color w:val="1E242A"/>
          <w:sz w:val="21"/>
        </w:rPr>
        <w:t>the President is one actor inside the security state, not the security state itself.</w:t>
      </w:r>
    </w:p>
    <w:sectPr>
      <w:headerReference r:id="rId13" w:type="default"/>
      <w:footerReference r:id="rId14" w:type="default"/>
      <w:pgSz w:h="15840" w:w="12240"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tabs>
        <w:tab w:val="right" w:leader="none" w:pos="9214"/>
      </w:tabs>
      <w:jc w:val="center"/>
      <w:rPr>
        <w:color w:val="999999"/>
        <w:sz w:val="18"/>
        <w:szCs w:val="18"/>
      </w:rPr>
    </w:pPr>
    <w:r>
      <w:rPr>
        <w:rFonts w:ascii="Arial" w:hAnsi="Arial"/>
        <w:b w:val="0"/>
        <w:i w:val="0"/>
        <w:color w:val="5A636B"/>
        <w:sz w:val="16"/>
      </w:rPr>
      <w:t>Research Pass 3  |  Security, Intelligence, Policing, Defence and Organised Crime  |  3 September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jc w:val="left"/>
      <w:rPr>
        <w:color w:val="999999"/>
        <w:sz w:val="24"/>
        <w:szCs w:val="24"/>
      </w:rPr>
    </w:pPr>
    <w:r>
      <w:rPr>
        <w:rFonts w:ascii="Arial" w:hAnsi="Arial"/>
        <w:b/>
        <w:i w:val="0"/>
        <w:color w:val="5A636B"/>
        <w:sz w:val="17"/>
      </w:rPr>
      <w:t>SOVEREIGN  |  BRAZIL COUNTRY RESEARCH PROGRAMME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abstractNum w:abstractNumId="2">
    <w:multiLevelType w:val="singleLevel"/>
    <w:lvl w:ilvl="0">
      <w:start w:val="1"/>
      <w:numFmt w:val="bullet"/>
      <w:lvlText w:val="•"/>
      <w:lvlJc w:val="left"/>
      <w:pPr>
        <w:tabs>
          <w:tab w:val="num" w:pos="720"/>
        </w:tabs>
        <w:ind w:left="720" w:hanging="360"/>
      </w:pPr>
    </w:lvl>
  </w:abstractNum>
  <w:num w:numId="2">
    <w:abstractNumId w:val="2"/>
  </w:num>
  <w:abstractNum w:abstractNumId="3">
    <w:multiLevelType w:val="singleLevel"/>
    <w:lvl w:ilvl="0">
      <w:start w:val="1"/>
      <w:numFmt w:val="decimal"/>
      <w:lvlText w:val="%1."/>
      <w:lvlJc w:val="left"/>
      <w:pPr>
        <w:tabs>
          <w:tab w:val="num" w:pos="720"/>
        </w:tabs>
        <w:ind w:left="720" w:hanging="360"/>
      </w:pPr>
    </w:lvl>
  </w:abstractNum>
  <w:num w:numId="3">
    <w:abstractNumId w:val="3"/>
  </w:num>
  <w:abstractNum w:abstractNumId="4">
    <w:multiLevelType w:val="singleLevel"/>
    <w:lvl w:ilvl="0">
      <w:start w:val="1"/>
      <w:numFmt w:val="bullet"/>
      <w:lvlText w:val="•"/>
      <w:lvlJc w:val="left"/>
      <w:pPr>
        <w:tabs>
          <w:tab w:val="num" w:pos="720"/>
        </w:tabs>
        <w:ind w:left="720" w:hanging="360"/>
      </w:pPr>
    </w:lvl>
  </w:abstractNum>
  <w:num w:numId="4">
    <w:abstractNumId w:val="4"/>
  </w:num>
  <w:abstractNum w:abstractNumId="5">
    <w:multiLevelType w:val="singleLevel"/>
    <w:lvl w:ilvl="0">
      <w:start w:val="1"/>
      <w:numFmt w:val="decimal"/>
      <w:lvlText w:val="%1."/>
      <w:lvlJc w:val="left"/>
      <w:pPr>
        <w:tabs>
          <w:tab w:val="num" w:pos="720"/>
        </w:tabs>
        <w:ind w:left="720" w:hanging="360"/>
      </w:pPr>
    </w:lvl>
  </w:abstract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69" w:lineRule="auto"/>
    </w:pPr>
    <w:rPr>
      <w:rFonts w:ascii="Arial" w:hAnsi="Arial"/>
      <w:color w:val="1E242A"/>
      <w:sz w:val="21"/>
    </w:rPr>
  </w:style>
  <w:style w:type="paragraph" w:styleId="Heading1">
    <w:name w:val="heading 1"/>
    <w:basedOn w:val="Normal"/>
    <w:next w:val="Normal"/>
    <w:pPr>
      <w:keepNext/>
      <w:keepLines w:val="1"/>
      <w:spacing w:after="140" w:before="320" w:lineRule="auto"/>
    </w:pPr>
    <w:rPr>
      <w:rFonts w:ascii="Arial" w:hAnsi="Arial"/>
      <w:b/>
      <w:color w:val="183752"/>
      <w:sz w:val="34"/>
      <w:szCs w:val="40"/>
    </w:rPr>
  </w:style>
  <w:style w:type="paragraph" w:styleId="Heading2">
    <w:name w:val="heading 2"/>
    <w:basedOn w:val="Normal"/>
    <w:next w:val="Normal"/>
    <w:pPr>
      <w:keepNext/>
      <w:keepLines w:val="1"/>
      <w:spacing w:after="100" w:before="240" w:lineRule="auto"/>
    </w:pPr>
    <w:rPr>
      <w:rFonts w:ascii="Arial" w:hAnsi="Arial"/>
      <w:b/>
      <w:color w:val="2C5F80"/>
      <w:sz w:val="27"/>
      <w:szCs w:val="32"/>
    </w:rPr>
  </w:style>
  <w:style w:type="paragraph" w:styleId="Heading3">
    <w:name w:val="heading 3"/>
    <w:basedOn w:val="Normal"/>
    <w:next w:val="Normal"/>
    <w:pPr>
      <w:keepNext/>
      <w:keepLines w:val="1"/>
      <w:spacing w:after="60" w:before="160" w:lineRule="auto"/>
    </w:pPr>
    <w:rPr>
      <w:rFonts w:ascii="Arial" w:hAnsi="Arial"/>
      <w:b/>
      <w:color w:val="183752"/>
      <w:sz w:val="23"/>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keepLines w:val="1"/>
      <w:spacing w:after="200" w:lineRule="auto" w:before="0"/>
    </w:pPr>
    <w:rPr>
      <w:rFonts w:ascii="Arial" w:hAnsi="Arial"/>
      <w:b/>
      <w:color w:val="183752"/>
      <w:sz w:val="56"/>
      <w:szCs w:val="52"/>
    </w:rPr>
  </w:style>
  <w:style w:type="paragraph" w:styleId="Subtitle">
    <w:name w:val="Subtitle"/>
    <w:basedOn w:val="Normal"/>
    <w:next w:val="Normal"/>
    <w:pPr>
      <w:keepNext/>
      <w:keepLines w:val="1"/>
      <w:spacing w:after="240" w:lineRule="auto" w:before="0"/>
    </w:pPr>
    <w:rPr>
      <w:rFonts w:ascii="Arial" w:hAnsi="Arial"/>
      <w:b w:val="0"/>
      <w:color w:val="5A636B"/>
      <w:sz w:val="26"/>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customStyle="1" w:styleId="ListBullet">
    <w:name w:val="List Bullet"/>
    <w:basedOn w:val="Normal"/>
    <w:pPr>
      <w:spacing w:after="60" w:line="269" w:lineRule="auto"/>
    </w:pPr>
    <w:rPr>
      <w:rFonts w:ascii="Arial" w:hAnsi="Arial"/>
      <w:sz w:val="20"/>
    </w:rPr>
  </w:style>
  <w:style w:type="paragraph" w:customStyle="1" w:styleId="ListNumber">
    <w:name w:val="List Number"/>
    <w:basedOn w:val="Normal"/>
    <w:pPr>
      <w:spacing w:after="60" w:line="269" w:lineRule="auto"/>
    </w:pPr>
    <w:rPr>
      <w:rFonts w:ascii="Arial" w:hAnsi="Arial"/>
      <w:sz w:val="2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 Id="rId6" Type="http://schemas.openxmlformats.org/officeDocument/2006/relationships/hyperlink" Target="https://www2.camara.leg.br/legin/fed/consti/1988/constituicao-1988-5-outubro-1988-322142-normaatualizada-pl.html" TargetMode="External"/><Relationship Id="rId15" Type="http://schemas.openxmlformats.org/officeDocument/2006/relationships/hyperlink" Target="https://doi.org/10.1590/S0102-64451998000200005" TargetMode="External"/><Relationship Id="rId16" Type="http://schemas.openxmlformats.org/officeDocument/2006/relationships/hyperlink" Target="https://www12.senado.leg.br/ril/edicoes/61/242/ril_v61_n242_p11" TargetMode="External"/><Relationship Id="rId17" Type="http://schemas.openxmlformats.org/officeDocument/2006/relationships/hyperlink" Target="https://www.scielo.br/j/bpsr/a/rwXz4YfqcJmSsZ8zyxgG8hd/" TargetMode="External"/><Relationship Id="rId18" Type="http://schemas.openxmlformats.org/officeDocument/2006/relationships/hyperlink" Target="https://www.planalto.gov.br/ccivil_03/constituicao/constituicao.htm" TargetMode="External"/><Relationship Id="rId19" Type="http://schemas.openxmlformats.org/officeDocument/2006/relationships/hyperlink" Target="https://portal.stf.jus.br/constituicao-supremo/artigo.asp?abrirArtigo=84&amp;abrirBase=CF" TargetMode="External"/><Relationship Id="rId20" Type="http://schemas.openxmlformats.org/officeDocument/2006/relationships/hyperlink" Target="https://www.scielo.br/j/rinc/a/w6HH7Z8CjKyQnZqGtxqCXry/?lang=en" TargetMode="External"/><Relationship Id="rId21" Type="http://schemas.openxmlformats.org/officeDocument/2006/relationships/hyperlink" Target="https://portal.stf.jus.br/noticias/verNoticiaDetalhe.asp?idConteudo=506827&amp;ori=1" TargetMode="External"/><Relationship Id="rId22" Type="http://schemas.openxmlformats.org/officeDocument/2006/relationships/hyperlink" Target="https://legis.senado.leg.br/norma/561120/publicacao/15678176" TargetMode="External"/><Relationship Id="rId23" Type="http://schemas.openxmlformats.org/officeDocument/2006/relationships/hyperlink" Target="https://doi.org/10.1093/slr/hmv011" TargetMode="External"/><Relationship Id="rId24" Type="http://schemas.openxmlformats.org/officeDocument/2006/relationships/hyperlink" Target="https://www.planalto.gov.br/ccivil_03/_ato2023-2026/2024/decreto/d12002.htm" TargetMode="External"/><Relationship Id="rId25" Type="http://schemas.openxmlformats.org/officeDocument/2006/relationships/hyperlink" Target="https://www12.senado.leg.br/orcamento/legislacao-orcamentaria" TargetMode="External"/><Relationship Id="rId26" Type="http://schemas.openxmlformats.org/officeDocument/2006/relationships/hyperlink" Target="https://legis.senado.leg.br/norma/39857130/publicacao/39857348" TargetMode="External"/><Relationship Id="rId27" Type="http://schemas.openxmlformats.org/officeDocument/2006/relationships/hyperlink" Target="https://portal.stf.jus.br/noticias/verNoticiaDetalhe.asp?idConteudo=499330" TargetMode="External"/><Relationship Id="rId28" Type="http://schemas.openxmlformats.org/officeDocument/2006/relationships/hyperlink" Target="https://www.planalto.gov.br/ccivil_03/leis/lcp/lcp97compilado.htm" TargetMode="External"/><Relationship Id="rId29" Type="http://schemas.openxmlformats.org/officeDocument/2006/relationships/hyperlink" Target="https://portal.stf.jus.br/noticias/verNoticiaDetalhe.asp?idConteudo=531731&amp;ori=1" TargetMode="External"/><Relationship Id="rId30" Type="http://schemas.openxmlformats.org/officeDocument/2006/relationships/hyperlink" Target="https://www2.camara.leg.br/atividade-legislativa/legislacao/Constituicoes_Brasileiras/constituicao-cidada/constituicao-federal/index.html/CF1988.html" TargetMode="External"/><Relationship Id="rId31" Type="http://schemas.openxmlformats.org/officeDocument/2006/relationships/hyperlink" Target="https://planalto.gov.br/ccivil_03/_ato2015-2018/2018/decreto/d9288.htm" TargetMode="External"/><Relationship Id="rId32" Type="http://schemas.openxmlformats.org/officeDocument/2006/relationships/hyperlink" Target="https://noticias.stf.jus.br/postsnoticias/stf-confirma-manutencao-de-numero-de-deputados-federais-para-2026/" TargetMode="External"/><Relationship Id="rId33" Type="http://schemas.openxmlformats.org/officeDocument/2006/relationships/hyperlink" Target="https://www2.camara.leg.br/a-camara/presidencia/atribuicoes" TargetMode="External"/><Relationship Id="rId34" Type="http://schemas.openxmlformats.org/officeDocument/2006/relationships/hyperlink" Target="https://www2.camara.leg.br/atividade-legislativa/legislacao/regimento-interno-da-camara-dos-deputados/arquivos-1/RICDatualizadoatRCD342026.pdf/view" TargetMode="External"/><Relationship Id="rId35" Type="http://schemas.openxmlformats.org/officeDocument/2006/relationships/hyperlink" Target="https://portal.stf.jus.br/noticias/verNoticiaDetalhe.asp?idConteudo=435436&amp;ori=" TargetMode="External"/><Relationship Id="rId36" Type="http://schemas.openxmlformats.org/officeDocument/2006/relationships/hyperlink" Target="https://www.planalto.gov.br/ccivil_03/leis/l9882.htm" TargetMode="External"/><Relationship Id="rId37" Type="http://schemas.openxmlformats.org/officeDocument/2006/relationships/hyperlink" Target="https://www.planalto.gov.br/ccivil_03/leis/l9868.htm" TargetMode="External"/><Relationship Id="rId38" Type="http://schemas.openxmlformats.org/officeDocument/2006/relationships/hyperlink" Target="https://portal.stf.jus.br/noticias/verNoticiaDetalhe.asp?idConteudo=441447" TargetMode="External"/><Relationship Id="rId39" Type="http://schemas.openxmlformats.org/officeDocument/2006/relationships/hyperlink" Target="https://portal.stf.jus.br/noticias/verNoticiaDetalhe.asp?idConteudo=489997&amp;ori=" TargetMode="External"/><Relationship Id="rId40" Type="http://schemas.openxmlformats.org/officeDocument/2006/relationships/hyperlink" Target="https://portal.stf.jus.br/processos/detalhe.asp?incidente=6996131" TargetMode="External"/><Relationship Id="rId41" Type="http://schemas.openxmlformats.org/officeDocument/2006/relationships/hyperlink" Target="https://portal.stf.jus.br/noticias/verNoticiaDetalhe.asp?idConteudo=515220" TargetMode="External"/><Relationship Id="rId42" Type="http://schemas.openxmlformats.org/officeDocument/2006/relationships/hyperlink" Target="https://portal.stf.jus.br/noticias/verNoticiaDetalhe.asp?idConteudo=447103" TargetMode="External"/><Relationship Id="rId43" Type="http://schemas.openxmlformats.org/officeDocument/2006/relationships/hyperlink" Target="https://planalto.gov.br/ccivil_03/leis/lcp/lcp141.htm" TargetMode="External"/><Relationship Id="rId44" Type="http://schemas.openxmlformats.org/officeDocument/2006/relationships/hyperlink" Target="https://planalto.gov.br/ccivil_03/_ato2019-2022/2020/lei/l14113.htm" TargetMode="External"/><Relationship Id="rId45" Type="http://schemas.openxmlformats.org/officeDocument/2006/relationships/hyperlink" Target="https://www.planalto.gov.br/ccivil_03/constituicao/constituicaocompilado.htm" TargetMode="External"/><Relationship Id="rId46" Type="http://schemas.openxmlformats.org/officeDocument/2006/relationships/hyperlink" Target="https://www.planalto.gov.br/ccivil_03/leis/lcp/lcp214.htm" TargetMode="External"/><Relationship Id="rId47" Type="http://schemas.openxmlformats.org/officeDocument/2006/relationships/hyperlink" Target="https://www.planalto.gov.br/ccivil_03/leis/lcp/lcp140.htm" TargetMode="External"/><Relationship Id="rId48" Type="http://schemas.openxmlformats.org/officeDocument/2006/relationships/hyperlink" Target="https://www.gov.br/tesouronacional/pt-br/estados-e-municipios/transferencias-a-estados-e-municipios/transferencias-constitucionais-e-legais" TargetMode="External"/><Relationship Id="rId49" Type="http://schemas.openxmlformats.org/officeDocument/2006/relationships/hyperlink" Target="https://www.gov.br/igualdaderacial/pt-br/acesso-a-informacao/convenios-e-transferencias/transferencias-voluntarias" TargetMode="External"/><Relationship Id="rId50" Type="http://schemas.openxmlformats.org/officeDocument/2006/relationships/hyperlink" Target="https://www.planalto.gov.br/ccivil_03/_ato2004-2006/2005/lei/l11107.htm" TargetMode="External"/><Relationship Id="rId51" Type="http://schemas.openxmlformats.org/officeDocument/2006/relationships/hyperlink" Target="https://www.oecd.org/en/publications/auditing-decentralised-policies-in-brazil_30023307-en/full-report/auditing-decentralised-policies-the-challenges-for-brazil_a9470cda.html" TargetMode="External"/><Relationship Id="rId52" Type="http://schemas.openxmlformats.org/officeDocument/2006/relationships/hyperlink" Target="https://www.oecd.org/content/dam/oecd/en/publications/reports/2022/06/centre-of-government-review-of-brazil_c0cd0766/33d996b2-en.pdf" TargetMode="External"/><Relationship Id="rId53" Type="http://schemas.openxmlformats.org/officeDocument/2006/relationships/hyperlink" Target="https://planalto.gov.br/ccivil_03/decreto-lei/del0200.htm" TargetMode="External"/><Relationship Id="rId54" Type="http://schemas.openxmlformats.org/officeDocument/2006/relationships/hyperlink" Target="https://www.planalto.gov.br/ccivil_03/_ato2023-2026/2023/lei/l14600.htm" TargetMode="External"/><Relationship Id="rId55" Type="http://schemas.openxmlformats.org/officeDocument/2006/relationships/hyperlink" Target="https://www.planalto.gov.br/ccivil_03/_ato2019-2022/2019/lei/l13848.htm" TargetMode="External"/><Relationship Id="rId56" Type="http://schemas.openxmlformats.org/officeDocument/2006/relationships/hyperlink" Target="https://portal.tcu.gov.br/imprensa/noticias/secao-das-sessoes-2026-02-11" TargetMode="External"/><Relationship Id="rId57" Type="http://schemas.openxmlformats.org/officeDocument/2006/relationships/hyperlink" Target="https://www.planalto.gov.br/ccivil_03/leis/lcp/lcp179.htm" TargetMode="External"/><Relationship Id="rId58" Type="http://schemas.openxmlformats.org/officeDocument/2006/relationships/hyperlink" Target="https://www.planalto.gov.br/ccivil_03/_ato2015-2018/2016/lei/l13303.htm" TargetMode="External"/><Relationship Id="rId59" Type="http://schemas.openxmlformats.org/officeDocument/2006/relationships/hyperlink" Target="https://www.planalto.gov.br/ccivil_03/leis/l9504compilado.htm" TargetMode="External"/><Relationship Id="rId60" Type="http://schemas.openxmlformats.org/officeDocument/2006/relationships/hyperlink" Target="https://www.tse.jus.br/comunicacao/noticias/2026/Abril/por-dentro-das-eleicoes-brasil-utiliza-sistemas-eleitorais-majoritario-e-proporcional" TargetMode="External"/><Relationship Id="rId61" Type="http://schemas.openxmlformats.org/officeDocument/2006/relationships/hyperlink" Target="https://www.tse.jus.br/legislacao/codigo-eleitoral/codigo-eleitoral-1/codigo-eleitoral-lei-nb0-4.737-de-15-de-julho-de-1965" TargetMode="External"/><Relationship Id="rId62" Type="http://schemas.openxmlformats.org/officeDocument/2006/relationships/hyperlink" Target="https://www.tse.jus.br/comunicacao/noticias/2022/Fevereiro/eleicoes-2022-resolucao-do-tse-regulamenta-federacoes-partidarias" TargetMode="External"/><Relationship Id="rId63" Type="http://schemas.openxmlformats.org/officeDocument/2006/relationships/hyperlink" Target="https://www.tse.jus.br/comunicacao/noticias/2026/Junho/clausula-de-desempenho-deve-influenciar-cenario-partidario-nas-eleicoes-2026" TargetMode="External"/><Relationship Id="rId64" Type="http://schemas.openxmlformats.org/officeDocument/2006/relationships/hyperlink" Target="https://www.tse.jus.br/legislacao/codigo-eleitoral/lei-dos-partidos-politicos/lei-dos-partidos-politicos-lei-nb0-9.096-de-19-de-setembro-de-1995" TargetMode="External"/><Relationship Id="rId65" Type="http://schemas.openxmlformats.org/officeDocument/2006/relationships/hyperlink" Target="https://planalto.gov.br/ccivil_03/_ato2023-2026/2026/lei/l15358.htm" TargetMode="External"/><Relationship Id="rId66" Type="http://schemas.openxmlformats.org/officeDocument/2006/relationships/hyperlink" Target="https://www.planalto.gov.br/ccivil_03/leis/2002/l10446.htm" TargetMode="External"/><Relationship Id="rId67" Type="http://schemas.openxmlformats.org/officeDocument/2006/relationships/hyperlink" Target="https://www.planalto.gov.br/ccivil_03/_ato2015-2018/2018/lei/l13675.htm" TargetMode="External"/><Relationship Id="rId68" Type="http://schemas.openxmlformats.org/officeDocument/2006/relationships/hyperlink" Target="https://planalto.gov.br/ccivil_03/leis/l9266.htm" TargetMode="External"/><Relationship Id="rId69" Type="http://schemas.openxmlformats.org/officeDocument/2006/relationships/hyperlink" Target="https://www.planalto.gov.br/ccivil_03/_ato2023-2026/2023/decreto/d11348.htm" TargetMode="External"/><Relationship Id="rId70" Type="http://schemas.openxmlformats.org/officeDocument/2006/relationships/hyperlink" Target="https://www.gov.br/pf/pt-br/acesso-a-informacao/institucional/competencias" TargetMode="External"/><Relationship Id="rId71" Type="http://schemas.openxmlformats.org/officeDocument/2006/relationships/hyperlink" Target="https://portal.stf.jus.br/constituicao-supremo/artigo.asp?abrirArtigo=144&amp;abrirBase=CF" TargetMode="External"/><Relationship Id="rId72" Type="http://schemas.openxmlformats.org/officeDocument/2006/relationships/hyperlink" Target="https://portal.stf.jus.br/jurisprudenciaRepercussao/verAndamentoProcesso.asp?classeProcesso=RE&amp;incidente=2641697&amp;numeroProcesso=593727&amp;numeroTema=184.+" TargetMode="External"/><Relationship Id="rId73" Type="http://schemas.openxmlformats.org/officeDocument/2006/relationships/hyperlink" Target="https://www.planalto.gov.br/ccivil_03/decreto-lei/del3689compilado.htm" TargetMode="External"/><Relationship Id="rId74" Type="http://schemas.openxmlformats.org/officeDocument/2006/relationships/hyperlink" Target="https://planalto.gov.br/ccivil_03/leis/l9296.htm" TargetMode="External"/><Relationship Id="rId75" Type="http://schemas.openxmlformats.org/officeDocument/2006/relationships/hyperlink" Target="https://noticias.stf.jus.br/postsnoticias/adpf-das-favelas-stf-homologa-parcialmente-plano-do-estado-do-rio-de-janeiro-para-reduzir-letalidade-policial/" TargetMode="External"/><Relationship Id="rId76" Type="http://schemas.openxmlformats.org/officeDocument/2006/relationships/hyperlink" Target="https://planalto.gov.br/ccivil_03/_ato2011-2014/2013/lei/l12850.htm" TargetMode="External"/><Relationship Id="rId77" Type="http://schemas.openxmlformats.org/officeDocument/2006/relationships/hyperlink" Target="https://www.gov.br/senappen/pt-br/assuntos/noticias/lei-antifaccao-e-tema-de-audiencia-publica-no-supremo-tribunal-federal" TargetMode="External"/><Relationship Id="rId78" Type="http://schemas.openxmlformats.org/officeDocument/2006/relationships/hyperlink" Target="https://planalto.gov.br/ccivil_03/leis/l9613compilado.htm" TargetMode="External"/><Relationship Id="rId79" Type="http://schemas.openxmlformats.org/officeDocument/2006/relationships/hyperlink" Target="https://planalto.gov.br/ccivil_03/_ato2004-2006/2006/lei/l11343.htm" TargetMode="External"/><Relationship Id="rId80" Type="http://schemas.openxmlformats.org/officeDocument/2006/relationships/hyperlink" Target="https://www.planalto.gov.br/ccivil_03/leis/l7560compilado.htm" TargetMode="External"/><Relationship Id="rId81" Type="http://schemas.openxmlformats.org/officeDocument/2006/relationships/hyperlink" Target="https://www.planalto.gov.br/ccivil_03/_ato2015-2018/2018/lei/l13756compilado.htm" TargetMode="External"/><Relationship Id="rId82" Type="http://schemas.openxmlformats.org/officeDocument/2006/relationships/hyperlink" Target="https://www.planalto.gov.br/ccivil_03/_ato2019-2022/2020/lei/l13974.htm" TargetMode="External"/><Relationship Id="rId83" Type="http://schemas.openxmlformats.org/officeDocument/2006/relationships/hyperlink" Target="https://www.gov.br/coaf/pt-br/assuntos/noticias/ultimas-noticias/atencao-o-coaf-nao-bloqueia-libera-ou-retem-dinheiro-bens-ou-qualquer-outro-tipo-de-recurso-financeiro" TargetMode="External"/><Relationship Id="rId84" Type="http://schemas.openxmlformats.org/officeDocument/2006/relationships/hyperlink" Target="https://portal.stf.jus.br/jurisprudenciaRepercussao/verPronunciamento.asp?pronunciamento=9176586" TargetMode="External"/><Relationship Id="rId85" Type="http://schemas.openxmlformats.org/officeDocument/2006/relationships/hyperlink" Target="https://portal.stf.jus.br/jurisprudenciaRepercussao/tema.asp?num=1404" TargetMode="External"/><Relationship Id="rId86" Type="http://schemas.openxmlformats.org/officeDocument/2006/relationships/hyperlink" Target="https://noticias.stf.jus.br/postsnoticias/stf-fixa-regras-para-uso-de-relatorios-do-coaf-e-proibe-pesca-probatoria/" TargetMode="External"/><Relationship Id="rId87" Type="http://schemas.openxmlformats.org/officeDocument/2006/relationships/hyperlink" Target="https://www.fatf-gafi.org/en/publications/Mutualevaluations/Brazil-mer-2023.html" TargetMode="External"/><Relationship Id="rId88" Type="http://schemas.openxmlformats.org/officeDocument/2006/relationships/hyperlink" Target="https://planalto.gov.br/ccivil_03/leis/l9883.htm" TargetMode="External"/><Relationship Id="rId89" Type="http://schemas.openxmlformats.org/officeDocument/2006/relationships/hyperlink" Target="https://www.planalto.gov.br/ccivil_03/_ato2023-2026/2023/decreto/d11816.htm" TargetMode="External"/><Relationship Id="rId90" Type="http://schemas.openxmlformats.org/officeDocument/2006/relationships/hyperlink" Target="https://www.planalto.gov.br/ccivil_03/_ato2023-2026/2023/decreto/d11693.htm" TargetMode="External"/><Relationship Id="rId91" Type="http://schemas.openxmlformats.org/officeDocument/2006/relationships/hyperlink" Target="https://legis.senado.gov.br/norma/561150/publicacao/15611900" TargetMode="External"/><Relationship Id="rId92" Type="http://schemas.openxmlformats.org/officeDocument/2006/relationships/hyperlink" Target="https://portal.stf.jus.br/noticias/verNoticiaDetalhe.asp?idConteudo=449549&amp;ori=1" TargetMode="External"/><Relationship Id="rId93" Type="http://schemas.openxmlformats.org/officeDocument/2006/relationships/hyperlink" Target="https://noticias.stf.jus.br/postsnoticias/a-pedido-da-pf-stf-autoriza-prisoes-afastamentos-e-buscas-para-apurar-monitoramento-ilegal-de-pessoas-e-autoridades-publicas/" TargetMode="External"/><Relationship Id="rId94" Type="http://schemas.openxmlformats.org/officeDocument/2006/relationships/hyperlink" Target="https://planalto.gov.br/ccivil_03/_ato2015-2018/2017/lei/l13445.htm" TargetMode="External"/><Relationship Id="rId95" Type="http://schemas.openxmlformats.org/officeDocument/2006/relationships/hyperlink" Target="https://www.planalto.gov.br/ccivil_03/_ato2007-2010/2009/decreto/d6759.htm" TargetMode="External"/><Relationship Id="rId96" Type="http://schemas.openxmlformats.org/officeDocument/2006/relationships/hyperlink" Target="https://www.gov.br/defesa/pt-br/assuntos/exercicios-e-operacoes/operacoes-conjuntas/operacao-agata-1" TargetMode="External"/><Relationship Id="rId97" Type="http://schemas.openxmlformats.org/officeDocument/2006/relationships/hyperlink" Target="https://www.gov.br/senappen/pt-br/acesso-a-informacao/institucional" TargetMode="External"/><Relationship Id="rId98" Type="http://schemas.openxmlformats.org/officeDocument/2006/relationships/hyperlink" Target="https://www.planalto.gov.br/ccivil_03/_ato2007-2010/2008/lei/l11671.htm" TargetMode="External"/><Relationship Id="rId99" Type="http://schemas.openxmlformats.org/officeDocument/2006/relationships/hyperlink" Target="https://planalto.gov.br/ccivil_03/_ato2007-2010/2009/decreto/d6877.htm" TargetMode="External"/><Relationship Id="rId100" Type="http://schemas.openxmlformats.org/officeDocument/2006/relationships/hyperlink" Target="https://www.planalto.gov.br/ccivil_03/leis/l7210compilado.htm" TargetMode="External"/><Relationship Id="rId101" Type="http://schemas.openxmlformats.org/officeDocument/2006/relationships/hyperlink" Target="https://www.cambridge.org/core/journals/american-political-science-review/article/legitimacy-in-criminal-governance-managing-a-drug-empire-from-behind-bars/15AA260804337B58B4A75EAF469457F6" TargetMode="External"/><Relationship Id="rId102" Type="http://schemas.openxmlformats.org/officeDocument/2006/relationships/hyperlink" Target="https://www.planalto.gov.br/ccivil_03/_ato2004-2006/2004/lei/l10.937.htm" TargetMode="External"/><Relationship Id="rId103" Type="http://schemas.openxmlformats.org/officeDocument/2006/relationships/hyperlink" Target="https://www.planalto.gov.br/ccivil_03/_ato2007-2010/2007/lei/l11631.htm" TargetMode="External"/><Relationship Id="rId104" Type="http://schemas.openxmlformats.org/officeDocument/2006/relationships/hyperlink" Target="https://www.planalto.gov.br/ccivil_03/_ato2015-2018/2016/lei/l13260.htm" TargetMode="External"/><Relationship Id="rId105" Type="http://schemas.openxmlformats.org/officeDocument/2006/relationships/hyperlink" Target="https://www.planalto.gov.br/ccivil_03/_ato2019-2022/2021/lei/l14197.htm" TargetMode="External"/><Relationship Id="rId106" Type="http://schemas.openxmlformats.org/officeDocument/2006/relationships/hyperlink" Target="https://www.planalto.gov.br/ccivil_03/_ato2011-2014/2014/lei/l13060.htm" TargetMode="External"/><Relationship Id="rId107" Type="http://schemas.openxmlformats.org/officeDocument/2006/relationships/hyperlink" Target="https://planalto.gov.br/ccivil_03/_ato2023-2026/2024/decreto/d12341.htm" TargetMode="External"/><Relationship Id="rId108" Type="http://schemas.openxmlformats.org/officeDocument/2006/relationships/hyperlink" Target="https://www.planalto.gov.br/ccivil_03/_ato2004-2006/2004/decreto/d5289compilado.htm" TargetMode="External"/><Relationship Id="rId109" Type="http://schemas.openxmlformats.org/officeDocument/2006/relationships/hyperlink" Target="https://www.unodc.org/cofrb/uploads/documents/CDESC/Boletim_Amazonia_EN_WEB.pdf" TargetMode="External"/><Relationship Id="rId110" Type="http://schemas.openxmlformats.org/officeDocument/2006/relationships/hyperlink" Target="https://jied.lse.ac.uk/articles/291" TargetMode="External"/><Relationship Id="rId111" Type="http://schemas.openxmlformats.org/officeDocument/2006/relationships/hyperlink" Target="https://www.unodc.org/documents/data-and-analysis/cocaine/Global_cocaine_report_2023.pdf" TargetMode="External"/><Relationship Id="rId112" Type="http://schemas.openxmlformats.org/officeDocument/2006/relationships/hyperlink" Target="https://publicacoes.forumseguranca.org.br/items/c86febd3-e26f-487f-a561-623ac82586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Sovereign Brazil Research Pass 3</dc:title>
  <cp:lastModifiedBy>python-docx</cp:lastModifiedBy>
  <cp:revision>1</cp:revision>
  <dcterms:modified xsi:type="dcterms:W3CDTF">2026-09-03T19:36:22Z</dcterms:modified>
  <dc:subject>Security, Intelligence, Policing, Defence and Organised Crime</dc:subject>
  <dc:creator>Sovereign Country Research Programme</dc:creator>
  <cp:keywords>Brazil, security, policing, intelligence, defence, organised crime, federalism</cp:keywords>
</cp:coreProperties>
</file>