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left"/>
      </w:pPr>
      <w:r>
        <w:rPr>
          <w:rFonts w:ascii="Arial" w:hAnsi="Arial"/>
          <w:b w:val="0"/>
          <w:i w:val="0"/>
          <w:color w:val="183752"/>
          <w:sz w:val="56"/>
        </w:rPr>
        <w:t>Brazil Political Behaviour Parties Coalitions Elections Society Media and Informal Power</w:t>
      </w:r>
    </w:p>
    <w:p>
      <w:pPr>
        <w:pStyle w:val="Subtitle"/>
      </w:pPr>
      <w:r>
        <w:rPr>
          <w:rFonts w:ascii="Arial" w:hAnsi="Arial"/>
          <w:b w:val="0"/>
          <w:i w:val="0"/>
          <w:color w:val="5A636B"/>
          <w:sz w:val="26"/>
        </w:rPr>
        <w:t>Sovereign Country Research Programme Research Pass 4</w:t>
      </w:r>
    </w:p>
    <w:p>
      <w:r>
        <w:rPr>
          <w:rFonts w:ascii="Arial" w:hAnsi="Arial"/>
          <w:b/>
          <w:i w:val="0"/>
          <w:color w:val="1E242A"/>
          <w:sz w:val="21"/>
        </w:rPr>
        <w:t>Purpose and audience.</w:t>
      </w:r>
      <w:r>
        <w:rPr>
          <w:rFonts w:ascii="Arial" w:hAnsi="Arial"/>
          <w:b w:val="0"/>
          <w:i w:val="0"/>
          <w:color w:val="1E242A"/>
          <w:sz w:val="21"/>
        </w:rPr>
        <w:t xml:space="preserve"> This report is for designers and researchers building Sovereign's Brazil Country Knowledge Base. It explains how political power is assembled, exercised, resisted and lost inside the formal architecture established in Pass 1, and which actors can create national political developments without presidential initiation.</w:t>
      </w:r>
    </w:p>
    <w:p>
      <w:r>
        <w:rPr>
          <w:rFonts w:ascii="Arial" w:hAnsi="Arial"/>
          <w:b/>
          <w:i w:val="0"/>
          <w:color w:val="1E242A"/>
          <w:sz w:val="21"/>
        </w:rPr>
        <w:t>Research cutoff.</w:t>
      </w:r>
      <w:r>
        <w:rPr>
          <w:rFonts w:ascii="Arial" w:hAnsi="Arial"/>
          <w:b w:val="0"/>
          <w:i w:val="0"/>
          <w:color w:val="1E242A"/>
          <w:sz w:val="21"/>
        </w:rPr>
        <w:t xml:space="preserve"> 3 September 2026. Current official texts were verified on 4 September 2026, but post-cutoff developments are not treated as scenario state. Party rosters, leaders, approval, alliances, active controversies and 2026 campaign conditions are inherently </w:t>
      </w:r>
      <w:r>
        <w:rPr>
          <w:rFonts w:ascii="Arial" w:hAnsi="Arial"/>
          <w:b/>
          <w:i w:val="0"/>
          <w:color w:val="1E242A"/>
          <w:sz w:val="21"/>
        </w:rPr>
        <w:t>SCENARIO-SPECIFIC</w:t>
      </w:r>
      <w:r>
        <w:rPr>
          <w:rFonts w:ascii="Arial" w:hAnsi="Arial"/>
          <w:b w:val="0"/>
          <w:i w:val="0"/>
          <w:color w:val="1E242A"/>
          <w:sz w:val="21"/>
        </w:rPr>
        <w:t>.</w:t>
      </w:r>
    </w:p>
    <w:p>
      <w:r>
        <w:rPr>
          <w:rFonts w:ascii="Arial" w:hAnsi="Arial"/>
          <w:b/>
          <w:i w:val="0"/>
          <w:color w:val="1E242A"/>
          <w:sz w:val="21"/>
        </w:rPr>
        <w:t>Cross-pass position.</w:t>
      </w:r>
      <w:r>
        <w:rPr>
          <w:rFonts w:ascii="Arial" w:hAnsi="Arial"/>
          <w:b w:val="0"/>
          <w:i w:val="0"/>
          <w:color w:val="1E242A"/>
          <w:sz w:val="21"/>
        </w:rPr>
        <w:t xml:space="preserve"> Pass 1 was cross-checked for presidential and congressional powers, elections, appointments, governors, courts, vetoes and impeachment. Pass 3 was cross-checked for prosecutors, courts, security politics and independent institutional action. The supplied Pass 2 file remained empty, so budget politics, economic interests and fiscal-federal relationships were independently sourced here; any contradiction with the intended Pass 2 analysis remains a validation gap.</w:t>
      </w:r>
    </w:p>
    <w:p>
      <w:pPr>
        <w:pStyle w:val="Heading2"/>
      </w:pPr>
      <w:r>
        <w:rPr>
          <w:rFonts w:ascii="Arial" w:hAnsi="Arial"/>
          <w:b w:val="0"/>
          <w:i w:val="0"/>
          <w:color w:val="2C5F80"/>
          <w:sz w:val="27"/>
        </w:rPr>
        <w:t>Classification key</w:t>
      </w:r>
    </w:p>
    <w:p>
      <w:pPr>
        <w:pStyle w:val="ListBullet"/>
        <w:numPr>
          <w:ilvl w:val="0"/>
          <w:numId w:val="6"/>
        </w:numPr>
      </w:pPr>
      <w:r>
        <w:rPr>
          <w:rFonts w:ascii="Arial" w:hAnsi="Arial"/>
          <w:b/>
          <w:i w:val="0"/>
          <w:color w:val="1E242A"/>
          <w:sz w:val="20"/>
        </w:rPr>
        <w:t>FORMAL RULE</w:t>
      </w:r>
      <w:r>
        <w:rPr>
          <w:rFonts w:ascii="Arial" w:hAnsi="Arial"/>
          <w:b w:val="0"/>
          <w:i w:val="0"/>
          <w:color w:val="1E242A"/>
          <w:sz w:val="20"/>
        </w:rPr>
        <w:t>: constitutional, statutory, regulatory or binding judicial rule.</w:t>
      </w:r>
    </w:p>
    <w:p>
      <w:pPr>
        <w:pStyle w:val="ListBullet"/>
        <w:numPr>
          <w:ilvl w:val="0"/>
          <w:numId w:val="6"/>
        </w:numPr>
      </w:pPr>
      <w:r>
        <w:rPr>
          <w:rFonts w:ascii="Arial" w:hAnsi="Arial"/>
          <w:b/>
          <w:i w:val="0"/>
          <w:color w:val="1E242A"/>
          <w:sz w:val="20"/>
        </w:rPr>
        <w:t>POLITICAL PRACTICE</w:t>
      </w:r>
      <w:r>
        <w:rPr>
          <w:rFonts w:ascii="Arial" w:hAnsi="Arial"/>
          <w:b w:val="0"/>
          <w:i w:val="0"/>
          <w:color w:val="1E242A"/>
          <w:sz w:val="20"/>
        </w:rPr>
        <w:t>: recurrent behaviour inside or around those rules.</w:t>
      </w:r>
    </w:p>
    <w:p>
      <w:pPr>
        <w:pStyle w:val="ListBullet"/>
        <w:numPr>
          <w:ilvl w:val="0"/>
          <w:numId w:val="6"/>
        </w:numPr>
      </w:pPr>
      <w:r>
        <w:rPr>
          <w:rFonts w:ascii="Arial" w:hAnsi="Arial"/>
          <w:b/>
          <w:i w:val="0"/>
          <w:color w:val="1E242A"/>
          <w:sz w:val="20"/>
        </w:rPr>
        <w:t>HISTORICAL EXPERIENCE</w:t>
      </w:r>
      <w:r>
        <w:rPr>
          <w:rFonts w:ascii="Arial" w:hAnsi="Arial"/>
          <w:b w:val="0"/>
          <w:i w:val="0"/>
          <w:color w:val="1E242A"/>
          <w:sz w:val="20"/>
        </w:rPr>
        <w:t>: a bounded example, not a deterministic precedent.</w:t>
      </w:r>
    </w:p>
    <w:p>
      <w:pPr>
        <w:pStyle w:val="ListBullet"/>
        <w:numPr>
          <w:ilvl w:val="0"/>
          <w:numId w:val="6"/>
        </w:numPr>
      </w:pPr>
      <w:r>
        <w:rPr>
          <w:rFonts w:ascii="Arial" w:hAnsi="Arial"/>
          <w:b/>
          <w:i w:val="0"/>
          <w:color w:val="1E242A"/>
          <w:sz w:val="20"/>
        </w:rPr>
        <w:t>SCENARIO-SPECIFIC</w:t>
      </w:r>
      <w:r>
        <w:rPr>
          <w:rFonts w:ascii="Arial" w:hAnsi="Arial"/>
          <w:b w:val="0"/>
          <w:i w:val="0"/>
          <w:color w:val="1E242A"/>
          <w:sz w:val="20"/>
        </w:rPr>
        <w:t>: a dated condition rather than durable Country Knowledge.</w:t>
      </w:r>
    </w:p>
    <w:p>
      <w:pPr>
        <w:pStyle w:val="ListBullet"/>
        <w:numPr>
          <w:ilvl w:val="0"/>
          <w:numId w:val="6"/>
        </w:numPr>
      </w:pPr>
      <w:r>
        <w:rPr>
          <w:rFonts w:ascii="Arial" w:hAnsi="Arial"/>
          <w:b/>
          <w:i w:val="0"/>
          <w:color w:val="1E242A"/>
          <w:sz w:val="20"/>
        </w:rPr>
        <w:t>GOVERNMENT ACTION INSTRUMENT</w:t>
      </w:r>
      <w:r>
        <w:rPr>
          <w:rFonts w:ascii="Arial" w:hAnsi="Arial"/>
          <w:b w:val="0"/>
          <w:i w:val="0"/>
          <w:color w:val="1E242A"/>
          <w:sz w:val="20"/>
        </w:rPr>
        <w:t>: a recognisable route available to government.</w:t>
      </w:r>
    </w:p>
    <w:p>
      <w:pPr>
        <w:pStyle w:val="ListBullet"/>
        <w:numPr>
          <w:ilvl w:val="0"/>
          <w:numId w:val="6"/>
        </w:numPr>
      </w:pPr>
      <w:r>
        <w:rPr>
          <w:rFonts w:ascii="Arial" w:hAnsi="Arial"/>
          <w:b/>
          <w:i w:val="0"/>
          <w:color w:val="1E242A"/>
          <w:sz w:val="20"/>
        </w:rPr>
        <w:t>INDEPENDENT OR NON-PRESIDENTIAL ACTOR CAPABILITY</w:t>
      </w:r>
      <w:r>
        <w:rPr>
          <w:rFonts w:ascii="Arial" w:hAnsi="Arial"/>
          <w:b w:val="0"/>
          <w:i w:val="0"/>
          <w:color w:val="1E242A"/>
          <w:sz w:val="20"/>
        </w:rPr>
        <w:t>: consequential activity not requiring presidential instruction.</w:t>
      </w:r>
    </w:p>
    <w:p>
      <w:pPr>
        <w:pStyle w:val="Heading1"/>
      </w:pPr>
      <w:r>
        <w:rPr>
          <w:rFonts w:ascii="Arial" w:hAnsi="Arial"/>
          <w:b w:val="0"/>
          <w:i w:val="0"/>
          <w:color w:val="183752"/>
          <w:sz w:val="34"/>
        </w:rPr>
        <w:t>Executive answer</w:t>
      </w:r>
    </w:p>
    <w:p>
      <w:r>
        <w:rPr>
          <w:rFonts w:ascii="Arial" w:hAnsi="Arial"/>
          <w:b w:val="0"/>
          <w:i w:val="0"/>
          <w:color w:val="1E242A"/>
          <w:sz w:val="21"/>
        </w:rPr>
        <w:t>Brazilian Presidents possess important constitutional agenda, appointment, budget-proposal, regulatory, publicity and veto powers, but rarely begin with a dependable legislative majority. They govern by constructing shifting arrangements among parties, chamber leaders, committee actors, governors, organised interests and public constituencies. This is coalition presidentialism, but “the coalition” is not one membership list. Cabinet participation, a public declaration of support, a party leader's agreement, an electoral alliance and an actual vote are different relationships.</w:t>
      </w:r>
    </w:p>
    <w:p>
      <w:r>
        <w:rPr>
          <w:rFonts w:ascii="Arial" w:hAnsi="Arial"/>
          <w:b w:val="0"/>
          <w:i w:val="0"/>
          <w:color w:val="1E242A"/>
          <w:sz w:val="21"/>
        </w:rPr>
        <w:t>Brazil also combines two incentives that are sometimes falsely treated as contradictory. Open-list proportional elections encourage personal votes, regional networks and competition among candidates of the same party or federation. Inside Congress, however, leaders possess powerful procedural tools: they organise blocs, nominate committee members, request urgency, coordinate voting and bargain with chamber presidents who control plenary agendas. Campaigns can be candidate-centred while floor voting is often disciplined. Discipline varies by issue, ideology, presidential popularity, coalition rewards, electoral timing and leadership strength.</w:t>
      </w:r>
    </w:p>
    <w:p>
      <w:r>
        <w:rPr>
          <w:rFonts w:ascii="Arial" w:hAnsi="Arial"/>
          <w:b w:val="0"/>
          <w:i w:val="0"/>
          <w:color w:val="1E242A"/>
          <w:sz w:val="21"/>
        </w:rPr>
        <w:t>A President's legitimate bargaining resources include allocating politically and substantively valuable ministries; selecting eligible appointees; negotiating policy text; prioritising regional programmes within law; coordinating budget execution under current fiscal and transparency constraints; accepting amendments; seeking urgency; negotiating rapporteurs and committee timing; meeting leaders and governors; and campaigning publicly. None guarantees votes. Lawful power-sharing and policy compromise must be distinguished from an illicit personalised exchange for an official act.</w:t>
      </w:r>
    </w:p>
    <w:p>
      <w:r>
        <w:rPr>
          <w:rFonts w:ascii="Arial" w:hAnsi="Arial"/>
          <w:b w:val="0"/>
          <w:i w:val="0"/>
          <w:color w:val="1E242A"/>
          <w:sz w:val="21"/>
        </w:rPr>
        <w:t>Congress is not a passive recipient of presidential proposals. Chamber and Senate presidents, party and bloc leaders, rapporteurs, committees, CPIs, parliamentary fronts, budget actors and individual legislators can create bills, investigations, hearings, confirmation conflicts, veto-override campaigns and impeachment pressure. Governors, mayors, ministers, courts, oversight bodies, unions, business associations, religious networks, movements, journalists and digital actors also generate demands and stories independently. A credible Brazil must therefore produce politics even when the President does nothing.</w:t>
      </w:r>
    </w:p>
    <w:p>
      <w:r>
        <w:rPr>
          <w:rFonts w:ascii="Arial" w:hAnsi="Arial"/>
          <w:b w:val="0"/>
          <w:i w:val="0"/>
          <w:color w:val="1E242A"/>
          <w:sz w:val="21"/>
        </w:rPr>
        <w:t>Presidential strength is observable through relationships and outcomes rather than a single stock of “political capital”: whether leaders schedule the agenda; coalition parties follow recommendations; flagship votes pass; appointments are confirmed; ministers survive scrutiny; vetoes hold; governors cooperate; organised interests accept implementation; and public support raises or lowers the electoral cost of association. The President possesses political power, but does not possess the political system.</w:t>
      </w:r>
    </w:p>
    <w:p>
      <w:pPr>
        <w:pStyle w:val="Heading1"/>
      </w:pPr>
      <w:r>
        <w:rPr>
          <w:rFonts w:ascii="Arial" w:hAnsi="Arial"/>
          <w:b w:val="0"/>
          <w:i w:val="0"/>
          <w:color w:val="183752"/>
          <w:sz w:val="34"/>
        </w:rPr>
        <w:t>1 Coalition presidentialism</w:t>
      </w:r>
    </w:p>
    <w:p>
      <w:pPr>
        <w:pStyle w:val="Heading2"/>
      </w:pPr>
      <w:r>
        <w:rPr>
          <w:rFonts w:ascii="Arial" w:hAnsi="Arial"/>
          <w:b w:val="0"/>
          <w:i w:val="0"/>
          <w:color w:val="2C5F80"/>
          <w:sz w:val="27"/>
        </w:rPr>
        <w:t>1.1 Why coalitions are recurrent</w:t>
      </w:r>
    </w:p>
    <w:p>
      <w:r>
        <w:rPr>
          <w:rFonts w:ascii="Arial" w:hAnsi="Arial"/>
          <w:b/>
          <w:i w:val="0"/>
          <w:color w:val="1E242A"/>
          <w:sz w:val="21"/>
        </w:rPr>
        <w:t>POLITICAL PRACTICE.</w:t>
      </w:r>
      <w:r>
        <w:rPr>
          <w:rFonts w:ascii="Arial" w:hAnsi="Arial"/>
          <w:b w:val="0"/>
          <w:i w:val="0"/>
          <w:color w:val="1E242A"/>
          <w:sz w:val="21"/>
        </w:rPr>
        <w:t xml:space="preserve"> Presidential and legislative elections do not ordinarily deliver the President's party a bicameral majority. Multiparty representation, separate mandates and different electoral logics create a need to aggregate support. Coalition presidentialism describes the President's effort to form and maintain legislative government through interparty power sharing, not a parliamentary confidence rule.</w:t>
      </w:r>
    </w:p>
    <w:p>
      <w:r>
        <w:rPr>
          <w:rFonts w:ascii="Arial" w:hAnsi="Arial"/>
          <w:b w:val="0"/>
          <w:i w:val="0"/>
          <w:color w:val="1E242A"/>
          <w:sz w:val="21"/>
        </w:rPr>
        <w:t xml:space="preserve">Classic work by Figueiredo and Limongi on the </w:t>
      </w:r>
      <w:hyperlink r:id="rId113">
        <w:r>
          <w:rPr>
            <w:color w:val="2C5F80"/>
            <w:u w:val="single"/>
            <w:rFonts w:ascii="Arial" w:hAnsi="Arial"/>
            <w:sz w:val="21"/>
          </w:rPr>
          <w:t>institutional foundations of Brazilian presidentialism</w:t>
        </w:r>
      </w:hyperlink>
      <w:r>
        <w:rPr>
          <w:rFonts w:ascii="Arial" w:hAnsi="Arial"/>
          <w:b w:val="0"/>
          <w:i w:val="0"/>
          <w:color w:val="1E242A"/>
          <w:sz w:val="21"/>
        </w:rPr>
        <w:t xml:space="preserve"> challenged the older image of atomised legislators and inevitable paralysis. Presidential agenda instruments and centralised party leadership often produced cohesive voting and high executive success. Newer evidence covering 2,030 Chamber roll calls from 1995 to 2016 finds a </w:t>
      </w:r>
      <w:hyperlink r:id="rId114">
        <w:r>
          <w:rPr>
            <w:color w:val="2C5F80"/>
            <w:u w:val="single"/>
            <w:rFonts w:ascii="Arial" w:hAnsi="Arial"/>
            <w:sz w:val="21"/>
          </w:rPr>
          <w:t>92 percent approval rate for the executive agenda</w:t>
        </w:r>
      </w:hyperlink>
      <w:r>
        <w:rPr>
          <w:rFonts w:ascii="Arial" w:hAnsi="Arial"/>
          <w:b w:val="0"/>
          <w:i w:val="0"/>
          <w:color w:val="1E242A"/>
          <w:sz w:val="21"/>
        </w:rPr>
        <w:t>, but also shows that votes from parties outside formal coalitions were often essential. High success does not mean presidential ownership of Congress.</w:t>
      </w:r>
    </w:p>
    <w:p>
      <w:pPr>
        <w:pStyle w:val="Heading2"/>
      </w:pPr>
      <w:r>
        <w:rPr>
          <w:rFonts w:ascii="Arial" w:hAnsi="Arial"/>
          <w:b w:val="0"/>
          <w:i w:val="0"/>
          <w:color w:val="2C5F80"/>
          <w:sz w:val="27"/>
        </w:rPr>
        <w:t>1.2 What constitutes a coalition</w:t>
      </w:r>
    </w:p>
    <w:p>
      <w:r>
        <w:rPr>
          <w:rFonts w:ascii="Arial" w:hAnsi="Arial"/>
          <w:b w:val="0"/>
          <w:i w:val="0"/>
          <w:color w:val="1E242A"/>
          <w:sz w:val="21"/>
        </w:rPr>
        <w:t>A useful political map separates at least six things:</w:t>
      </w:r>
    </w:p>
    <w:tbl>
      <w:tblPr>
        <w:tblW w:type="dxa" w:w="9360"/>
        <w:jc w:val="center"/>
        <w:tblLayout w:type="fixed"/>
        <w:tblLook w:firstColumn="1" w:firstRow="1" w:lastColumn="0" w:lastRow="0" w:noHBand="0" w:noVBand="1" w:val="04A0"/>
        <w:tblInd w:type="dxa" w:w="120"/>
      </w:tblPr>
      <w:tblGrid>
        <w:gridCol w:w="3120"/>
        <w:gridCol w:w="3120"/>
        <w:gridCol w:w="3120"/>
      </w:tblGrid>
      <w:tr>
        <w:trPr>
          <w:tblHeader w:val="true"/>
          <w:cantSplit/>
        </w:trPr>
        <w:tc>
          <w:tcPr>
            <w:tcW w:type="dxa" w:w="3120"/>
            <w:vAlign w:val="top"/>
            <w:shd w:fill="EAF1F5"/>
          </w:tcPr>
          <w:p>
            <w:r/>
            <w:r>
              <w:rPr>
                <w:rFonts w:ascii="Arial" w:hAnsi="Arial"/>
                <w:b w:val="0"/>
                <w:i w:val="0"/>
                <w:color w:val="183752"/>
                <w:sz w:val="16"/>
              </w:rPr>
              <w:t>Relationship</w:t>
            </w:r>
          </w:p>
        </w:tc>
        <w:tc>
          <w:tcPr>
            <w:tcW w:type="dxa" w:w="3120"/>
            <w:vAlign w:val="top"/>
            <w:shd w:fill="EAF1F5"/>
          </w:tcPr>
          <w:p>
            <w:r/>
            <w:r>
              <w:rPr>
                <w:rFonts w:ascii="Arial" w:hAnsi="Arial"/>
                <w:b w:val="0"/>
                <w:i w:val="0"/>
                <w:color w:val="183752"/>
                <w:sz w:val="16"/>
              </w:rPr>
              <w:t>What it means</w:t>
            </w:r>
          </w:p>
        </w:tc>
        <w:tc>
          <w:tcPr>
            <w:tcW w:type="dxa" w:w="3120"/>
            <w:vAlign w:val="top"/>
            <w:shd w:fill="EAF1F5"/>
          </w:tcPr>
          <w:p>
            <w:r/>
            <w:r>
              <w:rPr>
                <w:rFonts w:ascii="Arial" w:hAnsi="Arial"/>
                <w:b w:val="0"/>
                <w:i w:val="0"/>
                <w:color w:val="183752"/>
                <w:sz w:val="16"/>
              </w:rPr>
              <w:t>What it does not guarantee</w:t>
            </w:r>
          </w:p>
        </w:tc>
      </w:tr>
      <w:tr>
        <w:trPr>
          <w:cantSplit/>
        </w:trPr>
        <w:tc>
          <w:tcPr>
            <w:tcW w:type="dxa" w:w="3120"/>
            <w:vAlign w:val="top"/>
          </w:tcPr>
          <w:p>
            <w:r/>
            <w:r>
              <w:rPr>
                <w:rFonts w:ascii="Arial" w:hAnsi="Arial"/>
                <w:b w:val="0"/>
                <w:i w:val="0"/>
                <w:color w:val="1E242A"/>
                <w:sz w:val="16"/>
              </w:rPr>
              <w:t>Cabinet participation</w:t>
            </w:r>
          </w:p>
        </w:tc>
        <w:tc>
          <w:tcPr>
            <w:tcW w:type="dxa" w:w="3120"/>
            <w:vAlign w:val="top"/>
          </w:tcPr>
          <w:p>
            <w:r/>
            <w:r>
              <w:rPr>
                <w:rFonts w:ascii="Arial" w:hAnsi="Arial"/>
                <w:b w:val="0"/>
                <w:i w:val="0"/>
                <w:color w:val="1E242A"/>
                <w:sz w:val="16"/>
              </w:rPr>
              <w:t>A party controls one or more ministries under an executive-party bargain</w:t>
            </w:r>
          </w:p>
        </w:tc>
        <w:tc>
          <w:tcPr>
            <w:tcW w:type="dxa" w:w="3120"/>
            <w:vAlign w:val="top"/>
          </w:tcPr>
          <w:p>
            <w:r/>
            <w:r>
              <w:rPr>
                <w:rFonts w:ascii="Arial" w:hAnsi="Arial"/>
                <w:b w:val="0"/>
                <w:i w:val="0"/>
                <w:color w:val="1E242A"/>
                <w:sz w:val="16"/>
              </w:rPr>
              <w:t>Every legislator's vote or support on every issue</w:t>
            </w:r>
          </w:p>
        </w:tc>
      </w:tr>
      <w:tr>
        <w:trPr>
          <w:cantSplit/>
        </w:trPr>
        <w:tc>
          <w:tcPr>
            <w:tcW w:type="dxa" w:w="3120"/>
            <w:vAlign w:val="top"/>
          </w:tcPr>
          <w:p>
            <w:r/>
            <w:r>
              <w:rPr>
                <w:rFonts w:ascii="Arial" w:hAnsi="Arial"/>
                <w:b w:val="0"/>
                <w:i w:val="0"/>
                <w:color w:val="1E242A"/>
                <w:sz w:val="16"/>
              </w:rPr>
              <w:t>Declared support</w:t>
            </w:r>
          </w:p>
        </w:tc>
        <w:tc>
          <w:tcPr>
            <w:tcW w:type="dxa" w:w="3120"/>
            <w:vAlign w:val="top"/>
          </w:tcPr>
          <w:p>
            <w:r/>
            <w:r>
              <w:rPr>
                <w:rFonts w:ascii="Arial" w:hAnsi="Arial"/>
                <w:b w:val="0"/>
                <w:i w:val="0"/>
                <w:color w:val="1E242A"/>
                <w:sz w:val="16"/>
              </w:rPr>
              <w:t>Party or leader publicly identifies with government</w:t>
            </w:r>
          </w:p>
        </w:tc>
        <w:tc>
          <w:tcPr>
            <w:tcW w:type="dxa" w:w="3120"/>
            <w:vAlign w:val="top"/>
          </w:tcPr>
          <w:p>
            <w:r/>
            <w:r>
              <w:rPr>
                <w:rFonts w:ascii="Arial" w:hAnsi="Arial"/>
                <w:b w:val="0"/>
                <w:i w:val="0"/>
                <w:color w:val="1E242A"/>
                <w:sz w:val="16"/>
              </w:rPr>
              <w:t>Durable office sharing or discipline</w:t>
            </w:r>
          </w:p>
        </w:tc>
      </w:tr>
      <w:tr>
        <w:trPr>
          <w:cantSplit/>
        </w:trPr>
        <w:tc>
          <w:tcPr>
            <w:tcW w:type="dxa" w:w="3120"/>
            <w:vAlign w:val="top"/>
          </w:tcPr>
          <w:p>
            <w:r/>
            <w:r>
              <w:rPr>
                <w:rFonts w:ascii="Arial" w:hAnsi="Arial"/>
                <w:b w:val="0"/>
                <w:i w:val="0"/>
                <w:color w:val="1E242A"/>
                <w:sz w:val="16"/>
              </w:rPr>
              <w:t>Leadership agreement</w:t>
            </w:r>
          </w:p>
        </w:tc>
        <w:tc>
          <w:tcPr>
            <w:tcW w:type="dxa" w:w="3120"/>
            <w:vAlign w:val="top"/>
          </w:tcPr>
          <w:p>
            <w:r/>
            <w:r>
              <w:rPr>
                <w:rFonts w:ascii="Arial" w:hAnsi="Arial"/>
                <w:b w:val="0"/>
                <w:i w:val="0"/>
                <w:color w:val="1E242A"/>
                <w:sz w:val="16"/>
              </w:rPr>
              <w:t>Party or bloc leader commits to procedure or position</w:t>
            </w:r>
          </w:p>
        </w:tc>
        <w:tc>
          <w:tcPr>
            <w:tcW w:type="dxa" w:w="3120"/>
            <w:vAlign w:val="top"/>
          </w:tcPr>
          <w:p>
            <w:r/>
            <w:r>
              <w:rPr>
                <w:rFonts w:ascii="Arial" w:hAnsi="Arial"/>
                <w:b w:val="0"/>
                <w:i w:val="0"/>
                <w:color w:val="1E242A"/>
                <w:sz w:val="16"/>
              </w:rPr>
              <w:t>Perfect compliance by members</w:t>
            </w:r>
          </w:p>
        </w:tc>
      </w:tr>
      <w:tr>
        <w:trPr>
          <w:cantSplit/>
        </w:trPr>
        <w:tc>
          <w:tcPr>
            <w:tcW w:type="dxa" w:w="3120"/>
            <w:vAlign w:val="top"/>
          </w:tcPr>
          <w:p>
            <w:r/>
            <w:r>
              <w:rPr>
                <w:rFonts w:ascii="Arial" w:hAnsi="Arial"/>
                <w:b w:val="0"/>
                <w:i w:val="0"/>
                <w:color w:val="1E242A"/>
                <w:sz w:val="16"/>
              </w:rPr>
              <w:t>Roll-call support</w:t>
            </w:r>
          </w:p>
        </w:tc>
        <w:tc>
          <w:tcPr>
            <w:tcW w:type="dxa" w:w="3120"/>
            <w:vAlign w:val="top"/>
          </w:tcPr>
          <w:p>
            <w:r/>
            <w:r>
              <w:rPr>
                <w:rFonts w:ascii="Arial" w:hAnsi="Arial"/>
                <w:b w:val="0"/>
                <w:i w:val="0"/>
                <w:color w:val="1E242A"/>
                <w:sz w:val="16"/>
              </w:rPr>
              <w:t>Members supply votes on a defined proposition</w:t>
            </w:r>
          </w:p>
        </w:tc>
        <w:tc>
          <w:tcPr>
            <w:tcW w:type="dxa" w:w="3120"/>
            <w:vAlign w:val="top"/>
          </w:tcPr>
          <w:p>
            <w:r/>
            <w:r>
              <w:rPr>
                <w:rFonts w:ascii="Arial" w:hAnsi="Arial"/>
                <w:b w:val="0"/>
                <w:i w:val="0"/>
                <w:color w:val="1E242A"/>
                <w:sz w:val="16"/>
              </w:rPr>
              <w:t>Continuing alliance on another proposal</w:t>
            </w:r>
          </w:p>
        </w:tc>
      </w:tr>
      <w:tr>
        <w:trPr>
          <w:cantSplit/>
        </w:trPr>
        <w:tc>
          <w:tcPr>
            <w:tcW w:type="dxa" w:w="3120"/>
            <w:vAlign w:val="top"/>
          </w:tcPr>
          <w:p>
            <w:r/>
            <w:r>
              <w:rPr>
                <w:rFonts w:ascii="Arial" w:hAnsi="Arial"/>
                <w:b w:val="0"/>
                <w:i w:val="0"/>
                <w:color w:val="1E242A"/>
                <w:sz w:val="16"/>
              </w:rPr>
              <w:t>Electoral alliance</w:t>
            </w:r>
          </w:p>
        </w:tc>
        <w:tc>
          <w:tcPr>
            <w:tcW w:type="dxa" w:w="3120"/>
            <w:vAlign w:val="top"/>
          </w:tcPr>
          <w:p>
            <w:r/>
            <w:r>
              <w:rPr>
                <w:rFonts w:ascii="Arial" w:hAnsi="Arial"/>
                <w:b w:val="0"/>
                <w:i w:val="0"/>
                <w:color w:val="1E242A"/>
                <w:sz w:val="16"/>
              </w:rPr>
              <w:t>Parties cooperate for a majoritarian candidacy</w:t>
            </w:r>
          </w:p>
        </w:tc>
        <w:tc>
          <w:tcPr>
            <w:tcW w:type="dxa" w:w="3120"/>
            <w:vAlign w:val="top"/>
          </w:tcPr>
          <w:p>
            <w:r/>
            <w:r>
              <w:rPr>
                <w:rFonts w:ascii="Arial" w:hAnsi="Arial"/>
                <w:b w:val="0"/>
                <w:i w:val="0"/>
                <w:color w:val="1E242A"/>
                <w:sz w:val="16"/>
              </w:rPr>
              <w:t>Post-election governing cooperation</w:t>
            </w:r>
          </w:p>
        </w:tc>
      </w:tr>
      <w:tr>
        <w:trPr>
          <w:cantSplit/>
        </w:trPr>
        <w:tc>
          <w:tcPr>
            <w:tcW w:type="dxa" w:w="3120"/>
            <w:vAlign w:val="top"/>
          </w:tcPr>
          <w:p>
            <w:r/>
            <w:r>
              <w:rPr>
                <w:rFonts w:ascii="Arial" w:hAnsi="Arial"/>
                <w:b w:val="0"/>
                <w:i w:val="0"/>
                <w:color w:val="1E242A"/>
                <w:sz w:val="16"/>
              </w:rPr>
              <w:t>Party federation</w:t>
            </w:r>
          </w:p>
        </w:tc>
        <w:tc>
          <w:tcPr>
            <w:tcW w:type="dxa" w:w="3120"/>
            <w:vAlign w:val="top"/>
          </w:tcPr>
          <w:p>
            <w:r/>
            <w:r>
              <w:rPr>
                <w:rFonts w:ascii="Arial" w:hAnsi="Arial"/>
                <w:b w:val="0"/>
                <w:i w:val="0"/>
                <w:color w:val="1E242A"/>
                <w:sz w:val="16"/>
              </w:rPr>
              <w:t>Parties operate legally as one national association for at least the statutory period</w:t>
            </w:r>
          </w:p>
        </w:tc>
        <w:tc>
          <w:tcPr>
            <w:tcW w:type="dxa" w:w="3120"/>
            <w:vAlign w:val="top"/>
          </w:tcPr>
          <w:p>
            <w:r/>
            <w:r>
              <w:rPr>
                <w:rFonts w:ascii="Arial" w:hAnsi="Arial"/>
                <w:b w:val="0"/>
                <w:i w:val="0"/>
                <w:color w:val="1E242A"/>
                <w:sz w:val="16"/>
              </w:rPr>
              <w:t>Ideological uniformity or automatic cabinet participation</w:t>
            </w:r>
          </w:p>
        </w:tc>
      </w:tr>
    </w:tbl>
    <w:p>
      <w:pPr>
        <w:spacing w:after="40"/>
      </w:pPr>
    </w:p>
    <w:p>
      <w:r>
        <w:rPr>
          <w:rFonts w:ascii="Arial" w:hAnsi="Arial"/>
          <w:b w:val="0"/>
          <w:i w:val="0"/>
          <w:color w:val="1E242A"/>
          <w:sz w:val="21"/>
        </w:rPr>
        <w:t xml:space="preserve">Cabinet allocation is a bargaining baseline. Mariana Batista's </w:t>
      </w:r>
      <w:hyperlink r:id="rId115">
        <w:r>
          <w:rPr>
            <w:color w:val="2C5F80"/>
            <w:u w:val="single"/>
            <w:rFonts w:ascii="Arial" w:hAnsi="Arial"/>
            <w:sz w:val="21"/>
          </w:rPr>
          <w:t>portfolio research</w:t>
        </w:r>
      </w:hyperlink>
      <w:r>
        <w:rPr>
          <w:rFonts w:ascii="Arial" w:hAnsi="Arial"/>
          <w:b w:val="0"/>
          <w:i w:val="0"/>
          <w:color w:val="1E242A"/>
          <w:sz w:val="21"/>
        </w:rPr>
        <w:t xml:space="preserve"> shows that ministry value is heterogeneous and that weighted portfolio allocation is associated with legislative support. A party may value a ministry's policy jurisdiction, budget, appointments, visibility or regional reach. Presidents commonly retain especially salient or policy-critical portfolios while sharing others. Formal membership nevertheless remains neither necessary nor sufficient for votes.</w:t>
      </w:r>
    </w:p>
    <w:p>
      <w:pPr>
        <w:pStyle w:val="Heading2"/>
      </w:pPr>
      <w:r>
        <w:rPr>
          <w:rFonts w:ascii="Arial" w:hAnsi="Arial"/>
          <w:b w:val="0"/>
          <w:i w:val="0"/>
          <w:color w:val="2C5F80"/>
          <w:sz w:val="27"/>
        </w:rPr>
        <w:t>1.3 Coalition stability and erosion</w:t>
      </w:r>
    </w:p>
    <w:p>
      <w:r>
        <w:rPr>
          <w:rFonts w:ascii="Arial" w:hAnsi="Arial"/>
          <w:b w:val="0"/>
          <w:i w:val="0"/>
          <w:color w:val="1E242A"/>
          <w:sz w:val="21"/>
        </w:rPr>
        <w:t xml:space="preserve">Support is conditional. Ideological distance, disproportional allocation, weak access to policy, unfulfilled commitments, presidential unpopularity, electoral proximity, ministerial scandals and repeated defeats can raise the cost of remaining allied. </w:t>
      </w:r>
      <w:hyperlink r:id="rId116">
        <w:r>
          <w:rPr>
            <w:color w:val="2C5F80"/>
            <w:u w:val="single"/>
            <w:rFonts w:ascii="Arial" w:hAnsi="Arial"/>
            <w:sz w:val="21"/>
          </w:rPr>
          <w:t>Amorim Neto's cabinet research</w:t>
        </w:r>
      </w:hyperlink>
      <w:r>
        <w:rPr>
          <w:rFonts w:ascii="Arial" w:hAnsi="Arial"/>
          <w:b w:val="0"/>
          <w:i w:val="0"/>
          <w:color w:val="1E242A"/>
          <w:sz w:val="21"/>
        </w:rPr>
        <w:t xml:space="preserve"> found stronger discipline where cabinet coalescence was higher, lower support with ideological distance and erosion over a term. These are recurring tendencies, not fixed countdowns.</w:t>
      </w:r>
    </w:p>
    <w:p>
      <w:r>
        <w:rPr>
          <w:rFonts w:ascii="Arial" w:hAnsi="Arial"/>
          <w:b w:val="0"/>
          <w:i w:val="0"/>
          <w:color w:val="1E242A"/>
          <w:sz w:val="21"/>
        </w:rPr>
        <w:t xml:space="preserve">Popularity changes allied parties' credit and blame calculations. Research on </w:t>
      </w:r>
      <w:hyperlink r:id="rId117">
        <w:r>
          <w:rPr>
            <w:color w:val="2C5F80"/>
            <w:u w:val="single"/>
            <w:rFonts w:ascii="Arial" w:hAnsi="Arial"/>
            <w:sz w:val="21"/>
          </w:rPr>
          <w:t>portfolio payoff and presidential popularity</w:t>
        </w:r>
      </w:hyperlink>
      <w:r>
        <w:rPr>
          <w:rFonts w:ascii="Arial" w:hAnsi="Arial"/>
          <w:b w:val="0"/>
          <w:i w:val="0"/>
          <w:color w:val="1E242A"/>
          <w:sz w:val="21"/>
        </w:rPr>
        <w:t xml:space="preserve"> finds that valuable ministries can help allies claim credit under a popular President, while association with an unpopular one can impose electoral costs. This helps explain public distancing without assuming that every dissenting vote terminates the coalition.</w:t>
      </w:r>
    </w:p>
    <w:p>
      <w:pPr>
        <w:pStyle w:val="Heading1"/>
      </w:pPr>
      <w:r>
        <w:rPr>
          <w:rFonts w:ascii="Arial" w:hAnsi="Arial"/>
          <w:b w:val="0"/>
          <w:i w:val="0"/>
          <w:color w:val="183752"/>
          <w:sz w:val="34"/>
        </w:rPr>
        <w:t>2 Presidential bargaining instruments</w:t>
      </w:r>
    </w:p>
    <w:p>
      <w:pPr>
        <w:pStyle w:val="Heading2"/>
      </w:pPr>
      <w:r>
        <w:rPr>
          <w:rFonts w:ascii="Arial" w:hAnsi="Arial"/>
          <w:b w:val="0"/>
          <w:i w:val="0"/>
          <w:color w:val="2C5F80"/>
          <w:sz w:val="27"/>
        </w:rPr>
        <w:t>2.1 Legitimate resources</w:t>
      </w:r>
    </w:p>
    <w:p>
      <w:r>
        <w:rPr>
          <w:rFonts w:ascii="Arial" w:hAnsi="Arial"/>
          <w:b/>
          <w:i w:val="0"/>
          <w:color w:val="1E242A"/>
          <w:sz w:val="21"/>
        </w:rPr>
        <w:t>GOVERNMENT ACTION INSTRUMENT.</w:t>
      </w:r>
      <w:r>
        <w:rPr>
          <w:rFonts w:ascii="Arial" w:hAnsi="Arial"/>
          <w:b w:val="0"/>
          <w:i w:val="0"/>
          <w:color w:val="1E242A"/>
          <w:sz w:val="21"/>
        </w:rPr>
        <w:t xml:space="preserve"> The President can plausibly:</w:t>
      </w:r>
    </w:p>
    <w:p>
      <w:pPr>
        <w:pStyle w:val="ListBullet"/>
        <w:numPr>
          <w:ilvl w:val="0"/>
          <w:numId w:val="6"/>
        </w:numPr>
      </w:pPr>
      <w:r>
        <w:rPr>
          <w:rFonts w:ascii="Arial" w:hAnsi="Arial"/>
          <w:b w:val="0"/>
          <w:i w:val="0"/>
          <w:color w:val="1E242A"/>
          <w:sz w:val="20"/>
        </w:rPr>
        <w:t>choose coalition breadth and which parties enter cabinet;</w:t>
      </w:r>
    </w:p>
    <w:p>
      <w:pPr>
        <w:pStyle w:val="ListBullet"/>
        <w:numPr>
          <w:ilvl w:val="0"/>
          <w:numId w:val="6"/>
        </w:numPr>
      </w:pPr>
      <w:r>
        <w:rPr>
          <w:rFonts w:ascii="Arial" w:hAnsi="Arial"/>
          <w:b w:val="0"/>
          <w:i w:val="0"/>
          <w:color w:val="1E242A"/>
          <w:sz w:val="20"/>
        </w:rPr>
        <w:t>allocate ministries according to policy, competence and political value;</w:t>
      </w:r>
    </w:p>
    <w:p>
      <w:pPr>
        <w:pStyle w:val="ListBullet"/>
        <w:numPr>
          <w:ilvl w:val="0"/>
          <w:numId w:val="6"/>
        </w:numPr>
      </w:pPr>
      <w:r>
        <w:rPr>
          <w:rFonts w:ascii="Arial" w:hAnsi="Arial"/>
          <w:b w:val="0"/>
          <w:i w:val="0"/>
          <w:color w:val="1E242A"/>
          <w:sz w:val="20"/>
        </w:rPr>
        <w:t>appoint eligible officials to politically negotiable posts while respecting fixed terms, Senate confirmation and statutory qualifications;</w:t>
      </w:r>
    </w:p>
    <w:p>
      <w:pPr>
        <w:pStyle w:val="ListBullet"/>
        <w:numPr>
          <w:ilvl w:val="0"/>
          <w:numId w:val="6"/>
        </w:numPr>
      </w:pPr>
      <w:r>
        <w:rPr>
          <w:rFonts w:ascii="Arial" w:hAnsi="Arial"/>
          <w:b w:val="0"/>
          <w:i w:val="0"/>
          <w:color w:val="1E242A"/>
          <w:sz w:val="20"/>
        </w:rPr>
        <w:t>negotiate policy content, amendments, implementation schedules and regulatory detail;</w:t>
      </w:r>
    </w:p>
    <w:p>
      <w:pPr>
        <w:pStyle w:val="ListBullet"/>
        <w:numPr>
          <w:ilvl w:val="0"/>
          <w:numId w:val="6"/>
        </w:numPr>
      </w:pPr>
      <w:r>
        <w:rPr>
          <w:rFonts w:ascii="Arial" w:hAnsi="Arial"/>
          <w:b w:val="0"/>
          <w:i w:val="0"/>
          <w:color w:val="1E242A"/>
          <w:sz w:val="20"/>
        </w:rPr>
        <w:t>accept regional priorities through lawful planning, appropriations and transparent execution;</w:t>
      </w:r>
    </w:p>
    <w:p>
      <w:pPr>
        <w:pStyle w:val="ListBullet"/>
        <w:numPr>
          <w:ilvl w:val="0"/>
          <w:numId w:val="6"/>
        </w:numPr>
      </w:pPr>
      <w:r>
        <w:rPr>
          <w:rFonts w:ascii="Arial" w:hAnsi="Arial"/>
          <w:b w:val="0"/>
          <w:i w:val="0"/>
          <w:color w:val="1E242A"/>
          <w:sz w:val="20"/>
        </w:rPr>
        <w:t>request constitutional urgency for eligible bills and negotiate the legislative calendar;</w:t>
      </w:r>
    </w:p>
    <w:p>
      <w:pPr>
        <w:pStyle w:val="ListBullet"/>
        <w:numPr>
          <w:ilvl w:val="0"/>
          <w:numId w:val="6"/>
        </w:numPr>
      </w:pPr>
      <w:r>
        <w:rPr>
          <w:rFonts w:ascii="Arial" w:hAnsi="Arial"/>
          <w:b w:val="0"/>
          <w:i w:val="0"/>
          <w:color w:val="1E242A"/>
          <w:sz w:val="20"/>
        </w:rPr>
        <w:t>approve or reject major compromises developed by ministers, party leaders, committees and rapporteurs;</w:t>
      </w:r>
    </w:p>
    <w:p>
      <w:pPr>
        <w:pStyle w:val="ListBullet"/>
        <w:numPr>
          <w:ilvl w:val="0"/>
          <w:numId w:val="6"/>
        </w:numPr>
      </w:pPr>
      <w:r>
        <w:rPr>
          <w:rFonts w:ascii="Arial" w:hAnsi="Arial"/>
          <w:b w:val="0"/>
          <w:i w:val="0"/>
          <w:color w:val="1E242A"/>
          <w:sz w:val="20"/>
        </w:rPr>
        <w:t>meet chamber presidents, party leaders, governors and organised interests;</w:t>
      </w:r>
    </w:p>
    <w:p>
      <w:pPr>
        <w:pStyle w:val="ListBullet"/>
        <w:numPr>
          <w:ilvl w:val="0"/>
          <w:numId w:val="6"/>
        </w:numPr>
      </w:pPr>
      <w:r>
        <w:rPr>
          <w:rFonts w:ascii="Arial" w:hAnsi="Arial"/>
          <w:b w:val="0"/>
          <w:i w:val="0"/>
          <w:color w:val="1E242A"/>
          <w:sz w:val="20"/>
        </w:rPr>
        <w:t>publicly campaign for a proposal and increase its reputational or electoral salience;</w:t>
      </w:r>
    </w:p>
    <w:p>
      <w:pPr>
        <w:pStyle w:val="ListBullet"/>
        <w:numPr>
          <w:ilvl w:val="0"/>
          <w:numId w:val="6"/>
        </w:numPr>
      </w:pPr>
      <w:r>
        <w:rPr>
          <w:rFonts w:ascii="Arial" w:hAnsi="Arial"/>
          <w:b w:val="0"/>
          <w:i w:val="0"/>
          <w:color w:val="1E242A"/>
          <w:sz w:val="20"/>
        </w:rPr>
        <w:t>sanction or veto enacted legislation and negotiate the subsequent veto session;</w:t>
      </w:r>
    </w:p>
    <w:p>
      <w:pPr>
        <w:pStyle w:val="ListBullet"/>
        <w:numPr>
          <w:ilvl w:val="0"/>
          <w:numId w:val="6"/>
        </w:numPr>
      </w:pPr>
      <w:r>
        <w:rPr>
          <w:rFonts w:ascii="Arial" w:hAnsi="Arial"/>
          <w:b w:val="0"/>
          <w:i w:val="0"/>
          <w:color w:val="1E242A"/>
          <w:sz w:val="20"/>
        </w:rPr>
        <w:t>reshuffle cabinet when competence, coalition balance or public credibility requires it.</w:t>
      </w:r>
    </w:p>
    <w:p>
      <w:r>
        <w:rPr>
          <w:rFonts w:ascii="Arial" w:hAnsi="Arial"/>
          <w:b w:val="0"/>
          <w:i w:val="0"/>
          <w:color w:val="1E242A"/>
          <w:sz w:val="21"/>
        </w:rPr>
        <w:t xml:space="preserve">Second-tier appointments can also carry political value. A recent observational study of 2003–18 Chamber votes finds an association between </w:t>
      </w:r>
      <w:hyperlink r:id="rId118">
        <w:r>
          <w:rPr>
            <w:color w:val="2C5F80"/>
            <w:u w:val="single"/>
            <w:rFonts w:ascii="Arial" w:hAnsi="Arial"/>
            <w:sz w:val="21"/>
          </w:rPr>
          <w:t>lower-tier appointments and government support</w:t>
        </w:r>
      </w:hyperlink>
      <w:r>
        <w:rPr>
          <w:rFonts w:ascii="Arial" w:hAnsi="Arial"/>
          <w:b w:val="0"/>
          <w:i w:val="0"/>
          <w:color w:val="1E242A"/>
          <w:sz w:val="21"/>
        </w:rPr>
        <w:t>, especially on high-stakes bills. The evidence does not prove that posts mechanically buy votes, and later scenarios must account for professional requirements and protected offices.</w:t>
      </w:r>
    </w:p>
    <w:p>
      <w:pPr>
        <w:pStyle w:val="Heading2"/>
      </w:pPr>
      <w:r>
        <w:rPr>
          <w:rFonts w:ascii="Arial" w:hAnsi="Arial"/>
          <w:b w:val="0"/>
          <w:i w:val="0"/>
          <w:color w:val="2C5F80"/>
          <w:sz w:val="27"/>
        </w:rPr>
        <w:t>2.2 Limits and legal boundary</w:t>
      </w:r>
    </w:p>
    <w:p>
      <w:r>
        <w:rPr>
          <w:rFonts w:ascii="Arial" w:hAnsi="Arial"/>
          <w:b w:val="0"/>
          <w:i w:val="0"/>
          <w:color w:val="1E242A"/>
          <w:sz w:val="21"/>
        </w:rPr>
        <w:t>Appointments are not interchangeable patronage. Some positions have fixed terms, confirmation, eligibility rules, institutional autonomy or removal protections established in earlier passes. Budget resources are appropriated public money, not presidential property. Mandatory amendments and judicial transparency requirements reduce discretionary control. Policy concessions can be legitimate coalition government; bribery, influence-peddling, diversion, hidden personal benefit or a corrupt quid pro quo are different legal categories.</w:t>
      </w:r>
    </w:p>
    <w:p>
      <w:r>
        <w:rPr>
          <w:rFonts w:ascii="Arial" w:hAnsi="Arial"/>
          <w:b w:val="0"/>
          <w:i w:val="0"/>
          <w:color w:val="1E242A"/>
          <w:sz w:val="21"/>
        </w:rPr>
        <w:t>The “executive toolbox” literature treats cabinet posts and distributive resources as partly substitutable coalition-maintenance tools, but neither guarantees support. A President can offer access and accommodation, not transfer control of a legislator's mandate.</w:t>
      </w:r>
    </w:p>
    <w:p>
      <w:pPr>
        <w:pStyle w:val="Heading2"/>
      </w:pPr>
      <w:r>
        <w:rPr>
          <w:rFonts w:ascii="Arial" w:hAnsi="Arial"/>
          <w:b w:val="0"/>
          <w:i w:val="0"/>
          <w:color w:val="2C5F80"/>
          <w:sz w:val="27"/>
        </w:rPr>
        <w:t>2.3 Resources held by Congress</w:t>
      </w:r>
    </w:p>
    <w:p>
      <w:r>
        <w:rPr>
          <w:rFonts w:ascii="Arial" w:hAnsi="Arial"/>
          <w:b w:val="0"/>
          <w:i w:val="0"/>
          <w:color w:val="1E242A"/>
          <w:sz w:val="21"/>
        </w:rPr>
        <w:t xml:space="preserve">Congressional leaders bargain with assets the President does not own: agenda placement, urgency support, committee membership, rapporteur choice, bill text, hearing schedules, investigatory attention, amendment priorities, veto-review timing and confirmation progress. The Chamber President formally fixes the plenary agenda after hearing leaders; the </w:t>
      </w:r>
      <w:hyperlink r:id="rId33">
        <w:r>
          <w:rPr>
            <w:color w:val="2C5F80"/>
            <w:u w:val="single"/>
            <w:rFonts w:ascii="Arial" w:hAnsi="Arial"/>
            <w:sz w:val="21"/>
          </w:rPr>
          <w:t>Chamber's official description</w:t>
        </w:r>
      </w:hyperlink>
      <w:r>
        <w:rPr>
          <w:rFonts w:ascii="Arial" w:hAnsi="Arial"/>
          <w:b w:val="0"/>
          <w:i w:val="0"/>
          <w:color w:val="1E242A"/>
          <w:sz w:val="21"/>
        </w:rPr>
        <w:t xml:space="preserve"> shows authority over sessions, order of business and special commissions. Negotiation is therefore reciprocal.</w:t>
      </w:r>
    </w:p>
    <w:p>
      <w:pPr>
        <w:pStyle w:val="Heading1"/>
      </w:pPr>
      <w:r>
        <w:rPr>
          <w:rFonts w:ascii="Arial" w:hAnsi="Arial"/>
          <w:b w:val="0"/>
          <w:i w:val="0"/>
          <w:color w:val="183752"/>
          <w:sz w:val="34"/>
        </w:rPr>
        <w:t>3 Congressional actors and blocs</w:t>
      </w:r>
    </w:p>
    <w:p>
      <w:pPr>
        <w:pStyle w:val="Heading2"/>
      </w:pPr>
      <w:r>
        <w:rPr>
          <w:rFonts w:ascii="Arial" w:hAnsi="Arial"/>
          <w:b w:val="0"/>
          <w:i w:val="0"/>
          <w:color w:val="2C5F80"/>
          <w:sz w:val="27"/>
        </w:rPr>
        <w:t>3.1 Party and bloc leaders</w:t>
      </w:r>
    </w:p>
    <w:p>
      <w:r>
        <w:rPr>
          <w:rFonts w:ascii="Arial" w:hAnsi="Arial"/>
          <w:b/>
          <w:i w:val="0"/>
          <w:color w:val="1E242A"/>
          <w:sz w:val="21"/>
        </w:rPr>
        <w:t>FORMAL RULE AND POLITICAL PRACTICE.</w:t>
      </w:r>
      <w:r>
        <w:rPr>
          <w:rFonts w:ascii="Arial" w:hAnsi="Arial"/>
          <w:b w:val="0"/>
          <w:i w:val="0"/>
          <w:color w:val="1E242A"/>
          <w:sz w:val="21"/>
        </w:rPr>
        <w:t xml:space="preserve"> Under the </w:t>
      </w:r>
      <w:hyperlink r:id="rId119">
        <w:r>
          <w:rPr>
            <w:color w:val="2C5F80"/>
            <w:u w:val="single"/>
            <w:rFonts w:ascii="Arial" w:hAnsi="Arial"/>
            <w:sz w:val="21"/>
          </w:rPr>
          <w:t>Chamber Rules</w:t>
        </w:r>
      </w:hyperlink>
      <w:r>
        <w:rPr>
          <w:rFonts w:ascii="Arial" w:hAnsi="Arial"/>
          <w:b w:val="0"/>
          <w:i w:val="0"/>
          <w:color w:val="1E242A"/>
          <w:sz w:val="21"/>
        </w:rPr>
        <w:t>, leaders represent parties or blocs, indicate and replace committee members, communicate voting guidance, request procedural measures and participate in the weighted College of Leaders. This centralisation enables Presidents to negotiate at political altitude rather than with 513 deputies individually. Members retain agency, particularly on high-salience moral, regional, sectoral or electoral issues.</w:t>
      </w:r>
    </w:p>
    <w:p>
      <w:r>
        <w:rPr>
          <w:rFonts w:ascii="Arial" w:hAnsi="Arial"/>
          <w:b w:val="0"/>
          <w:i w:val="0"/>
          <w:color w:val="1E242A"/>
          <w:sz w:val="21"/>
        </w:rPr>
        <w:t xml:space="preserve">The government leader coordinates the executive's floor relationship but cannot bind coalition parties by title alone. Opposition and minority leaders gain procedural access and visibility. Committee chairs control meetings and workflow; rapporteurs organise evidence, negotiate substitutes and can become “agenda holders.” Research on </w:t>
      </w:r>
      <w:hyperlink r:id="rId120">
        <w:r>
          <w:rPr>
            <w:color w:val="2C5F80"/>
            <w:u w:val="single"/>
            <w:rFonts w:ascii="Arial" w:hAnsi="Arial"/>
            <w:sz w:val="21"/>
          </w:rPr>
          <w:t>rapporteur selection and legislative information</w:t>
        </w:r>
      </w:hyperlink>
      <w:r>
        <w:rPr>
          <w:rFonts w:ascii="Arial" w:hAnsi="Arial"/>
          <w:b w:val="0"/>
          <w:i w:val="0"/>
          <w:color w:val="1E242A"/>
          <w:sz w:val="21"/>
        </w:rPr>
        <w:t xml:space="preserve"> shows they are political actors rather than clerks.</w:t>
      </w:r>
    </w:p>
    <w:p>
      <w:pPr>
        <w:pStyle w:val="Heading2"/>
      </w:pPr>
      <w:r>
        <w:rPr>
          <w:rFonts w:ascii="Arial" w:hAnsi="Arial"/>
          <w:b w:val="0"/>
          <w:i w:val="0"/>
          <w:color w:val="2C5F80"/>
          <w:sz w:val="27"/>
        </w:rPr>
        <w:t>3.2 Centrão</w:t>
      </w:r>
    </w:p>
    <w:p>
      <w:r>
        <w:rPr>
          <w:rFonts w:ascii="Arial" w:hAnsi="Arial"/>
          <w:b/>
          <w:i w:val="0"/>
          <w:color w:val="1E242A"/>
          <w:sz w:val="21"/>
        </w:rPr>
        <w:t>POLITICAL PRACTICE.</w:t>
      </w:r>
      <w:r>
        <w:rPr>
          <w:rFonts w:ascii="Arial" w:hAnsi="Arial"/>
          <w:b w:val="0"/>
          <w:i w:val="0"/>
          <w:color w:val="1E242A"/>
          <w:sz w:val="21"/>
        </w:rPr>
        <w:t xml:space="preserve"> Centrão is a changing descriptive label, historically rooted but currently used for pragmatic centre and centre-right party and leadership networks. Incentives often include agenda access, offices, distributive policy, institutional influence, regional delivery and electoral survival. It is not a formal bloc, fixed ideology, permanent party list or guaranteed government majority. The </w:t>
      </w:r>
      <w:hyperlink r:id="rId121">
        <w:r>
          <w:rPr>
            <w:color w:val="2C5F80"/>
            <w:u w:val="single"/>
            <w:rFonts w:ascii="Arial" w:hAnsi="Arial"/>
            <w:sz w:val="21"/>
          </w:rPr>
          <w:t>FGV CPDOC account</w:t>
        </w:r>
      </w:hyperlink>
      <w:r>
        <w:rPr>
          <w:rFonts w:ascii="Arial" w:hAnsi="Arial"/>
          <w:b w:val="0"/>
          <w:i w:val="0"/>
          <w:color w:val="1E242A"/>
          <w:sz w:val="21"/>
        </w:rPr>
        <w:t xml:space="preserve"> provides historical grounding; current membership must be identified through actual leaders, parties and votes.</w:t>
      </w:r>
    </w:p>
    <w:p>
      <w:r>
        <w:rPr>
          <w:rFonts w:ascii="Arial" w:hAnsi="Arial"/>
          <w:b w:val="0"/>
          <w:i w:val="0"/>
          <w:color w:val="1E242A"/>
          <w:sz w:val="21"/>
        </w:rPr>
        <w:t>Calling Centrão “transactional” without naming the transaction conceals more than it explains. On one bill its parties may coordinate; on another they may split by sector, state, religion, leadership rivalry or presidential alignment.</w:t>
      </w:r>
    </w:p>
    <w:p>
      <w:pPr>
        <w:pStyle w:val="Heading2"/>
      </w:pPr>
      <w:r>
        <w:rPr>
          <w:rFonts w:ascii="Arial" w:hAnsi="Arial"/>
          <w:b w:val="0"/>
          <w:i w:val="0"/>
          <w:color w:val="2C5F80"/>
          <w:sz w:val="27"/>
        </w:rPr>
        <w:t>3.3 Parliamentary fronts and caucuses</w:t>
      </w:r>
    </w:p>
    <w:p>
      <w:r>
        <w:rPr>
          <w:rFonts w:ascii="Arial" w:hAnsi="Arial"/>
          <w:b w:val="0"/>
          <w:i w:val="0"/>
          <w:color w:val="1E242A"/>
          <w:sz w:val="21"/>
        </w:rPr>
        <w:t>Agribusiness, evangelical, security, labour, health, municipal and other fronts coordinate information, sponsors and issue positions across party lines. They can amplify an issue and supply negotiating networks, but front membership is usually broader than disciplined voting. The rural and evangelical caucuses are politically important precisely because they connect parties to organised external constituencies; they are not substitute parties.</w:t>
      </w:r>
    </w:p>
    <w:p>
      <w:pPr>
        <w:pStyle w:val="Heading1"/>
      </w:pPr>
      <w:r>
        <w:rPr>
          <w:rFonts w:ascii="Arial" w:hAnsi="Arial"/>
          <w:b w:val="0"/>
          <w:i w:val="0"/>
          <w:color w:val="183752"/>
          <w:sz w:val="34"/>
        </w:rPr>
        <w:t>4 Congress as independent agenda setter</w:t>
      </w:r>
    </w:p>
    <w:p>
      <w:r>
        <w:rPr>
          <w:rFonts w:ascii="Arial" w:hAnsi="Arial"/>
          <w:b/>
          <w:i w:val="0"/>
          <w:color w:val="1E242A"/>
          <w:sz w:val="21"/>
        </w:rPr>
        <w:t>INDEPENDENT OR NON-PRESIDENTIAL ACTOR CAPABILITY.</w:t>
      </w:r>
      <w:r>
        <w:rPr>
          <w:rFonts w:ascii="Arial" w:hAnsi="Arial"/>
          <w:b w:val="0"/>
          <w:i w:val="0"/>
          <w:color w:val="1E242A"/>
          <w:sz w:val="21"/>
        </w:rPr>
        <w:t xml:space="preserve"> Congress can originate ordinary and complementary bills, constitutional amendments, fiscal measures within constitutional limits, hearings, information requests, summonses, oversight, CPIs and CPMIs, declarations, veto overrides and impeachment proceedings. The Senate can independently delay or reject presidential nominations and revise Chamber proposals.</w:t>
      </w:r>
    </w:p>
    <w:p>
      <w:r>
        <w:rPr>
          <w:rFonts w:ascii="Arial" w:hAnsi="Arial"/>
          <w:b w:val="0"/>
          <w:i w:val="0"/>
          <w:color w:val="1E242A"/>
          <w:sz w:val="21"/>
        </w:rPr>
        <w:t xml:space="preserve">A CPI requires signatures from one third of the relevant house, a defined fact and a fixed duration under Constitution article 58 and the </w:t>
      </w:r>
      <w:hyperlink r:id="rId122">
        <w:r>
          <w:rPr>
            <w:color w:val="2C5F80"/>
            <w:u w:val="single"/>
            <w:rFonts w:ascii="Arial" w:hAnsi="Arial"/>
            <w:sz w:val="21"/>
          </w:rPr>
          <w:t>Chamber's CPI rules</w:t>
        </w:r>
      </w:hyperlink>
      <w:r>
        <w:rPr>
          <w:rFonts w:ascii="Arial" w:hAnsi="Arial"/>
          <w:b w:val="0"/>
          <w:i w:val="0"/>
          <w:color w:val="1E242A"/>
          <w:sz w:val="21"/>
        </w:rPr>
        <w:t>. It has investigatory powers comparable to judicial authorities within constitutional limits, but cannot exercise powers reserved exclusively to courts. A qualifying request creates the institutional claim; composition, leadership, media attention and evidence determine political force.</w:t>
      </w:r>
    </w:p>
    <w:p>
      <w:r>
        <w:rPr>
          <w:rFonts w:ascii="Arial" w:hAnsi="Arial"/>
          <w:b w:val="0"/>
          <w:i w:val="0"/>
          <w:color w:val="1E242A"/>
          <w:sz w:val="21"/>
        </w:rPr>
        <w:t xml:space="preserve">Congressional proposals become nationally significant when chamber leadership grants agenda access, a rapporteur constructs a viable text, organised interests mobilise, media amplify the issue, public opinion increases the electoral cost of resistance, a coalition fragments or a weak government loses agenda control. Executive dominance in enacted-law statistics misses congressional ideas later incorporated into executive bills. A </w:t>
      </w:r>
      <w:hyperlink r:id="rId16">
        <w:r>
          <w:rPr>
            <w:color w:val="2C5F80"/>
            <w:u w:val="single"/>
            <w:rFonts w:ascii="Arial" w:hAnsi="Arial"/>
            <w:sz w:val="21"/>
          </w:rPr>
          <w:t>Senate study of 1988–2022 production</w:t>
        </w:r>
      </w:hyperlink>
      <w:r>
        <w:rPr>
          <w:rFonts w:ascii="Arial" w:hAnsi="Arial"/>
          <w:b w:val="0"/>
          <w:i w:val="0"/>
          <w:color w:val="1E242A"/>
          <w:sz w:val="21"/>
        </w:rPr>
        <w:t xml:space="preserve"> and newer scholarship on congressional influence caution against equating bill origin with idea origin.</w:t>
      </w:r>
    </w:p>
    <w:p>
      <w:pPr>
        <w:pStyle w:val="Heading2"/>
      </w:pPr>
      <w:r>
        <w:rPr>
          <w:rFonts w:ascii="Arial" w:hAnsi="Arial"/>
          <w:b w:val="0"/>
          <w:i w:val="0"/>
          <w:color w:val="2C5F80"/>
          <w:sz w:val="27"/>
        </w:rPr>
        <w:t>4.1 Budget power</w:t>
      </w:r>
    </w:p>
    <w:p>
      <w:r>
        <w:rPr>
          <w:rFonts w:ascii="Arial" w:hAnsi="Arial"/>
          <w:b w:val="0"/>
          <w:i w:val="0"/>
          <w:color w:val="1E242A"/>
          <w:sz w:val="21"/>
        </w:rPr>
        <w:t xml:space="preserve">Congressional leverage grew after mandatory individual amendments began in 2015 and subsequent amendment regimes expanded. The executive still formulates and executes the budget within fiscal law, but cannot treat every amendment as optional political currency. Literature disagrees whether recent change constitutes “congressional government,” a rebalanced coalition presidency or a period-specific shift. The </w:t>
      </w:r>
      <w:hyperlink r:id="rId27">
        <w:r>
          <w:rPr>
            <w:color w:val="2C5F80"/>
            <w:u w:val="single"/>
            <w:rFonts w:ascii="Arial" w:hAnsi="Arial"/>
            <w:sz w:val="21"/>
          </w:rPr>
          <w:t>STF's 2022 judgment</w:t>
        </w:r>
      </w:hyperlink>
      <w:r>
        <w:rPr>
          <w:rFonts w:ascii="Arial" w:hAnsi="Arial"/>
          <w:b w:val="0"/>
          <w:i w:val="0"/>
          <w:color w:val="1E242A"/>
          <w:sz w:val="21"/>
        </w:rPr>
        <w:t xml:space="preserve"> invalidating anonymous RP-9 “secret budget” arrangements establishes that transparency, impersonality, morality and planning constrain bargaining.</w:t>
      </w:r>
    </w:p>
    <w:p>
      <w:pPr>
        <w:pStyle w:val="Heading1"/>
      </w:pPr>
      <w:r>
        <w:rPr>
          <w:rFonts w:ascii="Arial" w:hAnsi="Arial"/>
          <w:b w:val="0"/>
          <w:i w:val="0"/>
          <w:color w:val="183752"/>
          <w:sz w:val="34"/>
        </w:rPr>
        <w:t>5 Chamber and Senate political behaviour</w:t>
      </w:r>
    </w:p>
    <w:p>
      <w:r>
        <w:rPr>
          <w:rFonts w:ascii="Arial" w:hAnsi="Arial"/>
          <w:b w:val="0"/>
          <w:i w:val="0"/>
          <w:color w:val="1E242A"/>
          <w:sz w:val="21"/>
        </w:rPr>
        <w:t>The Chamber's 513 members are elected proportionally in state districts through open lists. Its scale and fragmentation make Speaker, bloc and leader coordination especially valuable. Deputies face within-list competition, local delivery pressure and relatively short electoral horizons, but centralised rules can produce disciplined voting.</w:t>
      </w:r>
    </w:p>
    <w:p>
      <w:r>
        <w:rPr>
          <w:rFonts w:ascii="Arial" w:hAnsi="Arial"/>
          <w:b w:val="0"/>
          <w:i w:val="0"/>
          <w:color w:val="1E242A"/>
          <w:sz w:val="21"/>
        </w:rPr>
        <w:t xml:space="preserve">The Senate has 81 members, equal state representation, majoritarian election, longer mandates and greater individual weight. Senators are often senior politicians with gubernatorial or national experience. State interests and individual negotiation can therefore be more visible, and the Senate's exclusive confirmation and trial powers give it a distinct institutional identity. Yet evidence does not support treating senators as agents commanded by governors; </w:t>
      </w:r>
      <w:hyperlink r:id="rId123">
        <w:r>
          <w:rPr>
            <w:color w:val="2C5F80"/>
            <w:u w:val="single"/>
            <w:rFonts w:ascii="Arial" w:hAnsi="Arial"/>
            <w:sz w:val="21"/>
          </w:rPr>
          <w:t>research on Senate voting</w:t>
        </w:r>
      </w:hyperlink>
      <w:r>
        <w:rPr>
          <w:rFonts w:ascii="Arial" w:hAnsi="Arial"/>
          <w:b w:val="0"/>
          <w:i w:val="0"/>
          <w:color w:val="1E242A"/>
          <w:sz w:val="21"/>
        </w:rPr>
        <w:t xml:space="preserve"> finds party and executive effects often stronger.</w:t>
      </w:r>
    </w:p>
    <w:p>
      <w:r>
        <w:rPr>
          <w:rFonts w:ascii="Arial" w:hAnsi="Arial"/>
          <w:b w:val="0"/>
          <w:i w:val="0"/>
          <w:color w:val="1E242A"/>
          <w:sz w:val="21"/>
        </w:rPr>
        <w:t>A President must use different combinations: heavy leader and Speaker coordination in the Chamber; Senate President and leader negotiation combined with attention to individual senior senators, state interests and nomination politics. Neither chamber's approval guarantees the other's.</w:t>
      </w:r>
    </w:p>
    <w:p>
      <w:pPr>
        <w:pStyle w:val="Heading1"/>
      </w:pPr>
      <w:r>
        <w:rPr>
          <w:rFonts w:ascii="Arial" w:hAnsi="Arial"/>
          <w:b w:val="0"/>
          <w:i w:val="0"/>
          <w:color w:val="183752"/>
          <w:sz w:val="34"/>
        </w:rPr>
        <w:t>6 Parties electoral rules and practical incentives</w:t>
      </w:r>
    </w:p>
    <w:p>
      <w:pPr>
        <w:pStyle w:val="Heading2"/>
      </w:pPr>
      <w:r>
        <w:rPr>
          <w:rFonts w:ascii="Arial" w:hAnsi="Arial"/>
          <w:b w:val="0"/>
          <w:i w:val="0"/>
          <w:color w:val="2C5F80"/>
          <w:sz w:val="27"/>
        </w:rPr>
        <w:t>6.1 Open lists and party dependence</w:t>
      </w:r>
    </w:p>
    <w:p>
      <w:r>
        <w:rPr>
          <w:rFonts w:ascii="Arial" w:hAnsi="Arial"/>
          <w:b/>
          <w:i w:val="0"/>
          <w:color w:val="1E242A"/>
          <w:sz w:val="21"/>
        </w:rPr>
        <w:t>FORMAL RULE.</w:t>
      </w:r>
      <w:r>
        <w:rPr>
          <w:rFonts w:ascii="Arial" w:hAnsi="Arial"/>
          <w:b w:val="0"/>
          <w:i w:val="0"/>
          <w:color w:val="1E242A"/>
          <w:sz w:val="21"/>
        </w:rPr>
        <w:t xml:space="preserve"> Federal, state, district and municipal legislators are elected proportionally. Votes cast for candidates and legends contribute to a party or federation total; seats are allocated collectively and then filled by candidates in nominal-vote order under statutory thresholds. The </w:t>
      </w:r>
      <w:hyperlink r:id="rId124">
        <w:r>
          <w:rPr>
            <w:color w:val="2C5F80"/>
            <w:u w:val="single"/>
            <w:rFonts w:ascii="Arial" w:hAnsi="Arial"/>
            <w:sz w:val="21"/>
          </w:rPr>
          <w:t>TSE's current proportional-election rules</w:t>
        </w:r>
      </w:hyperlink>
      <w:r>
        <w:rPr>
          <w:rFonts w:ascii="Arial" w:hAnsi="Arial"/>
          <w:b w:val="0"/>
          <w:i w:val="0"/>
          <w:color w:val="1E242A"/>
          <w:sz w:val="21"/>
        </w:rPr>
        <w:t xml:space="preserve"> govern quotients, minimum candidate votes and leftover seats.</w:t>
      </w:r>
    </w:p>
    <w:p>
      <w:r>
        <w:rPr>
          <w:rFonts w:ascii="Arial" w:hAnsi="Arial"/>
          <w:b/>
          <w:i w:val="0"/>
          <w:color w:val="1E242A"/>
          <w:sz w:val="21"/>
        </w:rPr>
        <w:t>POLITICAL PRACTICE.</w:t>
      </w:r>
      <w:r>
        <w:rPr>
          <w:rFonts w:ascii="Arial" w:hAnsi="Arial"/>
          <w:b w:val="0"/>
          <w:i w:val="0"/>
          <w:color w:val="1E242A"/>
          <w:sz w:val="21"/>
        </w:rPr>
        <w:t xml:space="preserve"> Candidates compete against other parties and against copartisans for position within the list. They therefore cultivate personal, territorial, occupational, religious or issue-based constituencies. Yet they depend on a party or federation for nomination, aggregate votes, public campaign resources and broadcast access. Candidate-centred elections and leadership-centred legislative procedure coexist.</w:t>
      </w:r>
    </w:p>
    <w:p>
      <w:pPr>
        <w:pStyle w:val="Heading2"/>
      </w:pPr>
      <w:r>
        <w:rPr>
          <w:rFonts w:ascii="Arial" w:hAnsi="Arial"/>
          <w:b w:val="0"/>
          <w:i w:val="0"/>
          <w:color w:val="2C5F80"/>
          <w:sz w:val="27"/>
        </w:rPr>
        <w:t>6.2 Discipline and labels</w:t>
      </w:r>
    </w:p>
    <w:p>
      <w:r>
        <w:rPr>
          <w:rFonts w:ascii="Arial" w:hAnsi="Arial"/>
          <w:b w:val="0"/>
          <w:i w:val="0"/>
          <w:color w:val="1E242A"/>
          <w:sz w:val="21"/>
        </w:rPr>
        <w:t>Party label predicts voting better when leaders take a clear position, the issue defines government versus opposition, procedural tools centralise choice and coalition benefits are credible. It predicts less when regional or moral issues cut across parties, leaders are divided, a vote is electorally dangerous, or the coalition is already disintegrating. Ideology matters, but pragmatic participation can join parties at some distance from the President.</w:t>
      </w:r>
    </w:p>
    <w:p>
      <w:pPr>
        <w:pStyle w:val="Heading2"/>
      </w:pPr>
      <w:r>
        <w:rPr>
          <w:rFonts w:ascii="Arial" w:hAnsi="Arial"/>
          <w:b w:val="0"/>
          <w:i w:val="0"/>
          <w:color w:val="2C5F80"/>
          <w:sz w:val="27"/>
        </w:rPr>
        <w:t>6.3 Switching federations and performance threshold</w:t>
      </w:r>
    </w:p>
    <w:p>
      <w:r>
        <w:rPr>
          <w:rFonts w:ascii="Arial" w:hAnsi="Arial"/>
          <w:b w:val="0"/>
          <w:i w:val="0"/>
          <w:color w:val="1E242A"/>
          <w:sz w:val="21"/>
        </w:rPr>
        <w:t xml:space="preserve">Holders of proportional mandates normally risk losing office if they leave without just cause. </w:t>
      </w:r>
      <w:hyperlink r:id="rId64">
        <w:r>
          <w:rPr>
            <w:color w:val="2C5F80"/>
            <w:u w:val="single"/>
            <w:rFonts w:ascii="Arial" w:hAnsi="Arial"/>
            <w:sz w:val="21"/>
          </w:rPr>
          <w:t>Party Law article 22-A</w:t>
        </w:r>
      </w:hyperlink>
      <w:r>
        <w:rPr>
          <w:rFonts w:ascii="Arial" w:hAnsi="Arial"/>
          <w:b w:val="0"/>
          <w:i w:val="0"/>
          <w:color w:val="1E242A"/>
          <w:sz w:val="21"/>
        </w:rPr>
        <w:t xml:space="preserve"> recognises statutory justifications, including serious personal political discrimination, substantial programme deviation, party consent and the electoral window. Majoritarian officeholders do not face the same mandate-loss doctrine.</w:t>
      </w:r>
    </w:p>
    <w:p>
      <w:r>
        <w:rPr>
          <w:rFonts w:ascii="Arial" w:hAnsi="Arial"/>
          <w:b w:val="0"/>
          <w:i w:val="0"/>
          <w:color w:val="1E242A"/>
          <w:sz w:val="21"/>
        </w:rPr>
        <w:t xml:space="preserve">Proportional-election coalitions have been prohibited since Constitutional Amendment 97, effective from 2020. Majoritarian coligações remain temporary electoral vehicles. A federation is national, registered at TSE, acts as one party electorally and ordinarily binds its members for at least four years. The </w:t>
      </w:r>
      <w:hyperlink r:id="rId125">
        <w:r>
          <w:rPr>
            <w:color w:val="2C5F80"/>
            <w:u w:val="single"/>
            <w:rFonts w:ascii="Arial" w:hAnsi="Arial"/>
            <w:sz w:val="21"/>
          </w:rPr>
          <w:t>TSE distinction</w:t>
        </w:r>
      </w:hyperlink>
      <w:r>
        <w:rPr>
          <w:rFonts w:ascii="Arial" w:hAnsi="Arial"/>
          <w:b w:val="0"/>
          <w:i w:val="0"/>
          <w:color w:val="1E242A"/>
          <w:sz w:val="21"/>
        </w:rPr>
        <w:t xml:space="preserve"> is essential: federation, coligação and governing coalition are not interchangeable.</w:t>
      </w:r>
    </w:p>
    <w:p>
      <w:r>
        <w:rPr>
          <w:rFonts w:ascii="Arial" w:hAnsi="Arial"/>
          <w:b w:val="0"/>
          <w:i w:val="0"/>
          <w:color w:val="1E242A"/>
          <w:sz w:val="21"/>
        </w:rPr>
        <w:t>After the 2026 Chamber election, the performance threshold for Party Fund and free broadcast access rises under EC 97. This creates incentives for merger, federation and resource concentration but does not cancel seats won by a sub-threshold party. Exact qualifying parties are future scenario state.</w:t>
      </w:r>
    </w:p>
    <w:p>
      <w:pPr>
        <w:pStyle w:val="Heading2"/>
      </w:pPr>
      <w:r>
        <w:rPr>
          <w:rFonts w:ascii="Arial" w:hAnsi="Arial"/>
          <w:b w:val="0"/>
          <w:i w:val="0"/>
          <w:color w:val="2C5F80"/>
          <w:sz w:val="27"/>
        </w:rPr>
        <w:t>6.4 Campaign finance and party leadership</w:t>
      </w:r>
    </w:p>
    <w:p>
      <w:r>
        <w:rPr>
          <w:rFonts w:ascii="Arial" w:hAnsi="Arial"/>
          <w:b w:val="0"/>
          <w:i w:val="0"/>
          <w:color w:val="1E242A"/>
          <w:sz w:val="21"/>
        </w:rPr>
        <w:t xml:space="preserve">Campaign finance is strongly public and party mediated. Under </w:t>
      </w:r>
      <w:hyperlink r:id="rId59">
        <w:r>
          <w:rPr>
            <w:color w:val="2C5F80"/>
            <w:u w:val="single"/>
            <w:rFonts w:ascii="Arial" w:hAnsi="Arial"/>
            <w:sz w:val="21"/>
          </w:rPr>
          <w:t>Election Law articles 16-C and 16-D</w:t>
        </w:r>
      </w:hyperlink>
      <w:r>
        <w:rPr>
          <w:rFonts w:ascii="Arial" w:hAnsi="Arial"/>
          <w:b w:val="0"/>
          <w:i w:val="0"/>
          <w:color w:val="1E242A"/>
          <w:sz w:val="21"/>
        </w:rPr>
        <w:t>, FEFC is appropriated in election years and national party executives publish allocation criteria. Natural-person donations, own resources and regulated crowdfunding remain possible; corporate and foreign-origin donations are prohibited. Party executives therefore influence candidacy viability, but allocation within law remains politically negotiated. Research based on the pre-ban corporate-finance regime cannot be projected forward without qualification.</w:t>
      </w:r>
    </w:p>
    <w:p>
      <w:pPr>
        <w:pStyle w:val="Heading1"/>
      </w:pPr>
      <w:r>
        <w:rPr>
          <w:rFonts w:ascii="Arial" w:hAnsi="Arial"/>
          <w:b w:val="0"/>
          <w:i w:val="0"/>
          <w:color w:val="183752"/>
          <w:sz w:val="34"/>
        </w:rPr>
        <w:t>7 Electoral cycles and political incentives</w:t>
      </w:r>
    </w:p>
    <w:p>
      <w:r>
        <w:rPr>
          <w:rFonts w:ascii="Arial" w:hAnsi="Arial"/>
          <w:b w:val="0"/>
          <w:i w:val="0"/>
          <w:color w:val="1E242A"/>
          <w:sz w:val="21"/>
        </w:rPr>
        <w:t>General elections combine presidential, gubernatorial, Senate, Chamber and state-legislative contests. Municipal elections occur midway through the federal term and reveal local organisation, create mayoral allies and rivals and test party brands. Majoritarian alliances may vary across national and state levels; electoral allies can diverge after inauguration because the governing bargain concerns offices, policy and legislative support rather than the campaign label alone.</w:t>
      </w:r>
    </w:p>
    <w:p>
      <w:r>
        <w:rPr>
          <w:rFonts w:ascii="Arial" w:hAnsi="Arial"/>
          <w:b w:val="0"/>
          <w:i w:val="0"/>
          <w:color w:val="1E242A"/>
          <w:sz w:val="21"/>
        </w:rPr>
        <w:t xml:space="preserve">Approaching elections increase incentives to protect personal and party brands, accelerate visible delivery, resist blame-heavy reform, demand regional benefits, leave ministerial office to meet candidacy deadlines and reposition toward likely winners. They do not uniformly stop reform. Popular measures, urgent fiscal problems, coalition compensation and blame-sharing can still support action. The </w:t>
      </w:r>
      <w:hyperlink r:id="rId126">
        <w:r>
          <w:rPr>
            <w:color w:val="2C5F80"/>
            <w:u w:val="single"/>
            <w:rFonts w:ascii="Arial" w:hAnsi="Arial"/>
            <w:sz w:val="21"/>
          </w:rPr>
          <w:t>TSE election calendar</w:t>
        </w:r>
      </w:hyperlink>
      <w:r>
        <w:rPr>
          <w:rFonts w:ascii="Arial" w:hAnsi="Arial"/>
          <w:b w:val="0"/>
          <w:i w:val="0"/>
          <w:color w:val="1E242A"/>
          <w:sz w:val="21"/>
        </w:rPr>
        <w:t xml:space="preserve"> provides formal deadlines; behavioural effects remain issue- and actor-specific.</w:t>
      </w:r>
    </w:p>
    <w:p>
      <w:pPr>
        <w:pStyle w:val="Heading1"/>
      </w:pPr>
      <w:r>
        <w:rPr>
          <w:rFonts w:ascii="Arial" w:hAnsi="Arial"/>
          <w:b w:val="0"/>
          <w:i w:val="0"/>
          <w:color w:val="183752"/>
          <w:sz w:val="34"/>
        </w:rPr>
        <w:t>8 Governors mayors and regional power</w:t>
      </w:r>
    </w:p>
    <w:p>
      <w:pPr>
        <w:pStyle w:val="Heading2"/>
      </w:pPr>
      <w:r>
        <w:rPr>
          <w:rFonts w:ascii="Arial" w:hAnsi="Arial"/>
          <w:b w:val="0"/>
          <w:i w:val="0"/>
          <w:color w:val="2C5F80"/>
          <w:sz w:val="27"/>
        </w:rPr>
        <w:t>8.1 Governors</w:t>
      </w:r>
    </w:p>
    <w:p>
      <w:r>
        <w:rPr>
          <w:rFonts w:ascii="Arial" w:hAnsi="Arial"/>
          <w:b w:val="0"/>
          <w:i w:val="0"/>
          <w:color w:val="1E242A"/>
          <w:sz w:val="21"/>
        </w:rPr>
        <w:t>Governors control substantial state administrations, budgets and public-security institutions; shape state electoral coalitions; bargain over debt, transfers, tax, infrastructure and crisis response; and can build national visibility or presidential ambitions. They can lobby senators and deputies, coordinate regional positions, litigate against the Union and publicly resist federal implementation.</w:t>
      </w:r>
    </w:p>
    <w:p>
      <w:r>
        <w:rPr>
          <w:rFonts w:ascii="Arial" w:hAnsi="Arial"/>
          <w:b w:val="0"/>
          <w:i w:val="0"/>
          <w:color w:val="1E242A"/>
          <w:sz w:val="21"/>
        </w:rPr>
        <w:t xml:space="preserve">Their influence over delegations is real but not command. Research on </w:t>
      </w:r>
      <w:hyperlink r:id="rId127">
        <w:r>
          <w:rPr>
            <w:color w:val="2C5F80"/>
            <w:u w:val="single"/>
            <w:rFonts w:ascii="Arial" w:hAnsi="Arial"/>
            <w:sz w:val="21"/>
          </w:rPr>
          <w:t>gubernatorial electoral coattails</w:t>
        </w:r>
      </w:hyperlink>
      <w:r>
        <w:rPr>
          <w:rFonts w:ascii="Arial" w:hAnsi="Arial"/>
          <w:b w:val="0"/>
          <w:i w:val="0"/>
          <w:color w:val="1E242A"/>
          <w:sz w:val="21"/>
        </w:rPr>
        <w:t xml:space="preserve"> finds that state executive competition structures Chamber-list politics. Counterevidence from Senate roll calls rejects governors as universal national-policy veto players. Influence is strongest on salient state distribution, careers and coalition formation and weaker as a general instruction over every vote.</w:t>
      </w:r>
    </w:p>
    <w:p>
      <w:r>
        <w:rPr>
          <w:rFonts w:ascii="Arial" w:hAnsi="Arial"/>
          <w:b/>
          <w:i w:val="0"/>
          <w:color w:val="1E242A"/>
          <w:sz w:val="21"/>
        </w:rPr>
        <w:t>INDEPENDENT CAPABILITY.</w:t>
      </w:r>
      <w:r>
        <w:rPr>
          <w:rFonts w:ascii="Arial" w:hAnsi="Arial"/>
          <w:b w:val="0"/>
          <w:i w:val="0"/>
          <w:color w:val="1E242A"/>
          <w:sz w:val="21"/>
        </w:rPr>
        <w:t xml:space="preserve"> A governor may generate a presidential agenda item by demanding fiscal relief, requesting security or disaster assistance, forming an interstate coalition, challenging federal law, withholding administrative cooperation, mobilising a party delegation or launching a national candidacy.</w:t>
      </w:r>
    </w:p>
    <w:p>
      <w:pPr>
        <w:pStyle w:val="Heading2"/>
      </w:pPr>
      <w:r>
        <w:rPr>
          <w:rFonts w:ascii="Arial" w:hAnsi="Arial"/>
          <w:b w:val="0"/>
          <w:i w:val="0"/>
          <w:color w:val="2C5F80"/>
          <w:sz w:val="27"/>
        </w:rPr>
        <w:t>8.2 Mayors and metropolitan politics</w:t>
      </w:r>
    </w:p>
    <w:p>
      <w:r>
        <w:rPr>
          <w:rFonts w:ascii="Arial" w:hAnsi="Arial"/>
          <w:b w:val="0"/>
          <w:i w:val="0"/>
          <w:color w:val="1E242A"/>
          <w:sz w:val="21"/>
        </w:rPr>
        <w:t xml:space="preserve">Mayors matter nationally when they control major cities, deliver federally financed health, education, housing, transport and infrastructure, manage visible crises, or possess electoral networks. Research on </w:t>
      </w:r>
      <w:hyperlink r:id="rId128">
        <w:r>
          <w:rPr>
            <w:color w:val="2C5F80"/>
            <w:u w:val="single"/>
            <w:rFonts w:ascii="Arial" w:hAnsi="Arial"/>
            <w:sz w:val="21"/>
          </w:rPr>
          <w:t>reverse electoral coattails</w:t>
        </w:r>
      </w:hyperlink>
      <w:r>
        <w:rPr>
          <w:rFonts w:ascii="Arial" w:hAnsi="Arial"/>
          <w:b w:val="0"/>
          <w:i w:val="0"/>
          <w:color w:val="1E242A"/>
          <w:sz w:val="21"/>
        </w:rPr>
        <w:t xml:space="preserve"> finds that winning municipal office can improve later upper-level party performance. The effect is heterogeneous; mayoral influence should rise to presidential altitude when metropolitan, aggregated, cross-party or crisis-related, not for every local negotiation.</w:t>
      </w:r>
    </w:p>
    <w:p>
      <w:pPr>
        <w:pStyle w:val="Heading2"/>
      </w:pPr>
      <w:r>
        <w:rPr>
          <w:rFonts w:ascii="Arial" w:hAnsi="Arial"/>
          <w:b w:val="0"/>
          <w:i w:val="0"/>
          <w:color w:val="2C5F80"/>
          <w:sz w:val="27"/>
        </w:rPr>
        <w:t>8.3 Regional variation</w:t>
      </w:r>
    </w:p>
    <w:p>
      <w:r>
        <w:rPr>
          <w:rFonts w:ascii="Arial" w:hAnsi="Arial"/>
          <w:b w:val="0"/>
          <w:i w:val="0"/>
          <w:color w:val="1E242A"/>
          <w:sz w:val="21"/>
        </w:rPr>
        <w:t>Brazilian regions differ in economic structure, urbanisation, fiscal dependence, agribusiness, industry, public services, security challenges and party competition. These produce interest coalitions rather than immutable cultural blocs. State-level alliances may differ from national alliances because parties are internally federalised and local rivals cannot always cooperate merely because national leaders do.</w:t>
      </w:r>
    </w:p>
    <w:p>
      <w:pPr>
        <w:pStyle w:val="Heading1"/>
      </w:pPr>
      <w:r>
        <w:rPr>
          <w:rFonts w:ascii="Arial" w:hAnsi="Arial"/>
          <w:b w:val="0"/>
          <w:i w:val="0"/>
          <w:color w:val="183752"/>
          <w:sz w:val="34"/>
        </w:rPr>
        <w:t>9 Public opinion approval and political consequences</w:t>
      </w:r>
    </w:p>
    <w:p>
      <w:r>
        <w:rPr>
          <w:rFonts w:ascii="Arial" w:hAnsi="Arial"/>
          <w:b w:val="0"/>
          <w:i w:val="0"/>
          <w:color w:val="1E242A"/>
          <w:sz w:val="21"/>
        </w:rPr>
        <w:t>Approval affects the expected electoral cost of supporting the President, the credibility of public campaigning, coalition loyalty, governor positioning, protest opportunity and media framing. It does not issue commands to Congress. A popular President may provide allies with credit and deter defection; an unpopular President can still pass measures through leadership, policy and budget agreements.</w:t>
      </w:r>
    </w:p>
    <w:p>
      <w:r>
        <w:rPr>
          <w:rFonts w:ascii="Arial" w:hAnsi="Arial"/>
          <w:b w:val="0"/>
          <w:i w:val="0"/>
          <w:color w:val="1E242A"/>
          <w:sz w:val="21"/>
        </w:rPr>
        <w:t>Economic voting research finds that inflation, unemployment, income and growth can affect presidential evaluations, but experienced food, fuel and service prices may diverge from headline aggregates. One Brazilian study found declining GDP associated with lower coalition support and higher approval with greater coalition discipline, while not confirming a simple inflation effect. These mixed findings counsel against a universal approval formula.</w:t>
      </w:r>
    </w:p>
    <w:p>
      <w:r>
        <w:rPr>
          <w:rFonts w:ascii="Arial" w:hAnsi="Arial"/>
          <w:b w:val="0"/>
          <w:i w:val="0"/>
          <w:color w:val="1E242A"/>
          <w:sz w:val="21"/>
        </w:rPr>
        <w:t>Scandals, corruption perceptions, service quality, security, crisis management, policy delivery, polarisation and presidential image interact with economics. Causality can run both ways: elite defections signal weakness to the public, while falling approval alters elite incentives.</w:t>
      </w:r>
    </w:p>
    <w:p>
      <w:pPr>
        <w:pStyle w:val="Heading1"/>
      </w:pPr>
      <w:r>
        <w:rPr>
          <w:rFonts w:ascii="Arial" w:hAnsi="Arial"/>
          <w:b w:val="0"/>
          <w:i w:val="0"/>
          <w:color w:val="183752"/>
          <w:sz w:val="34"/>
        </w:rPr>
        <w:t>10 Polarisation</w:t>
      </w:r>
    </w:p>
    <w:p>
      <w:r>
        <w:rPr>
          <w:rFonts w:ascii="Arial" w:hAnsi="Arial"/>
          <w:b w:val="0"/>
          <w:i w:val="0"/>
          <w:color w:val="1E242A"/>
          <w:sz w:val="21"/>
        </w:rPr>
        <w:t>Contemporary polarisation combines ideology, affective dislike, social identity and negative partisanship. Anti-PT mobilisation predates Bolsonaro; anti-Bolsonarismo developed around later leadership, democratic and policy conflict. Religion, class, education, region and age correlate with alignment in some studies, but none creates a homogeneous bloc.</w:t>
      </w:r>
    </w:p>
    <w:p>
      <w:r>
        <w:rPr>
          <w:rFonts w:ascii="Arial" w:hAnsi="Arial"/>
          <w:b w:val="0"/>
          <w:i w:val="0"/>
          <w:color w:val="1E242A"/>
          <w:sz w:val="21"/>
        </w:rPr>
        <w:t xml:space="preserve">The durable Country Knowledge is that national competition can organise around strong negative identities, media ecosystems and institutional distrust. The Lula-Bolsonaro axis, exact regional margins and current affect are </w:t>
      </w:r>
      <w:r>
        <w:rPr>
          <w:rFonts w:ascii="Arial" w:hAnsi="Arial"/>
          <w:b/>
          <w:i w:val="0"/>
          <w:color w:val="1E242A"/>
          <w:sz w:val="21"/>
        </w:rPr>
        <w:t>SCENARIO-SPECIFIC</w:t>
      </w:r>
      <w:r>
        <w:rPr>
          <w:rFonts w:ascii="Arial" w:hAnsi="Arial"/>
          <w:b w:val="0"/>
          <w:i w:val="0"/>
          <w:color w:val="1E242A"/>
          <w:sz w:val="21"/>
        </w:rPr>
        <w:t>, largely associated with the post-2013 and especially post-2018 period. Social platforms can intensify segmented communication, but polarisation also travels through parties, churches, traditional media, workplaces and interpersonal networks.</w:t>
      </w:r>
    </w:p>
    <w:p>
      <w:r>
        <w:rPr>
          <w:rFonts w:ascii="Arial" w:hAnsi="Arial"/>
          <w:b w:val="0"/>
          <w:i w:val="0"/>
          <w:color w:val="1E242A"/>
          <w:sz w:val="21"/>
        </w:rPr>
        <w:t>Polarisation can increase base loyalty and mobilisation while making cross-bloc compromise reputationally costly. It does not eliminate pragmatic congressional bargaining; a legislator may support an executive measure while campaigning against the President.</w:t>
      </w:r>
    </w:p>
    <w:p>
      <w:pPr>
        <w:pStyle w:val="Heading1"/>
      </w:pPr>
      <w:r>
        <w:rPr>
          <w:rFonts w:ascii="Arial" w:hAnsi="Arial"/>
          <w:b w:val="0"/>
          <w:i w:val="0"/>
          <w:color w:val="183752"/>
          <w:sz w:val="34"/>
        </w:rPr>
        <w:t>11 Protest civil society and mobilisation</w:t>
      </w:r>
    </w:p>
    <w:p>
      <w:r>
        <w:rPr>
          <w:rFonts w:ascii="Arial" w:hAnsi="Arial"/>
          <w:b w:val="0"/>
          <w:i w:val="0"/>
          <w:color w:val="1E242A"/>
          <w:sz w:val="21"/>
        </w:rPr>
        <w:t xml:space="preserve">Social movements use mixed repertoires: protest, institutional participation, litigation, lobbying, public communication and policy co-production. A peer-reviewed </w:t>
      </w:r>
      <w:hyperlink r:id="rId129">
        <w:r>
          <w:rPr>
            <w:color w:val="2C5F80"/>
            <w:u w:val="single"/>
            <w:rFonts w:ascii="Arial" w:hAnsi="Arial"/>
            <w:sz w:val="21"/>
          </w:rPr>
          <w:t>study of Brazilian human-rights mobilisation</w:t>
        </w:r>
      </w:hyperlink>
      <w:r>
        <w:rPr>
          <w:rFonts w:ascii="Arial" w:hAnsi="Arial"/>
          <w:b w:val="0"/>
          <w:i w:val="0"/>
          <w:color w:val="1E242A"/>
          <w:sz w:val="21"/>
        </w:rPr>
        <w:t xml:space="preserve"> shows that movement consequences include policy, institutional, cultural and activist effects rather than a binary win or loss.</w:t>
      </w:r>
    </w:p>
    <w:p>
      <w:r>
        <w:rPr>
          <w:rFonts w:ascii="Arial" w:hAnsi="Arial"/>
          <w:b w:val="0"/>
          <w:i w:val="0"/>
          <w:color w:val="1E242A"/>
          <w:sz w:val="21"/>
        </w:rPr>
        <w:t>A local mobilisation becomes national when portable grievances, broad framing, cross-city diffusion, policing images, digital networks, legacy-media attention, elite adoption and visible government response reinforce one another. No single condition is sufficient.</w:t>
      </w:r>
    </w:p>
    <w:p>
      <w:r>
        <w:rPr>
          <w:rFonts w:ascii="Arial" w:hAnsi="Arial"/>
          <w:b/>
          <w:i w:val="0"/>
          <w:color w:val="1E242A"/>
          <w:sz w:val="21"/>
        </w:rPr>
        <w:t>HISTORICAL EXPERIENCE.</w:t>
      </w:r>
      <w:r>
        <w:rPr>
          <w:rFonts w:ascii="Arial" w:hAnsi="Arial"/>
          <w:b w:val="0"/>
          <w:i w:val="0"/>
          <w:color w:val="1E242A"/>
          <w:sz w:val="21"/>
        </w:rPr>
        <w:t xml:space="preserve"> The June 2013 protests began around transport and service grievances and became heterogeneous, multi-ideological, digitally connected and anti-system. Research agrees that they altered agendas and political opportunity, but disputes a direct causal line to the 2015–16 impeachment mobilisation. They should not be encoded as “fare increase causes regime crisis.” The lesson is that issue ownership and movement composition can change after national amplification.</w:t>
      </w:r>
    </w:p>
    <w:p>
      <w:r>
        <w:rPr>
          <w:rFonts w:ascii="Arial" w:hAnsi="Arial"/>
          <w:b w:val="0"/>
          <w:i w:val="0"/>
          <w:color w:val="1E242A"/>
          <w:sz w:val="21"/>
        </w:rPr>
        <w:t>The President can meet organisers, change policy, coordinate with governors and mayors, adjust communication or accept protest. The President cannot command voluntary demobilisation and does not directly control local public-order policing.</w:t>
      </w:r>
    </w:p>
    <w:p>
      <w:pPr>
        <w:pStyle w:val="Heading1"/>
      </w:pPr>
      <w:r>
        <w:rPr>
          <w:rFonts w:ascii="Arial" w:hAnsi="Arial"/>
          <w:b w:val="0"/>
          <w:i w:val="0"/>
          <w:color w:val="183752"/>
          <w:sz w:val="34"/>
        </w:rPr>
        <w:t>12 Labour and organised labour</w:t>
      </w:r>
    </w:p>
    <w:p>
      <w:r>
        <w:rPr>
          <w:rFonts w:ascii="Arial" w:hAnsi="Arial"/>
          <w:b w:val="0"/>
          <w:i w:val="0"/>
          <w:color w:val="1E242A"/>
          <w:sz w:val="21"/>
        </w:rPr>
        <w:t xml:space="preserve">Union power rests on organisation in strategic sectors, strike capacity, bargaining institutions, public-service dependence, policy expertise and party or movement links, not membership alone. </w:t>
      </w:r>
      <w:r>
        <w:rPr>
          <w:rFonts w:ascii="Arial" w:hAnsi="Arial"/>
          <w:b/>
          <w:i w:val="0"/>
          <w:color w:val="1E242A"/>
          <w:sz w:val="21"/>
        </w:rPr>
        <w:t>SCENARIO-SPECIFIC:</w:t>
      </w:r>
      <w:r>
        <w:rPr>
          <w:rFonts w:ascii="Arial" w:hAnsi="Arial"/>
          <w:b w:val="0"/>
          <w:i w:val="0"/>
          <w:color w:val="1E242A"/>
          <w:sz w:val="21"/>
        </w:rPr>
        <w:t xml:space="preserve"> </w:t>
      </w:r>
      <w:hyperlink r:id="rId130">
        <w:r>
          <w:rPr>
            <w:color w:val="2C5F80"/>
            <w:u w:val="single"/>
            <w:rFonts w:ascii="Arial" w:hAnsi="Arial"/>
            <w:sz w:val="21"/>
          </w:rPr>
          <w:t>IBGE</w:t>
        </w:r>
      </w:hyperlink>
      <w:r>
        <w:rPr>
          <w:rFonts w:ascii="Arial" w:hAnsi="Arial"/>
          <w:b w:val="0"/>
          <w:i w:val="0"/>
          <w:color w:val="1E242A"/>
          <w:sz w:val="21"/>
        </w:rPr>
        <w:t xml:space="preserve"> reported unionisation at 8.9 percent, 9.1 million workers, in 2024 after a long decline; public employees remained more organised than formal private employees.</w:t>
      </w:r>
    </w:p>
    <w:p>
      <w:r>
        <w:rPr>
          <w:rFonts w:ascii="Arial" w:hAnsi="Arial"/>
          <w:b w:val="0"/>
          <w:i w:val="0"/>
          <w:color w:val="1E242A"/>
          <w:sz w:val="21"/>
        </w:rPr>
        <w:t>Unions and confederations can independently call strikes, challenge pension or wage reforms, mobilise Congress, litigate and create implementation problems. They are not uniformly aligned with one party. Public-sector strikes can become presidential matters because they disrupt federal services or fiscal policy; ordinary sector bargaining should remain with ministries, employers, labour institutions and courts.</w:t>
      </w:r>
    </w:p>
    <w:p>
      <w:pPr>
        <w:pStyle w:val="Heading1"/>
      </w:pPr>
      <w:r>
        <w:rPr>
          <w:rFonts w:ascii="Arial" w:hAnsi="Arial"/>
          <w:b w:val="0"/>
          <w:i w:val="0"/>
          <w:color w:val="183752"/>
          <w:sz w:val="34"/>
        </w:rPr>
        <w:t>13 Business industry and agribusiness</w:t>
      </w:r>
    </w:p>
    <w:p>
      <w:pPr>
        <w:pStyle w:val="Heading2"/>
      </w:pPr>
      <w:r>
        <w:rPr>
          <w:rFonts w:ascii="Arial" w:hAnsi="Arial"/>
          <w:b w:val="0"/>
          <w:i w:val="0"/>
          <w:color w:val="2C5F80"/>
          <w:sz w:val="27"/>
        </w:rPr>
        <w:t>13.1 Plural business representation</w:t>
      </w:r>
    </w:p>
    <w:p>
      <w:r>
        <w:rPr>
          <w:rFonts w:ascii="Arial" w:hAnsi="Arial"/>
          <w:b w:val="0"/>
          <w:i w:val="0"/>
          <w:color w:val="1E242A"/>
          <w:sz w:val="21"/>
        </w:rPr>
        <w:t xml:space="preserve">Business acts through associations such as CNI, CNC, sector federations and specialised organisations; government-relations teams; technical submissions; consultations; parliamentary fronts; public campaigns; litigation; and investment decisions. Research on </w:t>
      </w:r>
      <w:hyperlink r:id="rId131">
        <w:r>
          <w:rPr>
            <w:color w:val="2C5F80"/>
            <w:u w:val="single"/>
            <w:rFonts w:ascii="Arial" w:hAnsi="Arial"/>
            <w:sz w:val="21"/>
          </w:rPr>
          <w:t>CNI's legislative agenda</w:t>
        </w:r>
      </w:hyperlink>
      <w:r>
        <w:rPr>
          <w:rFonts w:ascii="Arial" w:hAnsi="Arial"/>
          <w:b w:val="0"/>
          <w:i w:val="0"/>
          <w:color w:val="1E242A"/>
          <w:sz w:val="21"/>
        </w:rPr>
        <w:t xml:space="preserve"> demonstrates sustained professional monitoring and priority setting.</w:t>
      </w:r>
    </w:p>
    <w:p>
      <w:r>
        <w:rPr>
          <w:rFonts w:ascii="Arial" w:hAnsi="Arial"/>
          <w:b w:val="0"/>
          <w:i w:val="0"/>
          <w:color w:val="1E242A"/>
          <w:sz w:val="21"/>
        </w:rPr>
        <w:t>“Business confidence” is not one political mood. Finance may prioritise inflation, debt and regulation; industry tax, infrastructure, trade and energy; retail credit and demand; technology data and innovation; contractors procurement and project pipelines. Interests can conflict. A credible investment warning is politically consequential when tied to specific capital, employment, supply or legal exposure, not merely asserted.</w:t>
      </w:r>
    </w:p>
    <w:p>
      <w:pPr>
        <w:pStyle w:val="Heading2"/>
      </w:pPr>
      <w:r>
        <w:rPr>
          <w:rFonts w:ascii="Arial" w:hAnsi="Arial"/>
          <w:b w:val="0"/>
          <w:i w:val="0"/>
          <w:color w:val="2C5F80"/>
          <w:sz w:val="27"/>
        </w:rPr>
        <w:t>13.2 Agribusiness</w:t>
      </w:r>
    </w:p>
    <w:p>
      <w:r>
        <w:rPr>
          <w:rFonts w:ascii="Arial" w:hAnsi="Arial"/>
          <w:b w:val="0"/>
          <w:i w:val="0"/>
          <w:color w:val="1E242A"/>
          <w:sz w:val="21"/>
        </w:rPr>
        <w:t xml:space="preserve">Agribusiness combines economic weight with organised congressional capacity through the Frente Parlamentar da Agropecuária and linked policy networks. </w:t>
      </w:r>
      <w:hyperlink r:id="rId132">
        <w:r>
          <w:rPr>
            <w:color w:val="2C5F80"/>
            <w:u w:val="single"/>
            <w:rFonts w:ascii="Arial" w:hAnsi="Arial"/>
            <w:sz w:val="21"/>
          </w:rPr>
          <w:t>Research on agribusiness influence</w:t>
        </w:r>
      </w:hyperlink>
      <w:r>
        <w:rPr>
          <w:rFonts w:ascii="Arial" w:hAnsi="Arial"/>
          <w:b w:val="0"/>
          <w:i w:val="0"/>
          <w:color w:val="1E242A"/>
          <w:sz w:val="21"/>
        </w:rPr>
        <w:t xml:space="preserve"> finds power extending beyond visible campaign donations or lobbying. The bloc nevertheless contains producers, processors, exporters, input suppliers, traders and financial interests with differing exposure to exchange rates, environmental rules and foreign markets.</w:t>
      </w:r>
    </w:p>
    <w:p>
      <w:r>
        <w:rPr>
          <w:rFonts w:ascii="Arial" w:hAnsi="Arial"/>
          <w:b w:val="0"/>
          <w:i w:val="0"/>
          <w:color w:val="1E242A"/>
          <w:sz w:val="21"/>
        </w:rPr>
        <w:t>Agribusiness actors can originate bills and amendments, veto campaigns, rural-credit demands, infrastructure priorities, environmental and land disputes, trade diplomacy and litigation. Parliamentary-front membership does not prove a disciplined vote. The President handles cross-cutting trade, environment, credit and coalition settlements; ministers and leaders negotiate ordinary text.</w:t>
      </w:r>
    </w:p>
    <w:p>
      <w:pPr>
        <w:pStyle w:val="Heading1"/>
      </w:pPr>
      <w:r>
        <w:rPr>
          <w:rFonts w:ascii="Arial" w:hAnsi="Arial"/>
          <w:b w:val="0"/>
          <w:i w:val="0"/>
          <w:color w:val="183752"/>
          <w:sz w:val="34"/>
        </w:rPr>
        <w:t>14 Religion and political organisation</w:t>
      </w:r>
    </w:p>
    <w:p>
      <w:r>
        <w:rPr>
          <w:rFonts w:ascii="Arial" w:hAnsi="Arial"/>
          <w:b w:val="0"/>
          <w:i w:val="0"/>
          <w:color w:val="1E242A"/>
          <w:sz w:val="21"/>
        </w:rPr>
        <w:t xml:space="preserve">Religious influence operates through repeated congregational contact, clergy and lay leaders, candidate selection, media networks, social-service organisations and caucuses. Empirical work on </w:t>
      </w:r>
      <w:hyperlink r:id="rId133">
        <w:r>
          <w:rPr>
            <w:color w:val="2C5F80"/>
            <w:u w:val="single"/>
            <w:rFonts w:ascii="Arial" w:hAnsi="Arial"/>
            <w:sz w:val="21"/>
          </w:rPr>
          <w:t>religious leadership and voting</w:t>
        </w:r>
      </w:hyperlink>
      <w:r>
        <w:rPr>
          <w:rFonts w:ascii="Arial" w:hAnsi="Arial"/>
          <w:b w:val="0"/>
          <w:i w:val="0"/>
          <w:color w:val="1E242A"/>
          <w:sz w:val="21"/>
        </w:rPr>
        <w:t xml:space="preserve"> finds mobilisation by Catholic as well as evangelical leaders.</w:t>
      </w:r>
    </w:p>
    <w:p>
      <w:r>
        <w:rPr>
          <w:rFonts w:ascii="Arial" w:hAnsi="Arial"/>
          <w:b w:val="0"/>
          <w:i w:val="0"/>
          <w:color w:val="1E242A"/>
          <w:sz w:val="21"/>
        </w:rPr>
        <w:t>Evangelical churches are denominationally, regionally and politically diverse. The evangelical parliamentary front is a coordination forum, not a unified church party. Actors may pursue moral and family policy, religious freedom, media regulation, social services, institutional access and representation. Current membership and endorsement patterns are scenario state.</w:t>
      </w:r>
    </w:p>
    <w:p>
      <w:pPr>
        <w:pStyle w:val="Heading1"/>
      </w:pPr>
      <w:r>
        <w:rPr>
          <w:rFonts w:ascii="Arial" w:hAnsi="Arial"/>
          <w:b w:val="0"/>
          <w:i w:val="0"/>
          <w:color w:val="183752"/>
          <w:sz w:val="34"/>
        </w:rPr>
        <w:t>15 Media and digital politics</w:t>
      </w:r>
    </w:p>
    <w:p>
      <w:pPr>
        <w:pStyle w:val="Heading2"/>
      </w:pPr>
      <w:r>
        <w:rPr>
          <w:rFonts w:ascii="Arial" w:hAnsi="Arial"/>
          <w:b w:val="0"/>
          <w:i w:val="0"/>
          <w:color w:val="2C5F80"/>
          <w:sz w:val="27"/>
        </w:rPr>
        <w:t>15.1 Hybrid gatekeeping</w:t>
      </w:r>
    </w:p>
    <w:p>
      <w:r>
        <w:rPr>
          <w:rFonts w:ascii="Arial" w:hAnsi="Arial"/>
          <w:b w:val="0"/>
          <w:i w:val="0"/>
          <w:color w:val="1E242A"/>
          <w:sz w:val="21"/>
        </w:rPr>
        <w:t xml:space="preserve">Brazil has a hybrid media environment. Large television brands retain national agenda reach, while radio and regional outlets shape local politics and digital news, social video, messaging and influencers fragment attention. </w:t>
      </w:r>
      <w:hyperlink r:id="rId134">
        <w:r>
          <w:rPr>
            <w:color w:val="2C5F80"/>
            <w:u w:val="single"/>
            <w:rFonts w:ascii="Arial" w:hAnsi="Arial"/>
            <w:sz w:val="21"/>
          </w:rPr>
          <w:t>Reuters Institute's 2025 Brazil profile</w:t>
        </w:r>
      </w:hyperlink>
      <w:r>
        <w:rPr>
          <w:rFonts w:ascii="Arial" w:hAnsi="Arial"/>
          <w:b w:val="0"/>
          <w:i w:val="0"/>
          <w:color w:val="1E242A"/>
          <w:sz w:val="21"/>
        </w:rPr>
        <w:t xml:space="preserve"> reported overall news trust at 42 percent and continuing strength of large TV brands; exact audience and platform shares are scenario state.</w:t>
      </w:r>
    </w:p>
    <w:p>
      <w:r>
        <w:rPr>
          <w:rFonts w:ascii="Arial" w:hAnsi="Arial"/>
          <w:b w:val="0"/>
          <w:i w:val="0"/>
          <w:color w:val="1E242A"/>
          <w:sz w:val="21"/>
        </w:rPr>
        <w:t>Media do not manufacture political consequences alone. They select, verify, frame, repeat and amplify; opposition and coalition elites decide whether to adopt a story; institutions determine whether evidence becomes an inquiry or case; citizens may update or reject it. The distinction for Sovereign is between an event occurring and becoming a sustained national story.</w:t>
      </w:r>
    </w:p>
    <w:p>
      <w:pPr>
        <w:pStyle w:val="Heading2"/>
      </w:pPr>
      <w:r>
        <w:rPr>
          <w:rFonts w:ascii="Arial" w:hAnsi="Arial"/>
          <w:b w:val="0"/>
          <w:i w:val="0"/>
          <w:color w:val="2C5F80"/>
          <w:sz w:val="27"/>
        </w:rPr>
        <w:t>15.2 Social platforms</w:t>
      </w:r>
    </w:p>
    <w:p>
      <w:r>
        <w:rPr>
          <w:rFonts w:ascii="Arial" w:hAnsi="Arial"/>
          <w:b w:val="0"/>
          <w:i w:val="0"/>
          <w:color w:val="1E242A"/>
          <w:sz w:val="21"/>
        </w:rPr>
        <w:t xml:space="preserve">Closed messaging, influencer networks and cross-platform links lower communication and mobilisation costs. Research on </w:t>
      </w:r>
      <w:hyperlink r:id="rId135">
        <w:r>
          <w:rPr>
            <w:color w:val="2C5F80"/>
            <w:u w:val="single"/>
            <w:rFonts w:ascii="Arial" w:hAnsi="Arial"/>
            <w:sz w:val="21"/>
          </w:rPr>
          <w:t>Bolsonarist WhatsApp networks</w:t>
        </w:r>
      </w:hyperlink>
      <w:r>
        <w:rPr>
          <w:rFonts w:ascii="Arial" w:hAnsi="Arial"/>
          <w:b w:val="0"/>
          <w:i w:val="0"/>
          <w:color w:val="1E242A"/>
          <w:sz w:val="21"/>
        </w:rPr>
        <w:t xml:space="preserve"> found extensive circulation through links to YouTube, Facebook, Instagram and Twitter, demonstrating an ecosystem rather than one isolated platform.</w:t>
      </w:r>
    </w:p>
    <w:p>
      <w:r>
        <w:rPr>
          <w:rFonts w:ascii="Arial" w:hAnsi="Arial"/>
          <w:b w:val="0"/>
          <w:i w:val="0"/>
          <w:color w:val="1E242A"/>
          <w:sz w:val="21"/>
        </w:rPr>
        <w:t xml:space="preserve">Platform-specific facts age rapidly. Durable behaviours include closed-network diffusion, influencer brokerage, coordinated amplification, cross-platform migration and difficulty observing provenance. </w:t>
      </w:r>
      <w:hyperlink r:id="rId136">
        <w:r>
          <w:rPr>
            <w:color w:val="2C5F80"/>
            <w:u w:val="single"/>
            <w:rFonts w:ascii="Arial" w:hAnsi="Arial"/>
            <w:sz w:val="21"/>
          </w:rPr>
          <w:t>TSE Resolution 23,732 of 2024</w:t>
        </w:r>
      </w:hyperlink>
      <w:r>
        <w:rPr>
          <w:rFonts w:ascii="Arial" w:hAnsi="Arial"/>
          <w:b w:val="0"/>
          <w:i w:val="0"/>
          <w:color w:val="1E242A"/>
          <w:sz w:val="21"/>
        </w:rPr>
        <w:t xml:space="preserve"> requires disclosure of synthetic AI content and bans deepfakes and specified false electoral content. Electoral oversight can itself create campaign crises, but measured causal effects on votes remain uncertain.</w:t>
      </w:r>
    </w:p>
    <w:p>
      <w:pPr>
        <w:pStyle w:val="Heading1"/>
      </w:pPr>
      <w:r>
        <w:rPr>
          <w:rFonts w:ascii="Arial" w:hAnsi="Arial"/>
          <w:b w:val="0"/>
          <w:i w:val="0"/>
          <w:color w:val="183752"/>
          <w:sz w:val="34"/>
        </w:rPr>
        <w:t>16 Scandals integrity and crisis escalation</w:t>
      </w:r>
    </w:p>
    <w:p>
      <w:r>
        <w:rPr>
          <w:rFonts w:ascii="Arial" w:hAnsi="Arial"/>
          <w:b w:val="0"/>
          <w:i w:val="0"/>
          <w:color w:val="1E242A"/>
          <w:sz w:val="21"/>
        </w:rPr>
        <w:t>A scandal is not identical to criminal guilt. A plausible escalation chain is allegation; documentary or testimonial credibility; journalistic amplification; opposition or elite adoption; CPI, police, prosecutor, court, CGU or TCU action; coalition reaction; opinion change; ministerial exit or paralysis; and, only under exceptional convergence, impeachment pressure. Weak evidence, agenda competition, cohesive allies or absence of an institutional hook can make an allegation fade.</w:t>
      </w:r>
    </w:p>
    <w:p>
      <w:r>
        <w:rPr>
          <w:rFonts w:ascii="Arial" w:hAnsi="Arial"/>
          <w:b w:val="0"/>
          <w:i w:val="0"/>
          <w:color w:val="1E242A"/>
          <w:sz w:val="21"/>
        </w:rPr>
        <w:t xml:space="preserve">Integrity oversight is polycentric. CGU provides federal internal control, audit, investigations and transparency; TCU performs external audit and judgment within its constitutional remit; police and MP conduct criminal work; courts and electoral justice adjudicate. The </w:t>
      </w:r>
      <w:hyperlink r:id="rId137">
        <w:r>
          <w:rPr>
            <w:color w:val="2C5F80"/>
            <w:u w:val="single"/>
            <w:rFonts w:ascii="Arial" w:hAnsi="Arial"/>
            <w:sz w:val="21"/>
          </w:rPr>
          <w:t>OECD Integrity Review of Brazil 2025</w:t>
        </w:r>
      </w:hyperlink>
      <w:r>
        <w:rPr>
          <w:rFonts w:ascii="Arial" w:hAnsi="Arial"/>
          <w:b w:val="0"/>
          <w:i w:val="0"/>
          <w:color w:val="1E242A"/>
          <w:sz w:val="21"/>
        </w:rPr>
        <w:t xml:space="preserve"> identifies coordination overlap, uneven implementation and whistleblower concerns. These institutions can independently generate politically significant findings that the President cannot terminate.</w:t>
      </w:r>
    </w:p>
    <w:p>
      <w:r>
        <w:rPr>
          <w:rFonts w:ascii="Arial" w:hAnsi="Arial"/>
          <w:b w:val="0"/>
          <w:i w:val="0"/>
          <w:color w:val="1E242A"/>
          <w:sz w:val="21"/>
        </w:rPr>
        <w:t xml:space="preserve">Brazil lacks a comprehensive dedicated lobbying statute. </w:t>
      </w:r>
      <w:hyperlink r:id="rId138">
        <w:r>
          <w:rPr>
            <w:color w:val="2C5F80"/>
            <w:u w:val="single"/>
            <w:rFonts w:ascii="Arial" w:hAnsi="Arial"/>
            <w:sz w:val="21"/>
          </w:rPr>
          <w:t>Decree 10,889 and the e-Agendas regime</w:t>
        </w:r>
      </w:hyperlink>
      <w:r>
        <w:rPr>
          <w:rFonts w:ascii="Arial" w:hAnsi="Arial"/>
          <w:b w:val="0"/>
          <w:i w:val="0"/>
          <w:color w:val="1E242A"/>
          <w:sz w:val="21"/>
        </w:rPr>
        <w:t>, together with conflict-of-interest law, require disclosure for specified meetings, gifts and agendas. Lawful petition, expertise and access are not corruption; opacity and unequal access are governance risks.</w:t>
      </w:r>
    </w:p>
    <w:p>
      <w:pPr>
        <w:pStyle w:val="Heading1"/>
      </w:pPr>
      <w:r>
        <w:rPr>
          <w:rFonts w:ascii="Arial" w:hAnsi="Arial"/>
          <w:b w:val="0"/>
          <w:i w:val="0"/>
          <w:color w:val="183752"/>
          <w:sz w:val="34"/>
        </w:rPr>
        <w:t>17 Cabinet politics and presidential leadership</w:t>
      </w:r>
    </w:p>
    <w:p>
      <w:r>
        <w:rPr>
          <w:rFonts w:ascii="Arial" w:hAnsi="Arial"/>
          <w:b w:val="0"/>
          <w:i w:val="0"/>
          <w:color w:val="1E242A"/>
          <w:sz w:val="21"/>
        </w:rPr>
        <w:t>The cabinet is both an implementation system and a coalition arrangement. Political ministers may contribute legislative and regional networks; technocratic ministers may contribute expertise and credibility; many combine both. Casa Civil coordinates presidential priorities and interministerial work, while Finance, Planning, Justice and sector ministries can disagree over fiscal space, sequencing, legality and policy ownership.</w:t>
      </w:r>
    </w:p>
    <w:p>
      <w:r>
        <w:rPr>
          <w:rFonts w:ascii="Arial" w:hAnsi="Arial"/>
          <w:b w:val="0"/>
          <w:i w:val="0"/>
          <w:color w:val="1E242A"/>
          <w:sz w:val="21"/>
        </w:rPr>
        <w:t xml:space="preserve">Ministers have bounded autonomy. They can develop proposals, negotiate with Congress, build stakeholder alliances, publicly disagree, mishandle implementation or become scandal targets. Coalition partners also monitor one another: research on </w:t>
      </w:r>
      <w:hyperlink r:id="rId139">
        <w:r>
          <w:rPr>
            <w:color w:val="2C5F80"/>
            <w:u w:val="single"/>
            <w:rFonts w:ascii="Arial" w:hAnsi="Arial"/>
            <w:sz w:val="21"/>
          </w:rPr>
          <w:t>information requests and ministerial survival</w:t>
        </w:r>
      </w:hyperlink>
      <w:r>
        <w:rPr>
          <w:rFonts w:ascii="Arial" w:hAnsi="Arial"/>
          <w:b w:val="0"/>
          <w:i w:val="0"/>
          <w:color w:val="1E242A"/>
          <w:sz w:val="21"/>
        </w:rPr>
        <w:t xml:space="preserve"> shows oversight can be intra-coalition governance rather than only opposition attack.</w:t>
      </w:r>
    </w:p>
    <w:p>
      <w:r>
        <w:rPr>
          <w:rFonts w:ascii="Arial" w:hAnsi="Arial"/>
          <w:b/>
          <w:i w:val="0"/>
          <w:color w:val="1E242A"/>
          <w:sz w:val="21"/>
        </w:rPr>
        <w:t>GOVERNMENT ACTION INSTRUMENT.</w:t>
      </w:r>
      <w:r>
        <w:rPr>
          <w:rFonts w:ascii="Arial" w:hAnsi="Arial"/>
          <w:b w:val="0"/>
          <w:i w:val="0"/>
          <w:color w:val="1E242A"/>
          <w:sz w:val="21"/>
        </w:rPr>
        <w:t xml:space="preserve"> A President can set collective priorities; use Casa Civil and political coordination; resolve ministerial conflict; change mandates; require joint proposals; defend, reprimand or dismiss a minister; and rebalance coalition representation. Reshuffles can improve capacity or policy alignment, satisfy or offend parties, signal weakness or renewal and change media narrative. Their effect depends on the identity and value of the office, not the number of replacements.</w:t>
      </w:r>
    </w:p>
    <w:p>
      <w:pPr>
        <w:pStyle w:val="Heading1"/>
      </w:pPr>
      <w:r>
        <w:rPr>
          <w:rFonts w:ascii="Arial" w:hAnsi="Arial"/>
          <w:b w:val="0"/>
          <w:i w:val="0"/>
          <w:color w:val="183752"/>
          <w:sz w:val="34"/>
        </w:rPr>
        <w:t>18 Presidential strategies defeat recovery and veto politics</w:t>
      </w:r>
    </w:p>
    <w:p>
      <w:r>
        <w:rPr>
          <w:rFonts w:ascii="Arial" w:hAnsi="Arial"/>
          <w:b w:val="0"/>
          <w:i w:val="0"/>
          <w:color w:val="1E242A"/>
          <w:sz w:val="21"/>
        </w:rPr>
        <w:t>There is no universally superior strategy. Broad coalitions increase nominal seat coverage but raise policy heterogeneity and monitoring costs. Narrow ideological coalitions improve coherence but require outside votes. Direct public mobilisation can raise issue salience but may harden congressional resistance. Leadership negotiation lowers transaction costs but increases chamber leaders' leverage. Public confrontation can clarify responsibility or create institutional escalation.</w:t>
      </w:r>
    </w:p>
    <w:p>
      <w:r>
        <w:rPr>
          <w:rFonts w:ascii="Arial" w:hAnsi="Arial"/>
          <w:b w:val="0"/>
          <w:i w:val="0"/>
          <w:color w:val="1E242A"/>
          <w:sz w:val="21"/>
        </w:rPr>
        <w:t>After a defeat, the government may renegotiate text, change rapporteur or committee route where rules allow, withdraw or postpone, resubmit later, narrow the proposal, shift to a lawful administrative instrument, repair coalition relationships, reshuffle or accept loss. Repeated defeats matter because leaders and allies update beliefs about presidential capacity. “Political capital” should be unpacked into observable agenda access, vote cohesion, defections and commitment credibility.</w:t>
      </w:r>
    </w:p>
    <w:p>
      <w:r>
        <w:rPr>
          <w:rFonts w:ascii="Arial" w:hAnsi="Arial"/>
          <w:b/>
          <w:i w:val="0"/>
          <w:color w:val="1E242A"/>
          <w:sz w:val="21"/>
        </w:rPr>
        <w:t>Veto politics.</w:t>
      </w:r>
      <w:r>
        <w:rPr>
          <w:rFonts w:ascii="Arial" w:hAnsi="Arial"/>
          <w:b w:val="0"/>
          <w:i w:val="0"/>
          <w:color w:val="1E242A"/>
          <w:sz w:val="21"/>
        </w:rPr>
        <w:t xml:space="preserve"> Constitution article 66 permits total or article-level partial veto for unconstitutionality or public interest within fifteen working days. Congress can override by absolute majorities in both houses. Partial veto can remove coalition-fracturing amendments and reopen negotiation, but an override campaign is an independent final stage of lawmaking. Sanction or veto is presidential altitude; technical consultation and vote counting can be delegated.</w:t>
      </w:r>
    </w:p>
    <w:p>
      <w:r>
        <w:rPr>
          <w:rFonts w:ascii="Arial" w:hAnsi="Arial"/>
          <w:b w:val="0"/>
          <w:i w:val="0"/>
          <w:color w:val="1E242A"/>
          <w:sz w:val="21"/>
        </w:rPr>
        <w:t>Congress-originated bills most likely to become major decisions include fiscally consequential measures, sector privileges, criminal and social policy, institutional reform, symbolic moral issues, regulation opposed by organised interests and measures with a credible override coalition.</w:t>
      </w:r>
    </w:p>
    <w:p>
      <w:pPr>
        <w:pStyle w:val="Heading1"/>
      </w:pPr>
      <w:r>
        <w:rPr>
          <w:rFonts w:ascii="Arial" w:hAnsi="Arial"/>
          <w:b w:val="0"/>
          <w:i w:val="0"/>
          <w:color w:val="183752"/>
          <w:sz w:val="34"/>
        </w:rPr>
        <w:t>19 Impeachment and presidential survival</w:t>
      </w:r>
    </w:p>
    <w:p>
      <w:r>
        <w:rPr>
          <w:rFonts w:ascii="Arial" w:hAnsi="Arial"/>
          <w:b/>
          <w:i w:val="0"/>
          <w:color w:val="1E242A"/>
          <w:sz w:val="21"/>
        </w:rPr>
        <w:t>FORMAL RULE.</w:t>
      </w:r>
      <w:r>
        <w:rPr>
          <w:rFonts w:ascii="Arial" w:hAnsi="Arial"/>
          <w:b w:val="0"/>
          <w:i w:val="0"/>
          <w:color w:val="1E242A"/>
          <w:sz w:val="21"/>
        </w:rPr>
        <w:t xml:space="preserve"> The Chamber authorises a presidential crimes-of-responsibility proceeding by two thirds, and the Senate tries it under the Constitution and </w:t>
      </w:r>
      <w:hyperlink r:id="rId140">
        <w:r>
          <w:rPr>
            <w:color w:val="2C5F80"/>
            <w:u w:val="single"/>
            <w:rFonts w:ascii="Arial" w:hAnsi="Arial"/>
            <w:sz w:val="21"/>
          </w:rPr>
          <w:t>Law 1,079 of 1950</w:t>
        </w:r>
      </w:hyperlink>
      <w:r>
        <w:rPr>
          <w:rFonts w:ascii="Arial" w:hAnsi="Arial"/>
          <w:b w:val="0"/>
          <w:i w:val="0"/>
          <w:color w:val="1E242A"/>
          <w:sz w:val="21"/>
        </w:rPr>
        <w:t>. The Chamber President's handling of petitions is a decisive political gate; the exact legal bounds of delay or rejection remain contested.</w:t>
      </w:r>
    </w:p>
    <w:p>
      <w:r>
        <w:rPr>
          <w:rFonts w:ascii="Arial" w:hAnsi="Arial"/>
          <w:b/>
          <w:i w:val="0"/>
          <w:color w:val="1E242A"/>
          <w:sz w:val="21"/>
        </w:rPr>
        <w:t>HISTORICAL EXPERIENCE.</w:t>
      </w:r>
      <w:r>
        <w:rPr>
          <w:rFonts w:ascii="Arial" w:hAnsi="Arial"/>
          <w:b w:val="0"/>
          <w:i w:val="0"/>
          <w:color w:val="1E242A"/>
          <w:sz w:val="21"/>
        </w:rPr>
        <w:t xml:space="preserve"> Collor and Dilma demonstrate convergence, not a simple trigger: legally framed allegations, evidence, Speaker and elite coordination, coalition erosion, economic adversity, media attention and street mobilisation combined to make supermajorities plausible. </w:t>
      </w:r>
      <w:hyperlink r:id="rId141">
        <w:r>
          <w:rPr>
            <w:color w:val="2C5F80"/>
            <w:u w:val="single"/>
            <w:rFonts w:ascii="Arial" w:hAnsi="Arial"/>
            <w:sz w:val="21"/>
          </w:rPr>
          <w:t>Research comparing the episodes</w:t>
        </w:r>
      </w:hyperlink>
      <w:r>
        <w:rPr>
          <w:rFonts w:ascii="Arial" w:hAnsi="Arial"/>
          <w:b w:val="0"/>
          <w:i w:val="0"/>
          <w:color w:val="1E242A"/>
          <w:sz w:val="21"/>
        </w:rPr>
        <w:t xml:space="preserve"> shows both common elements and differences. Dilma's impeachment remains contested over legal interpretation and democratic meaning; the report does not silently choose a political verdict.</w:t>
      </w:r>
    </w:p>
    <w:p>
      <w:r>
        <w:rPr>
          <w:rFonts w:ascii="Arial" w:hAnsi="Arial"/>
          <w:b w:val="0"/>
          <w:i w:val="0"/>
          <w:color w:val="1E242A"/>
          <w:sz w:val="21"/>
        </w:rPr>
        <w:t>Most petitions go nowhere because the Speaker does not advance them, the allegation lacks support, coalition parties remain aligned or no two-thirds majority emerges. Low approval increases vulnerability but is neither a constitutional offence nor an automatic removal mechanism. The President cannot lawfully stop Congress by command; survival strategy operates through legal defence, coalition rebuilding, Speaker relations, public legitimacy and continued governing capacity.</w:t>
      </w:r>
    </w:p>
    <w:p>
      <w:pPr>
        <w:pStyle w:val="Heading1"/>
      </w:pPr>
      <w:r>
        <w:rPr>
          <w:rFonts w:ascii="Arial" w:hAnsi="Arial"/>
          <w:b w:val="0"/>
          <w:i w:val="0"/>
          <w:color w:val="183752"/>
          <w:sz w:val="34"/>
        </w:rPr>
        <w:t>20 Political memory and implementation</w:t>
      </w:r>
    </w:p>
    <w:p>
      <w:r>
        <w:rPr>
          <w:rFonts w:ascii="Arial" w:hAnsi="Arial"/>
          <w:b w:val="0"/>
          <w:i w:val="0"/>
          <w:color w:val="1E242A"/>
          <w:sz w:val="21"/>
        </w:rPr>
        <w:t>Political actors remember fulfilled and broken commitments, abrupt dismissals, repeated vetoes, public humiliations, cooperation and past electoral competition. Memory is actor-, leader- and issue-specific; turnover can weaken it. A broken budget or portfolio understanding can raise the price of later support or induce demands for public guarantees. This is path dependence, not a universal trust score.</w:t>
      </w:r>
    </w:p>
    <w:p>
      <w:r>
        <w:rPr>
          <w:rFonts w:ascii="Arial" w:hAnsi="Arial"/>
          <w:b w:val="0"/>
          <w:i w:val="0"/>
          <w:color w:val="1E242A"/>
          <w:sz w:val="21"/>
        </w:rPr>
        <w:t>Passing legislation is not the end of politics. Delayed transfers, weak service delivery, cost overruns, regulatory confusion, procurement failure, security deterioration or federal-state conflict can reverse credit and reactivate Congress, courts, media and organised interests. Successful visible delivery can strengthen allied claims, gubernatorial cooperation and approval. Causation is clearest where voters and organisations can attribute responsibility; fragmented implementation often blurs credit.</w:t>
      </w:r>
    </w:p>
    <w:p>
      <w:r>
        <w:rPr>
          <w:rFonts w:ascii="Arial" w:hAnsi="Arial"/>
          <w:b w:val="0"/>
          <w:i w:val="0"/>
          <w:color w:val="1E242A"/>
          <w:sz w:val="21"/>
        </w:rPr>
        <w:t>Economic conditions generate political demands for tax relief, subsidies, credit, administered-price changes, wage response, social protection and pressure on Petrobras or the autonomous Central Bank. Security becomes national when it crosses states, implicates federal jurisdiction, produces sustained media salience, drives coordinated governor demands or symbolises government competence. Passes 2 and 3 should supply the policy and security machinery; this pass supplies the political transmission.</w:t>
      </w:r>
    </w:p>
    <w:p>
      <w:pPr>
        <w:pStyle w:val="Heading1"/>
      </w:pPr>
      <w:r>
        <w:rPr>
          <w:rFonts w:ascii="Arial" w:hAnsi="Arial"/>
          <w:b w:val="0"/>
          <w:i w:val="0"/>
          <w:color w:val="183752"/>
          <w:sz w:val="34"/>
        </w:rPr>
        <w:t>21 Independent political activity and presidential agenda generation</w:t>
      </w:r>
    </w:p>
    <w:tbl>
      <w:tblPr>
        <w:tblW w:type="dxa" w:w="9360"/>
        <w:jc w:val="center"/>
        <w:tblLayout w:type="fixed"/>
        <w:tblLook w:firstColumn="1" w:firstRow="1" w:lastColumn="0" w:lastRow="0" w:noHBand="0" w:noVBand="1" w:val="04A0"/>
        <w:tblInd w:type="dxa" w:w="120"/>
      </w:tblPr>
      <w:tblGrid>
        <w:gridCol w:w="1152"/>
        <w:gridCol w:w="2376"/>
        <w:gridCol w:w="3096"/>
        <w:gridCol w:w="2736"/>
      </w:tblGrid>
      <w:tr>
        <w:trPr>
          <w:tblHeader w:val="true"/>
          <w:cantSplit/>
        </w:trPr>
        <w:tc>
          <w:tcPr>
            <w:tcW w:type="dxa" w:w="1152"/>
            <w:vAlign w:val="top"/>
            <w:shd w:fill="EAF1F5"/>
          </w:tcPr>
          <w:p>
            <w:r/>
            <w:r>
              <w:rPr>
                <w:rFonts w:ascii="Arial" w:hAnsi="Arial"/>
                <w:b w:val="0"/>
                <w:i w:val="0"/>
                <w:color w:val="183752"/>
                <w:sz w:val="16"/>
              </w:rPr>
              <w:t>Originator</w:t>
            </w:r>
          </w:p>
        </w:tc>
        <w:tc>
          <w:tcPr>
            <w:tcW w:type="dxa" w:w="2376"/>
            <w:vAlign w:val="top"/>
            <w:shd w:fill="EAF1F5"/>
          </w:tcPr>
          <w:p>
            <w:r/>
            <w:r>
              <w:rPr>
                <w:rFonts w:ascii="Arial" w:hAnsi="Arial"/>
                <w:b w:val="0"/>
                <w:i w:val="0"/>
                <w:color w:val="183752"/>
                <w:sz w:val="16"/>
              </w:rPr>
              <w:t>Independent development</w:t>
            </w:r>
          </w:p>
        </w:tc>
        <w:tc>
          <w:tcPr>
            <w:tcW w:type="dxa" w:w="3096"/>
            <w:vAlign w:val="top"/>
            <w:shd w:fill="EAF1F5"/>
          </w:tcPr>
          <w:p>
            <w:r/>
            <w:r>
              <w:rPr>
                <w:rFonts w:ascii="Arial" w:hAnsi="Arial"/>
                <w:b w:val="0"/>
                <w:i w:val="0"/>
                <w:color w:val="183752"/>
                <w:sz w:val="16"/>
              </w:rPr>
              <w:t>Conditions increasing significance</w:t>
            </w:r>
          </w:p>
        </w:tc>
        <w:tc>
          <w:tcPr>
            <w:tcW w:type="dxa" w:w="2736"/>
            <w:vAlign w:val="top"/>
            <w:shd w:fill="EAF1F5"/>
          </w:tcPr>
          <w:p>
            <w:r/>
            <w:r>
              <w:rPr>
                <w:rFonts w:ascii="Arial" w:hAnsi="Arial"/>
                <w:b w:val="0"/>
                <w:i w:val="0"/>
                <w:color w:val="183752"/>
                <w:sz w:val="16"/>
              </w:rPr>
              <w:t>Presidential response</w:t>
            </w:r>
          </w:p>
        </w:tc>
      </w:tr>
      <w:tr>
        <w:trPr>
          <w:cantSplit/>
        </w:trPr>
        <w:tc>
          <w:tcPr>
            <w:tcW w:type="dxa" w:w="1152"/>
            <w:vAlign w:val="top"/>
          </w:tcPr>
          <w:p>
            <w:r/>
            <w:r>
              <w:rPr>
                <w:rFonts w:ascii="Arial" w:hAnsi="Arial"/>
                <w:b w:val="0"/>
                <w:i w:val="0"/>
                <w:color w:val="1E242A"/>
                <w:sz w:val="16"/>
              </w:rPr>
              <w:t>Chamber or Senate leadership</w:t>
            </w:r>
          </w:p>
        </w:tc>
        <w:tc>
          <w:tcPr>
            <w:tcW w:type="dxa" w:w="2376"/>
            <w:vAlign w:val="top"/>
          </w:tcPr>
          <w:p>
            <w:r/>
            <w:r>
              <w:rPr>
                <w:rFonts w:ascii="Arial" w:hAnsi="Arial"/>
                <w:b w:val="0"/>
                <w:i w:val="0"/>
                <w:color w:val="1E242A"/>
                <w:sz w:val="16"/>
              </w:rPr>
              <w:t>Bill, agenda shift, veto session, confirmation delay, investigation or hostile procedure</w:t>
            </w:r>
          </w:p>
        </w:tc>
        <w:tc>
          <w:tcPr>
            <w:tcW w:type="dxa" w:w="3096"/>
            <w:vAlign w:val="top"/>
          </w:tcPr>
          <w:p>
            <w:r/>
            <w:r>
              <w:rPr>
                <w:rFonts w:ascii="Arial" w:hAnsi="Arial"/>
                <w:b w:val="0"/>
                <w:i w:val="0"/>
                <w:color w:val="1E242A"/>
                <w:sz w:val="16"/>
              </w:rPr>
              <w:t>Leader coalition, public salience, presidential weakness</w:t>
            </w:r>
          </w:p>
        </w:tc>
        <w:tc>
          <w:tcPr>
            <w:tcW w:type="dxa" w:w="2736"/>
            <w:vAlign w:val="top"/>
          </w:tcPr>
          <w:p>
            <w:r/>
            <w:r>
              <w:rPr>
                <w:rFonts w:ascii="Arial" w:hAnsi="Arial"/>
                <w:b w:val="0"/>
                <w:i w:val="0"/>
                <w:color w:val="1E242A"/>
                <w:sz w:val="16"/>
              </w:rPr>
              <w:t>Must act on enacted bill or formal process; may negotiate; cannot command agenda</w:t>
            </w:r>
          </w:p>
        </w:tc>
      </w:tr>
      <w:tr>
        <w:trPr>
          <w:cantSplit/>
        </w:trPr>
        <w:tc>
          <w:tcPr>
            <w:tcW w:type="dxa" w:w="1152"/>
            <w:vAlign w:val="top"/>
          </w:tcPr>
          <w:p>
            <w:r/>
            <w:r>
              <w:rPr>
                <w:rFonts w:ascii="Arial" w:hAnsi="Arial"/>
                <w:b w:val="0"/>
                <w:i w:val="0"/>
                <w:color w:val="1E242A"/>
                <w:sz w:val="16"/>
              </w:rPr>
              <w:t>Coalition party</w:t>
            </w:r>
          </w:p>
        </w:tc>
        <w:tc>
          <w:tcPr>
            <w:tcW w:type="dxa" w:w="2376"/>
            <w:vAlign w:val="top"/>
          </w:tcPr>
          <w:p>
            <w:r/>
            <w:r>
              <w:rPr>
                <w:rFonts w:ascii="Arial" w:hAnsi="Arial"/>
                <w:b w:val="0"/>
                <w:i w:val="0"/>
                <w:color w:val="1E242A"/>
                <w:sz w:val="16"/>
              </w:rPr>
              <w:t>Policy, office or regional demand; dissent or withdrawal threat</w:t>
            </w:r>
          </w:p>
        </w:tc>
        <w:tc>
          <w:tcPr>
            <w:tcW w:type="dxa" w:w="3096"/>
            <w:vAlign w:val="top"/>
          </w:tcPr>
          <w:p>
            <w:r/>
            <w:r>
              <w:rPr>
                <w:rFonts w:ascii="Arial" w:hAnsi="Arial"/>
                <w:b w:val="0"/>
                <w:i w:val="0"/>
                <w:color w:val="1E242A"/>
                <w:sz w:val="16"/>
              </w:rPr>
              <w:t>Electoral cost, unfulfilled bargain, leadership unity</w:t>
            </w:r>
          </w:p>
        </w:tc>
        <w:tc>
          <w:tcPr>
            <w:tcW w:type="dxa" w:w="2736"/>
            <w:vAlign w:val="top"/>
          </w:tcPr>
          <w:p>
            <w:r/>
            <w:r>
              <w:rPr>
                <w:rFonts w:ascii="Arial" w:hAnsi="Arial"/>
                <w:b w:val="0"/>
                <w:i w:val="0"/>
                <w:color w:val="1E242A"/>
                <w:sz w:val="16"/>
              </w:rPr>
              <w:t>May concede, renegotiate, reshuffle or accept defection</w:t>
            </w:r>
          </w:p>
        </w:tc>
      </w:tr>
      <w:tr>
        <w:trPr>
          <w:cantSplit/>
        </w:trPr>
        <w:tc>
          <w:tcPr>
            <w:tcW w:type="dxa" w:w="1152"/>
            <w:vAlign w:val="top"/>
          </w:tcPr>
          <w:p>
            <w:r/>
            <w:r>
              <w:rPr>
                <w:rFonts w:ascii="Arial" w:hAnsi="Arial"/>
                <w:b w:val="0"/>
                <w:i w:val="0"/>
                <w:color w:val="1E242A"/>
                <w:sz w:val="16"/>
              </w:rPr>
              <w:t>Opposition</w:t>
            </w:r>
          </w:p>
        </w:tc>
        <w:tc>
          <w:tcPr>
            <w:tcW w:type="dxa" w:w="2376"/>
            <w:vAlign w:val="top"/>
          </w:tcPr>
          <w:p>
            <w:r/>
            <w:r>
              <w:rPr>
                <w:rFonts w:ascii="Arial" w:hAnsi="Arial"/>
                <w:b w:val="0"/>
                <w:i w:val="0"/>
                <w:color w:val="1E242A"/>
                <w:sz w:val="16"/>
              </w:rPr>
              <w:t>Alternative agenda, investigation, protest alliance or impeachment campaign</w:t>
            </w:r>
          </w:p>
        </w:tc>
        <w:tc>
          <w:tcPr>
            <w:tcW w:type="dxa" w:w="3096"/>
            <w:vAlign w:val="top"/>
          </w:tcPr>
          <w:p>
            <w:r/>
            <w:r>
              <w:rPr>
                <w:rFonts w:ascii="Arial" w:hAnsi="Arial"/>
                <w:b w:val="0"/>
                <w:i w:val="0"/>
                <w:color w:val="1E242A"/>
                <w:sz w:val="16"/>
              </w:rPr>
              <w:t>Credible evidence, media uptake, coalition cracks</w:t>
            </w:r>
          </w:p>
        </w:tc>
        <w:tc>
          <w:tcPr>
            <w:tcW w:type="dxa" w:w="2736"/>
            <w:vAlign w:val="top"/>
          </w:tcPr>
          <w:p>
            <w:r/>
            <w:r>
              <w:rPr>
                <w:rFonts w:ascii="Arial" w:hAnsi="Arial"/>
                <w:b w:val="0"/>
                <w:i w:val="0"/>
                <w:color w:val="1E242A"/>
                <w:sz w:val="16"/>
              </w:rPr>
              <w:t>May rebut, cooperate institutionally or change strategy; cannot suppress lawful opposition</w:t>
            </w:r>
          </w:p>
        </w:tc>
      </w:tr>
      <w:tr>
        <w:trPr>
          <w:cantSplit/>
        </w:trPr>
        <w:tc>
          <w:tcPr>
            <w:tcW w:type="dxa" w:w="1152"/>
            <w:vAlign w:val="top"/>
          </w:tcPr>
          <w:p>
            <w:r/>
            <w:r>
              <w:rPr>
                <w:rFonts w:ascii="Arial" w:hAnsi="Arial"/>
                <w:b w:val="0"/>
                <w:i w:val="0"/>
                <w:color w:val="1E242A"/>
                <w:sz w:val="16"/>
              </w:rPr>
              <w:t>Governor</w:t>
            </w:r>
          </w:p>
        </w:tc>
        <w:tc>
          <w:tcPr>
            <w:tcW w:type="dxa" w:w="2376"/>
            <w:vAlign w:val="top"/>
          </w:tcPr>
          <w:p>
            <w:r/>
            <w:r>
              <w:rPr>
                <w:rFonts w:ascii="Arial" w:hAnsi="Arial"/>
                <w:b w:val="0"/>
                <w:i w:val="0"/>
                <w:color w:val="1E242A"/>
                <w:sz w:val="16"/>
              </w:rPr>
              <w:t>Transfer, debt, infrastructure, security or disaster demand; litigation; interstate alliance</w:t>
            </w:r>
          </w:p>
        </w:tc>
        <w:tc>
          <w:tcPr>
            <w:tcW w:type="dxa" w:w="3096"/>
            <w:vAlign w:val="top"/>
          </w:tcPr>
          <w:p>
            <w:r/>
            <w:r>
              <w:rPr>
                <w:rFonts w:ascii="Arial" w:hAnsi="Arial"/>
                <w:b w:val="0"/>
                <w:i w:val="0"/>
                <w:color w:val="1E242A"/>
                <w:sz w:val="16"/>
              </w:rPr>
              <w:t>State crisis, delegation support, national ambition</w:t>
            </w:r>
          </w:p>
        </w:tc>
        <w:tc>
          <w:tcPr>
            <w:tcW w:type="dxa" w:w="2736"/>
            <w:vAlign w:val="top"/>
          </w:tcPr>
          <w:p>
            <w:r/>
            <w:r>
              <w:rPr>
                <w:rFonts w:ascii="Arial" w:hAnsi="Arial"/>
                <w:b w:val="0"/>
                <w:i w:val="0"/>
                <w:color w:val="1E242A"/>
                <w:sz w:val="16"/>
              </w:rPr>
              <w:t>May negotiate or coordinate; legal duties depend on instrument</w:t>
            </w:r>
          </w:p>
        </w:tc>
      </w:tr>
      <w:tr>
        <w:trPr>
          <w:cantSplit/>
        </w:trPr>
        <w:tc>
          <w:tcPr>
            <w:tcW w:type="dxa" w:w="1152"/>
            <w:vAlign w:val="top"/>
          </w:tcPr>
          <w:p>
            <w:r/>
            <w:r>
              <w:rPr>
                <w:rFonts w:ascii="Arial" w:hAnsi="Arial"/>
                <w:b w:val="0"/>
                <w:i w:val="0"/>
                <w:color w:val="1E242A"/>
                <w:sz w:val="16"/>
              </w:rPr>
              <w:t>Mayor</w:t>
            </w:r>
          </w:p>
        </w:tc>
        <w:tc>
          <w:tcPr>
            <w:tcW w:type="dxa" w:w="2376"/>
            <w:vAlign w:val="top"/>
          </w:tcPr>
          <w:p>
            <w:r/>
            <w:r>
              <w:rPr>
                <w:rFonts w:ascii="Arial" w:hAnsi="Arial"/>
                <w:b w:val="0"/>
                <w:i w:val="0"/>
                <w:color w:val="1E242A"/>
                <w:sz w:val="16"/>
              </w:rPr>
              <w:t>Service and infrastructure demand, metropolitan crisis or electoral mobilisation</w:t>
            </w:r>
          </w:p>
        </w:tc>
        <w:tc>
          <w:tcPr>
            <w:tcW w:type="dxa" w:w="3096"/>
            <w:vAlign w:val="top"/>
          </w:tcPr>
          <w:p>
            <w:r/>
            <w:r>
              <w:rPr>
                <w:rFonts w:ascii="Arial" w:hAnsi="Arial"/>
                <w:b w:val="0"/>
                <w:i w:val="0"/>
                <w:color w:val="1E242A"/>
                <w:sz w:val="16"/>
              </w:rPr>
              <w:t>Major-city scale, network aggregation, visible implementation</w:t>
            </w:r>
          </w:p>
        </w:tc>
        <w:tc>
          <w:tcPr>
            <w:tcW w:type="dxa" w:w="2736"/>
            <w:vAlign w:val="top"/>
          </w:tcPr>
          <w:p>
            <w:r/>
            <w:r>
              <w:rPr>
                <w:rFonts w:ascii="Arial" w:hAnsi="Arial"/>
                <w:b w:val="0"/>
                <w:i w:val="0"/>
                <w:color w:val="1E242A"/>
                <w:sz w:val="16"/>
              </w:rPr>
              <w:t>Usually ministerial; rises when national or cross-sectoral</w:t>
            </w:r>
          </w:p>
        </w:tc>
      </w:tr>
      <w:tr>
        <w:trPr>
          <w:cantSplit/>
        </w:trPr>
        <w:tc>
          <w:tcPr>
            <w:tcW w:type="dxa" w:w="1152"/>
            <w:vAlign w:val="top"/>
          </w:tcPr>
          <w:p>
            <w:r/>
            <w:r>
              <w:rPr>
                <w:rFonts w:ascii="Arial" w:hAnsi="Arial"/>
                <w:b w:val="0"/>
                <w:i w:val="0"/>
                <w:color w:val="1E242A"/>
                <w:sz w:val="16"/>
              </w:rPr>
              <w:t>Minister</w:t>
            </w:r>
          </w:p>
        </w:tc>
        <w:tc>
          <w:tcPr>
            <w:tcW w:type="dxa" w:w="2376"/>
            <w:vAlign w:val="top"/>
          </w:tcPr>
          <w:p>
            <w:r/>
            <w:r>
              <w:rPr>
                <w:rFonts w:ascii="Arial" w:hAnsi="Arial"/>
                <w:b w:val="0"/>
                <w:i w:val="0"/>
                <w:color w:val="1E242A"/>
                <w:sz w:val="16"/>
              </w:rPr>
              <w:t>Proposal, disagreement, implementation failure, scandal or resignation threat</w:t>
            </w:r>
          </w:p>
        </w:tc>
        <w:tc>
          <w:tcPr>
            <w:tcW w:type="dxa" w:w="3096"/>
            <w:vAlign w:val="top"/>
          </w:tcPr>
          <w:p>
            <w:r/>
            <w:r>
              <w:rPr>
                <w:rFonts w:ascii="Arial" w:hAnsi="Arial"/>
                <w:b w:val="0"/>
                <w:i w:val="0"/>
                <w:color w:val="1E242A"/>
                <w:sz w:val="16"/>
              </w:rPr>
              <w:t>Portfolio salience and coalition ownership</w:t>
            </w:r>
          </w:p>
        </w:tc>
        <w:tc>
          <w:tcPr>
            <w:tcW w:type="dxa" w:w="2736"/>
            <w:vAlign w:val="top"/>
          </w:tcPr>
          <w:p>
            <w:r/>
            <w:r>
              <w:rPr>
                <w:rFonts w:ascii="Arial" w:hAnsi="Arial"/>
                <w:b w:val="0"/>
                <w:i w:val="0"/>
                <w:color w:val="1E242A"/>
                <w:sz w:val="16"/>
              </w:rPr>
              <w:t>President may direct, defend, discipline or dismiss within law</w:t>
            </w:r>
          </w:p>
        </w:tc>
      </w:tr>
      <w:tr>
        <w:trPr>
          <w:cantSplit/>
        </w:trPr>
        <w:tc>
          <w:tcPr>
            <w:tcW w:type="dxa" w:w="1152"/>
            <w:vAlign w:val="top"/>
          </w:tcPr>
          <w:p>
            <w:r/>
            <w:r>
              <w:rPr>
                <w:rFonts w:ascii="Arial" w:hAnsi="Arial"/>
                <w:b w:val="0"/>
                <w:i w:val="0"/>
                <w:color w:val="1E242A"/>
                <w:sz w:val="16"/>
              </w:rPr>
              <w:t>Union</w:t>
            </w:r>
          </w:p>
        </w:tc>
        <w:tc>
          <w:tcPr>
            <w:tcW w:type="dxa" w:w="2376"/>
            <w:vAlign w:val="top"/>
          </w:tcPr>
          <w:p>
            <w:r/>
            <w:r>
              <w:rPr>
                <w:rFonts w:ascii="Arial" w:hAnsi="Arial"/>
                <w:b w:val="0"/>
                <w:i w:val="0"/>
                <w:color w:val="1E242A"/>
                <w:sz w:val="16"/>
              </w:rPr>
              <w:t>Strike, bargaining campaign, litigation or reform resistance</w:t>
            </w:r>
          </w:p>
        </w:tc>
        <w:tc>
          <w:tcPr>
            <w:tcW w:type="dxa" w:w="3096"/>
            <w:vAlign w:val="top"/>
          </w:tcPr>
          <w:p>
            <w:r/>
            <w:r>
              <w:rPr>
                <w:rFonts w:ascii="Arial" w:hAnsi="Arial"/>
                <w:b w:val="0"/>
                <w:i w:val="0"/>
                <w:color w:val="1E242A"/>
                <w:sz w:val="16"/>
              </w:rPr>
              <w:t>Strategic sector, service disruption, cross-union coordination</w:t>
            </w:r>
          </w:p>
        </w:tc>
        <w:tc>
          <w:tcPr>
            <w:tcW w:type="dxa" w:w="2736"/>
            <w:vAlign w:val="top"/>
          </w:tcPr>
          <w:p>
            <w:r/>
            <w:r>
              <w:rPr>
                <w:rFonts w:ascii="Arial" w:hAnsi="Arial"/>
                <w:b w:val="0"/>
                <w:i w:val="0"/>
                <w:color w:val="1E242A"/>
                <w:sz w:val="16"/>
              </w:rPr>
              <w:t>May negotiate through ministries; cannot order a lawful movement to dissolve</w:t>
            </w:r>
          </w:p>
        </w:tc>
      </w:tr>
      <w:tr>
        <w:trPr>
          <w:cantSplit/>
        </w:trPr>
        <w:tc>
          <w:tcPr>
            <w:tcW w:type="dxa" w:w="1152"/>
            <w:vAlign w:val="top"/>
          </w:tcPr>
          <w:p>
            <w:r/>
            <w:r>
              <w:rPr>
                <w:rFonts w:ascii="Arial" w:hAnsi="Arial"/>
                <w:b w:val="0"/>
                <w:i w:val="0"/>
                <w:color w:val="1E242A"/>
                <w:sz w:val="16"/>
              </w:rPr>
              <w:t>Business or agribusiness</w:t>
            </w:r>
          </w:p>
        </w:tc>
        <w:tc>
          <w:tcPr>
            <w:tcW w:type="dxa" w:w="2376"/>
            <w:vAlign w:val="top"/>
          </w:tcPr>
          <w:p>
            <w:r/>
            <w:r>
              <w:rPr>
                <w:rFonts w:ascii="Arial" w:hAnsi="Arial"/>
                <w:b w:val="0"/>
                <w:i w:val="0"/>
                <w:color w:val="1E242A"/>
                <w:sz w:val="16"/>
              </w:rPr>
              <w:t>Legislative agenda, lobbying, investment signal, veto campaign or litigation</w:t>
            </w:r>
          </w:p>
        </w:tc>
        <w:tc>
          <w:tcPr>
            <w:tcW w:type="dxa" w:w="3096"/>
            <w:vAlign w:val="top"/>
          </w:tcPr>
          <w:p>
            <w:r/>
            <w:r>
              <w:rPr>
                <w:rFonts w:ascii="Arial" w:hAnsi="Arial"/>
                <w:b w:val="0"/>
                <w:i w:val="0"/>
                <w:color w:val="1E242A"/>
                <w:sz w:val="16"/>
              </w:rPr>
              <w:t>Specific economic stakes and congressional sponsors</w:t>
            </w:r>
          </w:p>
        </w:tc>
        <w:tc>
          <w:tcPr>
            <w:tcW w:type="dxa" w:w="2736"/>
            <w:vAlign w:val="top"/>
          </w:tcPr>
          <w:p>
            <w:r/>
            <w:r>
              <w:rPr>
                <w:rFonts w:ascii="Arial" w:hAnsi="Arial"/>
                <w:b w:val="0"/>
                <w:i w:val="0"/>
                <w:color w:val="1E242A"/>
                <w:sz w:val="16"/>
              </w:rPr>
              <w:t>May consult, negotiate policy or contest claim</w:t>
            </w:r>
          </w:p>
        </w:tc>
      </w:tr>
      <w:tr>
        <w:trPr>
          <w:cantSplit/>
        </w:trPr>
        <w:tc>
          <w:tcPr>
            <w:tcW w:type="dxa" w:w="1152"/>
            <w:vAlign w:val="top"/>
          </w:tcPr>
          <w:p>
            <w:r/>
            <w:r>
              <w:rPr>
                <w:rFonts w:ascii="Arial" w:hAnsi="Arial"/>
                <w:b w:val="0"/>
                <w:i w:val="0"/>
                <w:color w:val="1E242A"/>
                <w:sz w:val="16"/>
              </w:rPr>
              <w:t>Religious network</w:t>
            </w:r>
          </w:p>
        </w:tc>
        <w:tc>
          <w:tcPr>
            <w:tcW w:type="dxa" w:w="2376"/>
            <w:vAlign w:val="top"/>
          </w:tcPr>
          <w:p>
            <w:r/>
            <w:r>
              <w:rPr>
                <w:rFonts w:ascii="Arial" w:hAnsi="Arial"/>
                <w:b w:val="0"/>
                <w:i w:val="0"/>
                <w:color w:val="1E242A"/>
                <w:sz w:val="16"/>
              </w:rPr>
              <w:t>Candidate support, moral-policy campaign, media mobilisation</w:t>
            </w:r>
          </w:p>
        </w:tc>
        <w:tc>
          <w:tcPr>
            <w:tcW w:type="dxa" w:w="3096"/>
            <w:vAlign w:val="top"/>
          </w:tcPr>
          <w:p>
            <w:r/>
            <w:r>
              <w:rPr>
                <w:rFonts w:ascii="Arial" w:hAnsi="Arial"/>
                <w:b w:val="0"/>
                <w:i w:val="0"/>
                <w:color w:val="1E242A"/>
                <w:sz w:val="16"/>
              </w:rPr>
              <w:t>Organisational reach and cross-party caucus support</w:t>
            </w:r>
          </w:p>
        </w:tc>
        <w:tc>
          <w:tcPr>
            <w:tcW w:type="dxa" w:w="2736"/>
            <w:vAlign w:val="top"/>
          </w:tcPr>
          <w:p>
            <w:r/>
            <w:r>
              <w:rPr>
                <w:rFonts w:ascii="Arial" w:hAnsi="Arial"/>
                <w:b w:val="0"/>
                <w:i w:val="0"/>
                <w:color w:val="1E242A"/>
                <w:sz w:val="16"/>
              </w:rPr>
              <w:t>May engage constitutionally; cannot treat bloc as homogeneous</w:t>
            </w:r>
          </w:p>
        </w:tc>
      </w:tr>
      <w:tr>
        <w:trPr>
          <w:cantSplit/>
        </w:trPr>
        <w:tc>
          <w:tcPr>
            <w:tcW w:type="dxa" w:w="1152"/>
            <w:vAlign w:val="top"/>
          </w:tcPr>
          <w:p>
            <w:r/>
            <w:r>
              <w:rPr>
                <w:rFonts w:ascii="Arial" w:hAnsi="Arial"/>
                <w:b w:val="0"/>
                <w:i w:val="0"/>
                <w:color w:val="1E242A"/>
                <w:sz w:val="16"/>
              </w:rPr>
              <w:t>Movement or civil society</w:t>
            </w:r>
          </w:p>
        </w:tc>
        <w:tc>
          <w:tcPr>
            <w:tcW w:type="dxa" w:w="2376"/>
            <w:vAlign w:val="top"/>
          </w:tcPr>
          <w:p>
            <w:r/>
            <w:r>
              <w:rPr>
                <w:rFonts w:ascii="Arial" w:hAnsi="Arial"/>
                <w:b w:val="0"/>
                <w:i w:val="0"/>
                <w:color w:val="1E242A"/>
                <w:sz w:val="16"/>
              </w:rPr>
              <w:t>Protest, petition, litigation, monitoring or implementation resistance</w:t>
            </w:r>
          </w:p>
        </w:tc>
        <w:tc>
          <w:tcPr>
            <w:tcW w:type="dxa" w:w="3096"/>
            <w:vAlign w:val="top"/>
          </w:tcPr>
          <w:p>
            <w:r/>
            <w:r>
              <w:rPr>
                <w:rFonts w:ascii="Arial" w:hAnsi="Arial"/>
                <w:b w:val="0"/>
                <w:i w:val="0"/>
                <w:color w:val="1E242A"/>
                <w:sz w:val="16"/>
              </w:rPr>
              <w:t>Portable grievance, diffusion, repression images, media and elite uptake</w:t>
            </w:r>
          </w:p>
        </w:tc>
        <w:tc>
          <w:tcPr>
            <w:tcW w:type="dxa" w:w="2736"/>
            <w:vAlign w:val="top"/>
          </w:tcPr>
          <w:p>
            <w:r/>
            <w:r>
              <w:rPr>
                <w:rFonts w:ascii="Arial" w:hAnsi="Arial"/>
                <w:b w:val="0"/>
                <w:i w:val="0"/>
                <w:color w:val="1E242A"/>
                <w:sz w:val="16"/>
              </w:rPr>
              <w:t>May respond politically; rights and subnational authority constrain control</w:t>
            </w:r>
          </w:p>
        </w:tc>
      </w:tr>
      <w:tr>
        <w:trPr>
          <w:cantSplit/>
        </w:trPr>
        <w:tc>
          <w:tcPr>
            <w:tcW w:type="dxa" w:w="1152"/>
            <w:vAlign w:val="top"/>
          </w:tcPr>
          <w:p>
            <w:r/>
            <w:r>
              <w:rPr>
                <w:rFonts w:ascii="Arial" w:hAnsi="Arial"/>
                <w:b w:val="0"/>
                <w:i w:val="0"/>
                <w:color w:val="1E242A"/>
                <w:sz w:val="16"/>
              </w:rPr>
              <w:t>Journalist or media outlet</w:t>
            </w:r>
          </w:p>
        </w:tc>
        <w:tc>
          <w:tcPr>
            <w:tcW w:type="dxa" w:w="2376"/>
            <w:vAlign w:val="top"/>
          </w:tcPr>
          <w:p>
            <w:r/>
            <w:r>
              <w:rPr>
                <w:rFonts w:ascii="Arial" w:hAnsi="Arial"/>
                <w:b w:val="0"/>
                <w:i w:val="0"/>
                <w:color w:val="1E242A"/>
                <w:sz w:val="16"/>
              </w:rPr>
              <w:t>Investigation or national framing of an event</w:t>
            </w:r>
          </w:p>
        </w:tc>
        <w:tc>
          <w:tcPr>
            <w:tcW w:type="dxa" w:w="3096"/>
            <w:vAlign w:val="top"/>
          </w:tcPr>
          <w:p>
            <w:r/>
            <w:r>
              <w:rPr>
                <w:rFonts w:ascii="Arial" w:hAnsi="Arial"/>
                <w:b w:val="0"/>
                <w:i w:val="0"/>
                <w:color w:val="1E242A"/>
                <w:sz w:val="16"/>
              </w:rPr>
              <w:t>Evidence, repetition, elite adoption and institutional follow-up</w:t>
            </w:r>
          </w:p>
        </w:tc>
        <w:tc>
          <w:tcPr>
            <w:tcW w:type="dxa" w:w="2736"/>
            <w:vAlign w:val="top"/>
          </w:tcPr>
          <w:p>
            <w:r/>
            <w:r>
              <w:rPr>
                <w:rFonts w:ascii="Arial" w:hAnsi="Arial"/>
                <w:b w:val="0"/>
                <w:i w:val="0"/>
                <w:color w:val="1E242A"/>
                <w:sz w:val="16"/>
              </w:rPr>
              <w:t>May disclose facts and answer; cannot dictate independent coverage</w:t>
            </w:r>
          </w:p>
        </w:tc>
      </w:tr>
      <w:tr>
        <w:trPr>
          <w:cantSplit/>
        </w:trPr>
        <w:tc>
          <w:tcPr>
            <w:tcW w:type="dxa" w:w="1152"/>
            <w:vAlign w:val="top"/>
          </w:tcPr>
          <w:p>
            <w:r/>
            <w:r>
              <w:rPr>
                <w:rFonts w:ascii="Arial" w:hAnsi="Arial"/>
                <w:b w:val="0"/>
                <w:i w:val="0"/>
                <w:color w:val="1E242A"/>
                <w:sz w:val="16"/>
              </w:rPr>
              <w:t>Digital network or influencer</w:t>
            </w:r>
          </w:p>
        </w:tc>
        <w:tc>
          <w:tcPr>
            <w:tcW w:type="dxa" w:w="2376"/>
            <w:vAlign w:val="top"/>
          </w:tcPr>
          <w:p>
            <w:r/>
            <w:r>
              <w:rPr>
                <w:rFonts w:ascii="Arial" w:hAnsi="Arial"/>
                <w:b w:val="0"/>
                <w:i w:val="0"/>
                <w:color w:val="1E242A"/>
                <w:sz w:val="16"/>
              </w:rPr>
              <w:t>Rapid framing, mobilisation, misinformation or counter-campaign</w:t>
            </w:r>
          </w:p>
        </w:tc>
        <w:tc>
          <w:tcPr>
            <w:tcW w:type="dxa" w:w="3096"/>
            <w:vAlign w:val="top"/>
          </w:tcPr>
          <w:p>
            <w:r/>
            <w:r>
              <w:rPr>
                <w:rFonts w:ascii="Arial" w:hAnsi="Arial"/>
                <w:b w:val="0"/>
                <w:i w:val="0"/>
                <w:color w:val="1E242A"/>
                <w:sz w:val="16"/>
              </w:rPr>
              <w:t>Cross-platform spread, trusted brokers, polarisation</w:t>
            </w:r>
          </w:p>
        </w:tc>
        <w:tc>
          <w:tcPr>
            <w:tcW w:type="dxa" w:w="2736"/>
            <w:vAlign w:val="top"/>
          </w:tcPr>
          <w:p>
            <w:r/>
            <w:r>
              <w:rPr>
                <w:rFonts w:ascii="Arial" w:hAnsi="Arial"/>
                <w:b w:val="0"/>
                <w:i w:val="0"/>
                <w:color w:val="1E242A"/>
                <w:sz w:val="16"/>
              </w:rPr>
              <w:t>Communicate and use lawful oversight; cannot assume causal control</w:t>
            </w:r>
          </w:p>
        </w:tc>
      </w:tr>
      <w:tr>
        <w:trPr>
          <w:cantSplit/>
        </w:trPr>
        <w:tc>
          <w:tcPr>
            <w:tcW w:type="dxa" w:w="1152"/>
            <w:vAlign w:val="top"/>
          </w:tcPr>
          <w:p>
            <w:r/>
            <w:r>
              <w:rPr>
                <w:rFonts w:ascii="Arial" w:hAnsi="Arial"/>
                <w:b w:val="0"/>
                <w:i w:val="0"/>
                <w:color w:val="1E242A"/>
                <w:sz w:val="16"/>
              </w:rPr>
              <w:t>CGU TCU MP police or court</w:t>
            </w:r>
          </w:p>
        </w:tc>
        <w:tc>
          <w:tcPr>
            <w:tcW w:type="dxa" w:w="2376"/>
            <w:vAlign w:val="top"/>
          </w:tcPr>
          <w:p>
            <w:r/>
            <w:r>
              <w:rPr>
                <w:rFonts w:ascii="Arial" w:hAnsi="Arial"/>
                <w:b w:val="0"/>
                <w:i w:val="0"/>
                <w:color w:val="1E242A"/>
                <w:sz w:val="16"/>
              </w:rPr>
              <w:t>Audit, inquiry, charge, judgment or injunction</w:t>
            </w:r>
          </w:p>
        </w:tc>
        <w:tc>
          <w:tcPr>
            <w:tcW w:type="dxa" w:w="3096"/>
            <w:vAlign w:val="top"/>
          </w:tcPr>
          <w:p>
            <w:r/>
            <w:r>
              <w:rPr>
                <w:rFonts w:ascii="Arial" w:hAnsi="Arial"/>
                <w:b w:val="0"/>
                <w:i w:val="0"/>
                <w:color w:val="1E242A"/>
                <w:sz w:val="16"/>
              </w:rPr>
              <w:t>Legal competence and credible evidence</w:t>
            </w:r>
          </w:p>
        </w:tc>
        <w:tc>
          <w:tcPr>
            <w:tcW w:type="dxa" w:w="2736"/>
            <w:vAlign w:val="top"/>
          </w:tcPr>
          <w:p>
            <w:r/>
            <w:r>
              <w:rPr>
                <w:rFonts w:ascii="Arial" w:hAnsi="Arial"/>
                <w:b w:val="0"/>
                <w:i w:val="0"/>
                <w:color w:val="1E242A"/>
                <w:sz w:val="16"/>
              </w:rPr>
              <w:t>Must comply with binding orders; may appeal or reform; cannot direct outcome</w:t>
            </w:r>
          </w:p>
        </w:tc>
      </w:tr>
      <w:tr>
        <w:trPr>
          <w:cantSplit/>
        </w:trPr>
        <w:tc>
          <w:tcPr>
            <w:tcW w:type="dxa" w:w="1152"/>
            <w:vAlign w:val="top"/>
          </w:tcPr>
          <w:p>
            <w:r/>
            <w:r>
              <w:rPr>
                <w:rFonts w:ascii="Arial" w:hAnsi="Arial"/>
                <w:b w:val="0"/>
                <w:i w:val="0"/>
                <w:color w:val="1E242A"/>
                <w:sz w:val="16"/>
              </w:rPr>
              <w:t>Electoral actor or TSE</w:t>
            </w:r>
          </w:p>
        </w:tc>
        <w:tc>
          <w:tcPr>
            <w:tcW w:type="dxa" w:w="2376"/>
            <w:vAlign w:val="top"/>
          </w:tcPr>
          <w:p>
            <w:r/>
            <w:r>
              <w:rPr>
                <w:rFonts w:ascii="Arial" w:hAnsi="Arial"/>
                <w:b w:val="0"/>
                <w:i w:val="0"/>
                <w:color w:val="1E242A"/>
                <w:sz w:val="16"/>
              </w:rPr>
              <w:t>Candidacy, finance, propaganda or platform ruling</w:t>
            </w:r>
          </w:p>
        </w:tc>
        <w:tc>
          <w:tcPr>
            <w:tcW w:type="dxa" w:w="3096"/>
            <w:vAlign w:val="top"/>
          </w:tcPr>
          <w:p>
            <w:r/>
            <w:r>
              <w:rPr>
                <w:rFonts w:ascii="Arial" w:hAnsi="Arial"/>
                <w:b w:val="0"/>
                <w:i w:val="0"/>
                <w:color w:val="1E242A"/>
                <w:sz w:val="16"/>
              </w:rPr>
              <w:t>Election calendar and campaign salience</w:t>
            </w:r>
          </w:p>
        </w:tc>
        <w:tc>
          <w:tcPr>
            <w:tcW w:type="dxa" w:w="2736"/>
            <w:vAlign w:val="top"/>
          </w:tcPr>
          <w:p>
            <w:r/>
            <w:r>
              <w:rPr>
                <w:rFonts w:ascii="Arial" w:hAnsi="Arial"/>
                <w:b w:val="0"/>
                <w:i w:val="0"/>
                <w:color w:val="1E242A"/>
                <w:sz w:val="16"/>
              </w:rPr>
              <w:t>Parties/candidates respond through lawful electoral process</w:t>
            </w:r>
          </w:p>
        </w:tc>
      </w:tr>
    </w:tbl>
    <w:p>
      <w:pPr>
        <w:spacing w:after="40"/>
      </w:pPr>
    </w:p>
    <w:p>
      <w:pPr>
        <w:pStyle w:val="Heading1"/>
      </w:pPr>
      <w:r>
        <w:rPr>
          <w:rFonts w:ascii="Arial" w:hAnsi="Arial"/>
          <w:b w:val="0"/>
          <w:i w:val="0"/>
          <w:color w:val="183752"/>
          <w:sz w:val="34"/>
        </w:rPr>
        <w:t>22 Political actor objectives</w:t>
      </w:r>
    </w:p>
    <w:p>
      <w:pPr>
        <w:pStyle w:val="ListBullet"/>
        <w:numPr>
          <w:ilvl w:val="0"/>
          <w:numId w:val="6"/>
        </w:numPr>
      </w:pPr>
      <w:r>
        <w:rPr>
          <w:rFonts w:ascii="Arial" w:hAnsi="Arial"/>
          <w:b/>
          <w:i w:val="0"/>
          <w:color w:val="1E242A"/>
          <w:sz w:val="20"/>
        </w:rPr>
        <w:t>Coalition parties:</w:t>
      </w:r>
      <w:r>
        <w:rPr>
          <w:rFonts w:ascii="Arial" w:hAnsi="Arial"/>
          <w:b w:val="0"/>
          <w:i w:val="0"/>
          <w:color w:val="1E242A"/>
          <w:sz w:val="20"/>
        </w:rPr>
        <w:t xml:space="preserve"> policy influence, offices, organisational resources, leader power, regional delivery, ideology, electoral differentiation and access to government.</w:t>
      </w:r>
    </w:p>
    <w:p>
      <w:pPr>
        <w:pStyle w:val="ListBullet"/>
        <w:numPr>
          <w:ilvl w:val="0"/>
          <w:numId w:val="6"/>
        </w:numPr>
      </w:pPr>
      <w:r>
        <w:rPr>
          <w:rFonts w:ascii="Arial" w:hAnsi="Arial"/>
          <w:b/>
          <w:i w:val="0"/>
          <w:color w:val="1E242A"/>
          <w:sz w:val="20"/>
        </w:rPr>
        <w:t>Opposition parties:</w:t>
      </w:r>
      <w:r>
        <w:rPr>
          <w:rFonts w:ascii="Arial" w:hAnsi="Arial"/>
          <w:b w:val="0"/>
          <w:i w:val="0"/>
          <w:color w:val="1E242A"/>
          <w:sz w:val="20"/>
        </w:rPr>
        <w:t xml:space="preserve"> policy, accountability, agenda control, government defeat, electoral advantage and future coalition opportunity.</w:t>
      </w:r>
    </w:p>
    <w:p>
      <w:pPr>
        <w:pStyle w:val="ListBullet"/>
        <w:numPr>
          <w:ilvl w:val="0"/>
          <w:numId w:val="6"/>
        </w:numPr>
      </w:pPr>
      <w:r>
        <w:rPr>
          <w:rFonts w:ascii="Arial" w:hAnsi="Arial"/>
          <w:b/>
          <w:i w:val="0"/>
          <w:color w:val="1E242A"/>
          <w:sz w:val="20"/>
        </w:rPr>
        <w:t>Chamber and Senate presidents:</w:t>
      </w:r>
      <w:r>
        <w:rPr>
          <w:rFonts w:ascii="Arial" w:hAnsi="Arial"/>
          <w:b w:val="0"/>
          <w:i w:val="0"/>
          <w:color w:val="1E242A"/>
          <w:sz w:val="20"/>
        </w:rPr>
        <w:t xml:space="preserve"> institutional authority, orderly agenda, coalition leadership, party interests, reputation and possible future office.</w:t>
      </w:r>
    </w:p>
    <w:p>
      <w:pPr>
        <w:pStyle w:val="ListBullet"/>
        <w:numPr>
          <w:ilvl w:val="0"/>
          <w:numId w:val="6"/>
        </w:numPr>
      </w:pPr>
      <w:r>
        <w:rPr>
          <w:rFonts w:ascii="Arial" w:hAnsi="Arial"/>
          <w:b/>
          <w:i w:val="0"/>
          <w:color w:val="1E242A"/>
          <w:sz w:val="20"/>
        </w:rPr>
        <w:t>Legislators and rapporteurs:</w:t>
      </w:r>
      <w:r>
        <w:rPr>
          <w:rFonts w:ascii="Arial" w:hAnsi="Arial"/>
          <w:b w:val="0"/>
          <w:i w:val="0"/>
          <w:color w:val="1E242A"/>
          <w:sz w:val="20"/>
        </w:rPr>
        <w:t xml:space="preserve"> reelection, party position, constituency and sector interests, policy authorship, committee influence and career advancement.</w:t>
      </w:r>
    </w:p>
    <w:p>
      <w:pPr>
        <w:pStyle w:val="ListBullet"/>
        <w:numPr>
          <w:ilvl w:val="0"/>
          <w:numId w:val="6"/>
        </w:numPr>
      </w:pPr>
      <w:r>
        <w:rPr>
          <w:rFonts w:ascii="Arial" w:hAnsi="Arial"/>
          <w:b/>
          <w:i w:val="0"/>
          <w:color w:val="1E242A"/>
          <w:sz w:val="20"/>
        </w:rPr>
        <w:t>Governors:</w:t>
      </w:r>
      <w:r>
        <w:rPr>
          <w:rFonts w:ascii="Arial" w:hAnsi="Arial"/>
          <w:b w:val="0"/>
          <w:i w:val="0"/>
          <w:color w:val="1E242A"/>
          <w:sz w:val="20"/>
        </w:rPr>
        <w:t xml:space="preserve"> state resources, approval, succession, fiscal space, security, infrastructure, delegation influence and national ambition.</w:t>
      </w:r>
    </w:p>
    <w:p>
      <w:pPr>
        <w:pStyle w:val="ListBullet"/>
        <w:numPr>
          <w:ilvl w:val="0"/>
          <w:numId w:val="6"/>
        </w:numPr>
      </w:pPr>
      <w:r>
        <w:rPr>
          <w:rFonts w:ascii="Arial" w:hAnsi="Arial"/>
          <w:b/>
          <w:i w:val="0"/>
          <w:color w:val="1E242A"/>
          <w:sz w:val="20"/>
        </w:rPr>
        <w:t>Mayors:</w:t>
      </w:r>
      <w:r>
        <w:rPr>
          <w:rFonts w:ascii="Arial" w:hAnsi="Arial"/>
          <w:b w:val="0"/>
          <w:i w:val="0"/>
          <w:color w:val="1E242A"/>
          <w:sz w:val="20"/>
        </w:rPr>
        <w:t xml:space="preserve"> service delivery, transfers, urban investment, local coalition, reelection or succession and party network expansion.</w:t>
      </w:r>
    </w:p>
    <w:p>
      <w:pPr>
        <w:pStyle w:val="ListBullet"/>
        <w:numPr>
          <w:ilvl w:val="0"/>
          <w:numId w:val="6"/>
        </w:numPr>
      </w:pPr>
      <w:r>
        <w:rPr>
          <w:rFonts w:ascii="Arial" w:hAnsi="Arial"/>
          <w:b/>
          <w:i w:val="0"/>
          <w:color w:val="1E242A"/>
          <w:sz w:val="20"/>
        </w:rPr>
        <w:t>Ministers:</w:t>
      </w:r>
      <w:r>
        <w:rPr>
          <w:rFonts w:ascii="Arial" w:hAnsi="Arial"/>
          <w:b w:val="0"/>
          <w:i w:val="0"/>
          <w:color w:val="1E242A"/>
          <w:sz w:val="20"/>
        </w:rPr>
        <w:t xml:space="preserve"> policy achievement, administrative control, presidential confidence, party standing, public reputation and future candidacy.</w:t>
      </w:r>
    </w:p>
    <w:p>
      <w:pPr>
        <w:pStyle w:val="ListBullet"/>
        <w:numPr>
          <w:ilvl w:val="0"/>
          <w:numId w:val="6"/>
        </w:numPr>
      </w:pPr>
      <w:r>
        <w:rPr>
          <w:rFonts w:ascii="Arial" w:hAnsi="Arial"/>
          <w:b/>
          <w:i w:val="0"/>
          <w:color w:val="1E242A"/>
          <w:sz w:val="20"/>
        </w:rPr>
        <w:t>Unions:</w:t>
      </w:r>
      <w:r>
        <w:rPr>
          <w:rFonts w:ascii="Arial" w:hAnsi="Arial"/>
          <w:b w:val="0"/>
          <w:i w:val="0"/>
          <w:color w:val="1E242A"/>
          <w:sz w:val="20"/>
        </w:rPr>
        <w:t xml:space="preserve"> wages, pensions, employment protection, bargaining institutions, sector policy and organisational survival.</w:t>
      </w:r>
    </w:p>
    <w:p>
      <w:pPr>
        <w:pStyle w:val="ListBullet"/>
        <w:numPr>
          <w:ilvl w:val="0"/>
          <w:numId w:val="6"/>
        </w:numPr>
      </w:pPr>
      <w:r>
        <w:rPr>
          <w:rFonts w:ascii="Arial" w:hAnsi="Arial"/>
          <w:b/>
          <w:i w:val="0"/>
          <w:color w:val="1E242A"/>
          <w:sz w:val="20"/>
        </w:rPr>
        <w:t>Business associations:</w:t>
      </w:r>
      <w:r>
        <w:rPr>
          <w:rFonts w:ascii="Arial" w:hAnsi="Arial"/>
          <w:b w:val="0"/>
          <w:i w:val="0"/>
          <w:color w:val="1E242A"/>
          <w:sz w:val="20"/>
        </w:rPr>
        <w:t xml:space="preserve"> tax, regulation, credit, trade, infrastructure, labour rules, predictability and sector competitiveness.</w:t>
      </w:r>
    </w:p>
    <w:p>
      <w:pPr>
        <w:pStyle w:val="ListBullet"/>
        <w:numPr>
          <w:ilvl w:val="0"/>
          <w:numId w:val="6"/>
        </w:numPr>
      </w:pPr>
      <w:r>
        <w:rPr>
          <w:rFonts w:ascii="Arial" w:hAnsi="Arial"/>
          <w:b/>
          <w:i w:val="0"/>
          <w:color w:val="1E242A"/>
          <w:sz w:val="20"/>
        </w:rPr>
        <w:t>Religious organisations:</w:t>
      </w:r>
      <w:r>
        <w:rPr>
          <w:rFonts w:ascii="Arial" w:hAnsi="Arial"/>
          <w:b w:val="0"/>
          <w:i w:val="0"/>
          <w:color w:val="1E242A"/>
          <w:sz w:val="20"/>
        </w:rPr>
        <w:t xml:space="preserve"> issue commitments, representation, institutional access, religious freedom, media and social-policy concerns.</w:t>
      </w:r>
    </w:p>
    <w:p>
      <w:pPr>
        <w:pStyle w:val="ListBullet"/>
        <w:numPr>
          <w:ilvl w:val="0"/>
          <w:numId w:val="6"/>
        </w:numPr>
      </w:pPr>
      <w:r>
        <w:rPr>
          <w:rFonts w:ascii="Arial" w:hAnsi="Arial"/>
          <w:b/>
          <w:i w:val="0"/>
          <w:color w:val="1E242A"/>
          <w:sz w:val="20"/>
        </w:rPr>
        <w:t>Movements and civil society:</w:t>
      </w:r>
      <w:r>
        <w:rPr>
          <w:rFonts w:ascii="Arial" w:hAnsi="Arial"/>
          <w:b w:val="0"/>
          <w:i w:val="0"/>
          <w:color w:val="1E242A"/>
          <w:sz w:val="20"/>
        </w:rPr>
        <w:t xml:space="preserve"> policy change, recognition, rights protection, participation, accountability and organisational continuity.</w:t>
      </w:r>
    </w:p>
    <w:p>
      <w:pPr>
        <w:pStyle w:val="ListBullet"/>
        <w:numPr>
          <w:ilvl w:val="0"/>
          <w:numId w:val="6"/>
        </w:numPr>
      </w:pPr>
      <w:r>
        <w:rPr>
          <w:rFonts w:ascii="Arial" w:hAnsi="Arial"/>
          <w:b/>
          <w:i w:val="0"/>
          <w:color w:val="1E242A"/>
          <w:sz w:val="20"/>
        </w:rPr>
        <w:t>Media organisations and journalists:</w:t>
      </w:r>
      <w:r>
        <w:rPr>
          <w:rFonts w:ascii="Arial" w:hAnsi="Arial"/>
          <w:b w:val="0"/>
          <w:i w:val="0"/>
          <w:color w:val="1E242A"/>
          <w:sz w:val="20"/>
        </w:rPr>
        <w:t xml:space="preserve"> audience, verification, editorial agenda, institutional access, commercial viability and professional reputation; these objectives can conflict.</w:t>
      </w:r>
    </w:p>
    <w:p>
      <w:r>
        <w:rPr>
          <w:rFonts w:ascii="Arial" w:hAnsi="Arial"/>
          <w:b w:val="0"/>
          <w:i w:val="0"/>
          <w:color w:val="1E242A"/>
          <w:sz w:val="21"/>
        </w:rPr>
        <w:t>Objectives are evidence-supported possibilities, not numerical utilities. Actors can pursue several at once and internal factions may disagree.</w:t>
      </w:r>
    </w:p>
    <w:p>
      <w:pPr>
        <w:pStyle w:val="Heading1"/>
      </w:pPr>
      <w:r>
        <w:rPr>
          <w:rFonts w:ascii="Arial" w:hAnsi="Arial"/>
          <w:b w:val="0"/>
          <w:i w:val="0"/>
          <w:color w:val="183752"/>
          <w:sz w:val="34"/>
        </w:rPr>
        <w:t>23 Presidential altitude</w:t>
      </w:r>
    </w:p>
    <w:p>
      <w:r>
        <w:rPr>
          <w:rFonts w:ascii="Arial" w:hAnsi="Arial"/>
          <w:b w:val="0"/>
          <w:i w:val="0"/>
          <w:color w:val="1E242A"/>
          <w:sz w:val="21"/>
        </w:rPr>
        <w:t>Matters that normally warrant presidential attention include coalition architecture; allocation or dismissal of a major minister; negotiation with chamber presidents and principal party leaders; flagship policy concessions; sanction or veto; major governor alliances or conflicts; national protest or strike; coalition-linked scandal; impeachment coalition formation; serious ministerial rupture; election strategy; and a sustained national media crisis.</w:t>
      </w:r>
    </w:p>
    <w:p>
      <w:r>
        <w:rPr>
          <w:rFonts w:ascii="Arial" w:hAnsi="Arial"/>
          <w:b w:val="0"/>
          <w:i w:val="0"/>
          <w:color w:val="1E242A"/>
          <w:sz w:val="21"/>
        </w:rPr>
        <w:t>Routine whipping, ordinary committee text, most rapporteur contacts, individual amendments, local party organisation, technical consultation, everyday stakeholder meetings, ordinary rebuttal and second-tier personnel administration should proceed through Casa Civil, institutional-relations offices, ministers, party leaders and bureaucracy. The President manages relationships and strategic choices, not every transaction.</w:t>
      </w:r>
    </w:p>
    <w:p>
      <w:pPr>
        <w:pStyle w:val="Heading1"/>
      </w:pPr>
      <w:r>
        <w:rPr>
          <w:rFonts w:ascii="Arial" w:hAnsi="Arial"/>
          <w:b w:val="0"/>
          <w:i w:val="0"/>
          <w:color w:val="183752"/>
          <w:sz w:val="34"/>
        </w:rPr>
        <w:t>A Simulation Relevant Findings</w:t>
      </w:r>
    </w:p>
    <w:p>
      <w:pPr>
        <w:pStyle w:val="ListNumber"/>
        <w:numPr>
          <w:ilvl w:val="0"/>
          <w:numId w:val="7"/>
        </w:numPr>
      </w:pPr>
      <w:r>
        <w:rPr>
          <w:rFonts w:ascii="Arial" w:hAnsi="Arial"/>
          <w:b w:val="0"/>
          <w:i w:val="0"/>
          <w:color w:val="1E242A"/>
          <w:sz w:val="20"/>
        </w:rPr>
        <w:t>Coalition support is multidimensional: cabinet, declaration, leadership agreement and actual votes are not the same.</w:t>
      </w:r>
    </w:p>
    <w:p>
      <w:pPr>
        <w:pStyle w:val="ListNumber"/>
        <w:numPr>
          <w:ilvl w:val="0"/>
          <w:numId w:val="7"/>
        </w:numPr>
      </w:pPr>
      <w:r>
        <w:rPr>
          <w:rFonts w:ascii="Arial" w:hAnsi="Arial"/>
          <w:b w:val="0"/>
          <w:i w:val="0"/>
          <w:color w:val="1E242A"/>
          <w:sz w:val="20"/>
        </w:rPr>
        <w:t>Open-list personalism coexists with leadership-centred congressional voting; neither “weak parties” nor “perfect discipline” is accurate.</w:t>
      </w:r>
    </w:p>
    <w:p>
      <w:pPr>
        <w:pStyle w:val="ListNumber"/>
        <w:numPr>
          <w:ilvl w:val="0"/>
          <w:numId w:val="7"/>
        </w:numPr>
      </w:pPr>
      <w:r>
        <w:rPr>
          <w:rFonts w:ascii="Arial" w:hAnsi="Arial"/>
          <w:b w:val="0"/>
          <w:i w:val="0"/>
          <w:color w:val="1E242A"/>
          <w:sz w:val="20"/>
        </w:rPr>
        <w:t>Presidents bargain through policy, portfolios, lawful appointments, budget priorities, agenda requests and public leadership, but cannot guarantee votes.</w:t>
      </w:r>
    </w:p>
    <w:p>
      <w:pPr>
        <w:pStyle w:val="ListNumber"/>
        <w:numPr>
          <w:ilvl w:val="0"/>
          <w:numId w:val="7"/>
        </w:numPr>
      </w:pPr>
      <w:r>
        <w:rPr>
          <w:rFonts w:ascii="Arial" w:hAnsi="Arial"/>
          <w:b w:val="0"/>
          <w:i w:val="0"/>
          <w:color w:val="1E242A"/>
          <w:sz w:val="20"/>
        </w:rPr>
        <w:t>Chamber and Senate presidents, leaders, rapporteurs and committees possess independent agenda resources.</w:t>
      </w:r>
    </w:p>
    <w:p>
      <w:pPr>
        <w:pStyle w:val="ListNumber"/>
        <w:numPr>
          <w:ilvl w:val="0"/>
          <w:numId w:val="7"/>
        </w:numPr>
      </w:pPr>
      <w:r>
        <w:rPr>
          <w:rFonts w:ascii="Arial" w:hAnsi="Arial"/>
          <w:b w:val="0"/>
          <w:i w:val="0"/>
          <w:color w:val="1E242A"/>
          <w:sz w:val="20"/>
        </w:rPr>
        <w:t>Centrão is a shifting network label, not a permanent unified actor.</w:t>
      </w:r>
    </w:p>
    <w:p>
      <w:pPr>
        <w:pStyle w:val="ListNumber"/>
        <w:numPr>
          <w:ilvl w:val="0"/>
          <w:numId w:val="7"/>
        </w:numPr>
      </w:pPr>
      <w:r>
        <w:rPr>
          <w:rFonts w:ascii="Arial" w:hAnsi="Arial"/>
          <w:b w:val="0"/>
          <w:i w:val="0"/>
          <w:color w:val="1E242A"/>
          <w:sz w:val="20"/>
        </w:rPr>
        <w:t>Congressional budget power has increased since 2015, while executive participation and judicial transparency constraints remain.</w:t>
      </w:r>
    </w:p>
    <w:p>
      <w:pPr>
        <w:pStyle w:val="ListNumber"/>
        <w:numPr>
          <w:ilvl w:val="0"/>
          <w:numId w:val="7"/>
        </w:numPr>
      </w:pPr>
      <w:r>
        <w:rPr>
          <w:rFonts w:ascii="Arial" w:hAnsi="Arial"/>
          <w:b w:val="0"/>
          <w:i w:val="0"/>
          <w:color w:val="1E242A"/>
          <w:sz w:val="20"/>
        </w:rPr>
        <w:t>The Chamber and Senate require different strategies; neither is controlled by governors or the other chamber.</w:t>
      </w:r>
    </w:p>
    <w:p>
      <w:pPr>
        <w:pStyle w:val="ListNumber"/>
        <w:numPr>
          <w:ilvl w:val="0"/>
          <w:numId w:val="7"/>
        </w:numPr>
      </w:pPr>
      <w:r>
        <w:rPr>
          <w:rFonts w:ascii="Arial" w:hAnsi="Arial"/>
          <w:b w:val="0"/>
          <w:i w:val="0"/>
          <w:color w:val="1E242A"/>
          <w:sz w:val="20"/>
        </w:rPr>
        <w:t>Federations, proportional coalitions, majoritarian coalitions and governing coalitions are legally and politically distinct.</w:t>
      </w:r>
    </w:p>
    <w:p>
      <w:pPr>
        <w:pStyle w:val="ListNumber"/>
        <w:numPr>
          <w:ilvl w:val="0"/>
          <w:numId w:val="7"/>
        </w:numPr>
      </w:pPr>
      <w:r>
        <w:rPr>
          <w:rFonts w:ascii="Arial" w:hAnsi="Arial"/>
          <w:b w:val="0"/>
          <w:i w:val="0"/>
          <w:color w:val="1E242A"/>
          <w:sz w:val="20"/>
        </w:rPr>
        <w:t>Party finance and nomination give leaders leverage even where candidates run personalistic campaigns.</w:t>
      </w:r>
    </w:p>
    <w:p>
      <w:pPr>
        <w:pStyle w:val="ListNumber"/>
        <w:numPr>
          <w:ilvl w:val="0"/>
          <w:numId w:val="7"/>
        </w:numPr>
      </w:pPr>
      <w:r>
        <w:rPr>
          <w:rFonts w:ascii="Arial" w:hAnsi="Arial"/>
          <w:b w:val="0"/>
          <w:i w:val="0"/>
          <w:color w:val="1E242A"/>
          <w:sz w:val="20"/>
        </w:rPr>
        <w:t>Approval changes allies' electoral incentives but does not mechanically produce votes or impeachment.</w:t>
      </w:r>
    </w:p>
    <w:p>
      <w:pPr>
        <w:pStyle w:val="ListNumber"/>
        <w:numPr>
          <w:ilvl w:val="0"/>
          <w:numId w:val="7"/>
        </w:numPr>
      </w:pPr>
      <w:r>
        <w:rPr>
          <w:rFonts w:ascii="Arial" w:hAnsi="Arial"/>
          <w:b w:val="0"/>
          <w:i w:val="0"/>
          <w:color w:val="1E242A"/>
          <w:sz w:val="20"/>
        </w:rPr>
        <w:t>Governors influence federal politics through state resources, electoral networks and issue bargaining, not direct command of delegations.</w:t>
      </w:r>
    </w:p>
    <w:p>
      <w:pPr>
        <w:pStyle w:val="ListNumber"/>
        <w:numPr>
          <w:ilvl w:val="0"/>
          <w:numId w:val="7"/>
        </w:numPr>
      </w:pPr>
      <w:r>
        <w:rPr>
          <w:rFonts w:ascii="Arial" w:hAnsi="Arial"/>
          <w:b w:val="0"/>
          <w:i w:val="0"/>
          <w:color w:val="1E242A"/>
          <w:sz w:val="20"/>
        </w:rPr>
        <w:t>Organised interests are internally diverse; front membership does not equal discipline.</w:t>
      </w:r>
    </w:p>
    <w:p>
      <w:pPr>
        <w:pStyle w:val="ListNumber"/>
        <w:numPr>
          <w:ilvl w:val="0"/>
          <w:numId w:val="7"/>
        </w:numPr>
      </w:pPr>
      <w:r>
        <w:rPr>
          <w:rFonts w:ascii="Arial" w:hAnsi="Arial"/>
          <w:b w:val="0"/>
          <w:i w:val="0"/>
          <w:color w:val="1E242A"/>
          <w:sz w:val="20"/>
        </w:rPr>
        <w:t>Media amplify and frame; institutional and elite uptake determines whether an event becomes a national crisis.</w:t>
      </w:r>
    </w:p>
    <w:p>
      <w:pPr>
        <w:pStyle w:val="ListNumber"/>
        <w:numPr>
          <w:ilvl w:val="0"/>
          <w:numId w:val="7"/>
        </w:numPr>
      </w:pPr>
      <w:r>
        <w:rPr>
          <w:rFonts w:ascii="Arial" w:hAnsi="Arial"/>
          <w:b w:val="0"/>
          <w:i w:val="0"/>
          <w:color w:val="1E242A"/>
          <w:sz w:val="20"/>
        </w:rPr>
        <w:t>Scandal is politically mediated and distinct from criminal guilt.</w:t>
      </w:r>
    </w:p>
    <w:p>
      <w:pPr>
        <w:pStyle w:val="ListNumber"/>
        <w:numPr>
          <w:ilvl w:val="0"/>
          <w:numId w:val="7"/>
        </w:numPr>
      </w:pPr>
      <w:r>
        <w:rPr>
          <w:rFonts w:ascii="Arial" w:hAnsi="Arial"/>
          <w:b w:val="0"/>
          <w:i w:val="0"/>
          <w:color w:val="1E242A"/>
          <w:sz w:val="20"/>
        </w:rPr>
        <w:t>Repeated defeats and broken bargains affect observable expectations and future cooperation.</w:t>
      </w:r>
    </w:p>
    <w:p>
      <w:pPr>
        <w:pStyle w:val="ListNumber"/>
        <w:numPr>
          <w:ilvl w:val="0"/>
          <w:numId w:val="7"/>
        </w:numPr>
      </w:pPr>
      <w:r>
        <w:rPr>
          <w:rFonts w:ascii="Arial" w:hAnsi="Arial"/>
          <w:b w:val="0"/>
          <w:i w:val="0"/>
          <w:color w:val="1E242A"/>
          <w:sz w:val="20"/>
        </w:rPr>
        <w:t>Implementation and attribution, not legal enactment alone, produce political credit or blame.</w:t>
      </w:r>
    </w:p>
    <w:p>
      <w:pPr>
        <w:pStyle w:val="ListNumber"/>
        <w:numPr>
          <w:ilvl w:val="0"/>
          <w:numId w:val="7"/>
        </w:numPr>
      </w:pPr>
      <w:r>
        <w:rPr>
          <w:rFonts w:ascii="Arial" w:hAnsi="Arial"/>
          <w:b w:val="0"/>
          <w:i w:val="0"/>
          <w:color w:val="1E242A"/>
          <w:sz w:val="20"/>
        </w:rPr>
        <w:t>Impeachment requires a political-institutional conjunction, not low approval alone.</w:t>
      </w:r>
    </w:p>
    <w:p>
      <w:pPr>
        <w:pStyle w:val="ListNumber"/>
        <w:numPr>
          <w:ilvl w:val="0"/>
          <w:numId w:val="7"/>
        </w:numPr>
      </w:pPr>
      <w:r>
        <w:rPr>
          <w:rFonts w:ascii="Arial" w:hAnsi="Arial"/>
          <w:b w:val="0"/>
          <w:i w:val="0"/>
          <w:color w:val="1E242A"/>
          <w:sz w:val="20"/>
        </w:rPr>
        <w:t>Politics is generated autonomously by Congress, subnational leaders, ministers, interests, movements, media and oversight institutions.</w:t>
      </w:r>
    </w:p>
    <w:p>
      <w:pPr>
        <w:pStyle w:val="Heading1"/>
      </w:pPr>
      <w:r>
        <w:rPr>
          <w:rFonts w:ascii="Arial" w:hAnsi="Arial"/>
          <w:b w:val="0"/>
          <w:i w:val="0"/>
          <w:color w:val="183752"/>
          <w:sz w:val="34"/>
        </w:rPr>
        <w:t>B Candidate Structured Knowledge</w:t>
      </w:r>
    </w:p>
    <w:p>
      <w:pPr>
        <w:pStyle w:val="ListBullet"/>
        <w:numPr>
          <w:ilvl w:val="0"/>
          <w:numId w:val="6"/>
        </w:numPr>
      </w:pPr>
      <w:r>
        <w:rPr>
          <w:rFonts w:ascii="Arial" w:hAnsi="Arial"/>
          <w:b w:val="0"/>
          <w:i w:val="0"/>
          <w:color w:val="1E242A"/>
          <w:sz w:val="20"/>
        </w:rPr>
        <w:t>Political actor types with formal office, constituency, institutional resources, objectives and temporal leadership.</w:t>
      </w:r>
    </w:p>
    <w:p>
      <w:pPr>
        <w:pStyle w:val="ListBullet"/>
        <w:numPr>
          <w:ilvl w:val="0"/>
          <w:numId w:val="6"/>
        </w:numPr>
      </w:pPr>
      <w:r>
        <w:rPr>
          <w:rFonts w:ascii="Arial" w:hAnsi="Arial"/>
          <w:b w:val="0"/>
          <w:i w:val="0"/>
          <w:color w:val="1E242A"/>
          <w:sz w:val="20"/>
        </w:rPr>
        <w:t>Coalition relationships separated into cabinet membership, declared alignment, leader commitment, issue agreement and observed vote.</w:t>
      </w:r>
    </w:p>
    <w:p>
      <w:pPr>
        <w:pStyle w:val="ListBullet"/>
        <w:numPr>
          <w:ilvl w:val="0"/>
          <w:numId w:val="6"/>
        </w:numPr>
      </w:pPr>
      <w:r>
        <w:rPr>
          <w:rFonts w:ascii="Arial" w:hAnsi="Arial"/>
          <w:b w:val="0"/>
          <w:i w:val="0"/>
          <w:color w:val="1E242A"/>
          <w:sz w:val="20"/>
        </w:rPr>
        <w:t>Bargaining instruments with legal owner, target, preconditions, protected-office constraints and implementation channel.</w:t>
      </w:r>
    </w:p>
    <w:p>
      <w:pPr>
        <w:pStyle w:val="ListBullet"/>
        <w:numPr>
          <w:ilvl w:val="0"/>
          <w:numId w:val="6"/>
        </w:numPr>
      </w:pPr>
      <w:r>
        <w:rPr>
          <w:rFonts w:ascii="Arial" w:hAnsi="Arial"/>
          <w:b w:val="0"/>
          <w:i w:val="0"/>
          <w:color w:val="1E242A"/>
          <w:sz w:val="20"/>
        </w:rPr>
        <w:t>Party characteristics: ideology range, organisational centralisation, federation status, campaign-resource control, regional variation and switching exposure.</w:t>
      </w:r>
    </w:p>
    <w:p>
      <w:pPr>
        <w:pStyle w:val="ListBullet"/>
        <w:numPr>
          <w:ilvl w:val="0"/>
          <w:numId w:val="6"/>
        </w:numPr>
      </w:pPr>
      <w:r>
        <w:rPr>
          <w:rFonts w:ascii="Arial" w:hAnsi="Arial"/>
          <w:b w:val="0"/>
          <w:i w:val="0"/>
          <w:color w:val="1E242A"/>
          <w:sz w:val="20"/>
        </w:rPr>
        <w:t>Legislative actors: chamber president, leader, bloc, chair, rapporteur, front and CPI, each with agenda and oversight capabilities.</w:t>
      </w:r>
    </w:p>
    <w:p>
      <w:pPr>
        <w:pStyle w:val="ListBullet"/>
        <w:numPr>
          <w:ilvl w:val="0"/>
          <w:numId w:val="6"/>
        </w:numPr>
      </w:pPr>
      <w:r>
        <w:rPr>
          <w:rFonts w:ascii="Arial" w:hAnsi="Arial"/>
          <w:b w:val="0"/>
          <w:i w:val="0"/>
          <w:color w:val="1E242A"/>
          <w:sz w:val="20"/>
        </w:rPr>
        <w:t>Electoral incentives: election level, district, list type, nomination dependence, finance, candidacy deadline and concurrent election.</w:t>
      </w:r>
    </w:p>
    <w:p>
      <w:pPr>
        <w:pStyle w:val="ListBullet"/>
        <w:numPr>
          <w:ilvl w:val="0"/>
          <w:numId w:val="6"/>
        </w:numPr>
      </w:pPr>
      <w:r>
        <w:rPr>
          <w:rFonts w:ascii="Arial" w:hAnsi="Arial"/>
          <w:b w:val="0"/>
          <w:i w:val="0"/>
          <w:color w:val="1E242A"/>
          <w:sz w:val="20"/>
        </w:rPr>
        <w:t>Governor and mayor relationships to federal parties, delegations, transfers, litigation, service delivery and national ambition.</w:t>
      </w:r>
    </w:p>
    <w:p>
      <w:pPr>
        <w:pStyle w:val="ListBullet"/>
        <w:numPr>
          <w:ilvl w:val="0"/>
          <w:numId w:val="6"/>
        </w:numPr>
      </w:pPr>
      <w:r>
        <w:rPr>
          <w:rFonts w:ascii="Arial" w:hAnsi="Arial"/>
          <w:b w:val="0"/>
          <w:i w:val="0"/>
          <w:color w:val="1E242A"/>
          <w:sz w:val="20"/>
        </w:rPr>
        <w:t>Organised-interest domains and internal subdivisions rather than unitary “business,” “agro,” “labour” or “religion.”</w:t>
      </w:r>
    </w:p>
    <w:p>
      <w:pPr>
        <w:pStyle w:val="ListBullet"/>
        <w:numPr>
          <w:ilvl w:val="0"/>
          <w:numId w:val="6"/>
        </w:numPr>
      </w:pPr>
      <w:r>
        <w:rPr>
          <w:rFonts w:ascii="Arial" w:hAnsi="Arial"/>
          <w:b w:val="0"/>
          <w:i w:val="0"/>
          <w:color w:val="1E242A"/>
          <w:sz w:val="20"/>
        </w:rPr>
        <w:t>Media-state fields distinguishing event, publication, amplification, elite adoption, institutional follow-up and sustained national salience.</w:t>
      </w:r>
    </w:p>
    <w:p>
      <w:pPr>
        <w:pStyle w:val="ListBullet"/>
        <w:numPr>
          <w:ilvl w:val="0"/>
          <w:numId w:val="6"/>
        </w:numPr>
      </w:pPr>
      <w:r>
        <w:rPr>
          <w:rFonts w:ascii="Arial" w:hAnsi="Arial"/>
          <w:b w:val="0"/>
          <w:i w:val="0"/>
          <w:color w:val="1E242A"/>
          <w:sz w:val="20"/>
        </w:rPr>
        <w:t>Political-memory records tied to named actors, issue, commitment, outcome, leadership turnover and provenance.</w:t>
      </w:r>
    </w:p>
    <w:p>
      <w:pPr>
        <w:pStyle w:val="ListBullet"/>
        <w:numPr>
          <w:ilvl w:val="0"/>
          <w:numId w:val="6"/>
        </w:numPr>
      </w:pPr>
      <w:r>
        <w:rPr>
          <w:rFonts w:ascii="Arial" w:hAnsi="Arial"/>
          <w:b w:val="0"/>
          <w:i w:val="0"/>
          <w:color w:val="1E242A"/>
          <w:sz w:val="20"/>
        </w:rPr>
        <w:t>Scenario fields for party rosters, blocs, leaders, cabinet, approval, polls, scandals, protests, media controversies and election-cycle position.</w:t>
      </w:r>
    </w:p>
    <w:p>
      <w:pPr>
        <w:pStyle w:val="ListBullet"/>
        <w:numPr>
          <w:ilvl w:val="0"/>
          <w:numId w:val="6"/>
        </w:numPr>
      </w:pPr>
      <w:r>
        <w:rPr>
          <w:rFonts w:ascii="Arial" w:hAnsi="Arial"/>
          <w:b w:val="0"/>
          <w:i w:val="0"/>
          <w:color w:val="1E242A"/>
          <w:sz w:val="20"/>
        </w:rPr>
        <w:t>Provenance fields for source, period, method, confidence, contradiction and durable versus scenario status.</w:t>
      </w:r>
    </w:p>
    <w:p>
      <w:pPr>
        <w:pStyle w:val="Heading1"/>
      </w:pPr>
      <w:r>
        <w:rPr>
          <w:rFonts w:ascii="Arial" w:hAnsi="Arial"/>
          <w:b w:val="0"/>
          <w:i w:val="0"/>
          <w:color w:val="183752"/>
          <w:sz w:val="34"/>
        </w:rPr>
        <w:t>C Independent Actor World Activity Findings</w:t>
      </w:r>
    </w:p>
    <w:p>
      <w:pPr>
        <w:pStyle w:val="ListBullet"/>
        <w:numPr>
          <w:ilvl w:val="0"/>
          <w:numId w:val="6"/>
        </w:numPr>
      </w:pPr>
      <w:r>
        <w:rPr>
          <w:rFonts w:ascii="Arial" w:hAnsi="Arial"/>
          <w:b/>
          <w:i w:val="0"/>
          <w:color w:val="1E242A"/>
          <w:sz w:val="20"/>
        </w:rPr>
        <w:t>Congressional leadership</w:t>
      </w:r>
      <w:r>
        <w:rPr>
          <w:rFonts w:ascii="Arial" w:hAnsi="Arial"/>
          <w:b w:val="0"/>
          <w:i w:val="0"/>
          <w:color w:val="1E242A"/>
          <w:sz w:val="20"/>
        </w:rPr>
        <w:t xml:space="preserve"> can schedule or withhold bills, organise veto review, form commissions and elevate investigations.</w:t>
      </w:r>
    </w:p>
    <w:p>
      <w:pPr>
        <w:pStyle w:val="ListBullet"/>
        <w:numPr>
          <w:ilvl w:val="0"/>
          <w:numId w:val="6"/>
        </w:numPr>
      </w:pPr>
      <w:r>
        <w:rPr>
          <w:rFonts w:ascii="Arial" w:hAnsi="Arial"/>
          <w:b/>
          <w:i w:val="0"/>
          <w:color w:val="1E242A"/>
          <w:sz w:val="20"/>
        </w:rPr>
        <w:t>Party and bloc leaders</w:t>
      </w:r>
      <w:r>
        <w:rPr>
          <w:rFonts w:ascii="Arial" w:hAnsi="Arial"/>
          <w:b w:val="0"/>
          <w:i w:val="0"/>
          <w:color w:val="1E242A"/>
          <w:sz w:val="20"/>
        </w:rPr>
        <w:t xml:space="preserve"> can change recommendations, demand accommodation, split coalitions and mobilise members.</w:t>
      </w:r>
    </w:p>
    <w:p>
      <w:pPr>
        <w:pStyle w:val="ListBullet"/>
        <w:numPr>
          <w:ilvl w:val="0"/>
          <w:numId w:val="6"/>
        </w:numPr>
      </w:pPr>
      <w:r>
        <w:rPr>
          <w:rFonts w:ascii="Arial" w:hAnsi="Arial"/>
          <w:b/>
          <w:i w:val="0"/>
          <w:color w:val="1E242A"/>
          <w:sz w:val="20"/>
        </w:rPr>
        <w:t>Rapporteurs and committees</w:t>
      </w:r>
      <w:r>
        <w:rPr>
          <w:rFonts w:ascii="Arial" w:hAnsi="Arial"/>
          <w:b w:val="0"/>
          <w:i w:val="0"/>
          <w:color w:val="1E242A"/>
          <w:sz w:val="20"/>
        </w:rPr>
        <w:t xml:space="preserve"> can produce substitutes, hearings, reports and independent policy agendas.</w:t>
      </w:r>
    </w:p>
    <w:p>
      <w:pPr>
        <w:pStyle w:val="ListBullet"/>
        <w:numPr>
          <w:ilvl w:val="0"/>
          <w:numId w:val="6"/>
        </w:numPr>
      </w:pPr>
      <w:r>
        <w:rPr>
          <w:rFonts w:ascii="Arial" w:hAnsi="Arial"/>
          <w:b/>
          <w:i w:val="0"/>
          <w:color w:val="1E242A"/>
          <w:sz w:val="20"/>
        </w:rPr>
        <w:t>Opposition</w:t>
      </w:r>
      <w:r>
        <w:rPr>
          <w:rFonts w:ascii="Arial" w:hAnsi="Arial"/>
          <w:b w:val="0"/>
          <w:i w:val="0"/>
          <w:color w:val="1E242A"/>
          <w:sz w:val="20"/>
        </w:rPr>
        <w:t xml:space="preserve"> can aggregate allegations, investigations, protests and alternative policy.</w:t>
      </w:r>
    </w:p>
    <w:p>
      <w:pPr>
        <w:pStyle w:val="ListBullet"/>
        <w:numPr>
          <w:ilvl w:val="0"/>
          <w:numId w:val="6"/>
        </w:numPr>
      </w:pPr>
      <w:r>
        <w:rPr>
          <w:rFonts w:ascii="Arial" w:hAnsi="Arial"/>
          <w:b/>
          <w:i w:val="0"/>
          <w:color w:val="1E242A"/>
          <w:sz w:val="20"/>
        </w:rPr>
        <w:t>Governors and mayors</w:t>
      </w:r>
      <w:r>
        <w:rPr>
          <w:rFonts w:ascii="Arial" w:hAnsi="Arial"/>
          <w:b w:val="0"/>
          <w:i w:val="0"/>
          <w:color w:val="1E242A"/>
          <w:sz w:val="20"/>
        </w:rPr>
        <w:t xml:space="preserve"> can initiate fiscal, security, infrastructure and implementation disputes or coalitions.</w:t>
      </w:r>
    </w:p>
    <w:p>
      <w:pPr>
        <w:pStyle w:val="ListBullet"/>
        <w:numPr>
          <w:ilvl w:val="0"/>
          <w:numId w:val="6"/>
        </w:numPr>
      </w:pPr>
      <w:r>
        <w:rPr>
          <w:rFonts w:ascii="Arial" w:hAnsi="Arial"/>
          <w:b/>
          <w:i w:val="0"/>
          <w:color w:val="1E242A"/>
          <w:sz w:val="20"/>
        </w:rPr>
        <w:t>Ministers</w:t>
      </w:r>
      <w:r>
        <w:rPr>
          <w:rFonts w:ascii="Arial" w:hAnsi="Arial"/>
          <w:b w:val="0"/>
          <w:i w:val="0"/>
          <w:color w:val="1E242A"/>
          <w:sz w:val="20"/>
        </w:rPr>
        <w:t xml:space="preserve"> can propose policy, mismanage implementation, conflict publicly or threaten resignation.</w:t>
      </w:r>
    </w:p>
    <w:p>
      <w:pPr>
        <w:pStyle w:val="ListBullet"/>
        <w:numPr>
          <w:ilvl w:val="0"/>
          <w:numId w:val="6"/>
        </w:numPr>
      </w:pPr>
      <w:r>
        <w:rPr>
          <w:rFonts w:ascii="Arial" w:hAnsi="Arial"/>
          <w:b/>
          <w:i w:val="0"/>
          <w:color w:val="1E242A"/>
          <w:sz w:val="20"/>
        </w:rPr>
        <w:t>Unions and movements</w:t>
      </w:r>
      <w:r>
        <w:rPr>
          <w:rFonts w:ascii="Arial" w:hAnsi="Arial"/>
          <w:b w:val="0"/>
          <w:i w:val="0"/>
          <w:color w:val="1E242A"/>
          <w:sz w:val="20"/>
        </w:rPr>
        <w:t xml:space="preserve"> can strike, protest, litigate and obstruct or reshape implementation.</w:t>
      </w:r>
    </w:p>
    <w:p>
      <w:pPr>
        <w:pStyle w:val="ListBullet"/>
        <w:numPr>
          <w:ilvl w:val="0"/>
          <w:numId w:val="6"/>
        </w:numPr>
      </w:pPr>
      <w:r>
        <w:rPr>
          <w:rFonts w:ascii="Arial" w:hAnsi="Arial"/>
          <w:b/>
          <w:i w:val="0"/>
          <w:color w:val="1E242A"/>
          <w:sz w:val="20"/>
        </w:rPr>
        <w:t>Business, agribusiness and religious organisations</w:t>
      </w:r>
      <w:r>
        <w:rPr>
          <w:rFonts w:ascii="Arial" w:hAnsi="Arial"/>
          <w:b w:val="0"/>
          <w:i w:val="0"/>
          <w:color w:val="1E242A"/>
          <w:sz w:val="20"/>
        </w:rPr>
        <w:t xml:space="preserve"> can publish agendas, sponsor legislative work, lobby, campaign, litigate and mobilise constituencies.</w:t>
      </w:r>
    </w:p>
    <w:p>
      <w:pPr>
        <w:pStyle w:val="ListBullet"/>
        <w:numPr>
          <w:ilvl w:val="0"/>
          <w:numId w:val="6"/>
        </w:numPr>
      </w:pPr>
      <w:r>
        <w:rPr>
          <w:rFonts w:ascii="Arial" w:hAnsi="Arial"/>
          <w:b/>
          <w:i w:val="0"/>
          <w:color w:val="1E242A"/>
          <w:sz w:val="20"/>
        </w:rPr>
        <w:t>Journalists and media organisations</w:t>
      </w:r>
      <w:r>
        <w:rPr>
          <w:rFonts w:ascii="Arial" w:hAnsi="Arial"/>
          <w:b w:val="0"/>
          <w:i w:val="0"/>
          <w:color w:val="1E242A"/>
          <w:sz w:val="20"/>
        </w:rPr>
        <w:t xml:space="preserve"> can reveal and amplify evidence, changing national salience.</w:t>
      </w:r>
    </w:p>
    <w:p>
      <w:pPr>
        <w:pStyle w:val="ListBullet"/>
        <w:numPr>
          <w:ilvl w:val="0"/>
          <w:numId w:val="6"/>
        </w:numPr>
      </w:pPr>
      <w:r>
        <w:rPr>
          <w:rFonts w:ascii="Arial" w:hAnsi="Arial"/>
          <w:b/>
          <w:i w:val="0"/>
          <w:color w:val="1E242A"/>
          <w:sz w:val="20"/>
        </w:rPr>
        <w:t>Digital networks</w:t>
      </w:r>
      <w:r>
        <w:rPr>
          <w:rFonts w:ascii="Arial" w:hAnsi="Arial"/>
          <w:b w:val="0"/>
          <w:i w:val="0"/>
          <w:color w:val="1E242A"/>
          <w:sz w:val="20"/>
        </w:rPr>
        <w:t xml:space="preserve"> can mobilise or spread disputed information faster than formal organisations.</w:t>
      </w:r>
    </w:p>
    <w:p>
      <w:pPr>
        <w:pStyle w:val="ListBullet"/>
        <w:numPr>
          <w:ilvl w:val="0"/>
          <w:numId w:val="6"/>
        </w:numPr>
      </w:pPr>
      <w:r>
        <w:rPr>
          <w:rFonts w:ascii="Arial" w:hAnsi="Arial"/>
          <w:b/>
          <w:i w:val="0"/>
          <w:color w:val="1E242A"/>
          <w:sz w:val="20"/>
        </w:rPr>
        <w:t>CGU, TCU, MP, police, courts and electoral justice</w:t>
      </w:r>
      <w:r>
        <w:rPr>
          <w:rFonts w:ascii="Arial" w:hAnsi="Arial"/>
          <w:b w:val="0"/>
          <w:i w:val="0"/>
          <w:color w:val="1E242A"/>
          <w:sz w:val="20"/>
        </w:rPr>
        <w:t xml:space="preserve"> can generate audits, investigations, judgments and compliance duties.</w:t>
      </w:r>
    </w:p>
    <w:p>
      <w:pPr>
        <w:pStyle w:val="ListBullet"/>
        <w:numPr>
          <w:ilvl w:val="0"/>
          <w:numId w:val="6"/>
        </w:numPr>
      </w:pPr>
      <w:r>
        <w:rPr>
          <w:rFonts w:ascii="Arial" w:hAnsi="Arial"/>
          <w:b/>
          <w:i w:val="0"/>
          <w:color w:val="1E242A"/>
          <w:sz w:val="20"/>
        </w:rPr>
        <w:t>Voters and candidates</w:t>
      </w:r>
      <w:r>
        <w:rPr>
          <w:rFonts w:ascii="Arial" w:hAnsi="Arial"/>
          <w:b w:val="0"/>
          <w:i w:val="0"/>
          <w:color w:val="1E242A"/>
          <w:sz w:val="20"/>
        </w:rPr>
        <w:t xml:space="preserve"> can alter party expectations through polls, local elections, endorsements, defections and campaign performance.</w:t>
      </w:r>
    </w:p>
    <w:p>
      <w:pPr>
        <w:pStyle w:val="Heading1"/>
      </w:pPr>
      <w:r>
        <w:rPr>
          <w:rFonts w:ascii="Arial" w:hAnsi="Arial"/>
          <w:b w:val="0"/>
          <w:i w:val="0"/>
          <w:color w:val="183752"/>
          <w:sz w:val="34"/>
        </w:rPr>
        <w:t>D Presidential Decision Surface Findings</w:t>
      </w:r>
    </w:p>
    <w:p>
      <w:r>
        <w:rPr>
          <w:rFonts w:ascii="Arial" w:hAnsi="Arial"/>
          <w:b w:val="0"/>
          <w:i w:val="0"/>
          <w:color w:val="1E242A"/>
          <w:sz w:val="21"/>
        </w:rPr>
        <w:t>The strongest candidates for presidential-level political decisions are:</w:t>
      </w:r>
    </w:p>
    <w:p>
      <w:pPr>
        <w:pStyle w:val="ListBullet"/>
        <w:numPr>
          <w:ilvl w:val="0"/>
          <w:numId w:val="6"/>
        </w:numPr>
      </w:pPr>
      <w:r>
        <w:rPr>
          <w:rFonts w:ascii="Arial" w:hAnsi="Arial"/>
          <w:b w:val="0"/>
          <w:i w:val="0"/>
          <w:color w:val="1E242A"/>
          <w:sz w:val="20"/>
        </w:rPr>
        <w:t>entering, narrowing or rebuilding a governing coalition;</w:t>
      </w:r>
    </w:p>
    <w:p>
      <w:pPr>
        <w:pStyle w:val="ListBullet"/>
        <w:numPr>
          <w:ilvl w:val="0"/>
          <w:numId w:val="6"/>
        </w:numPr>
      </w:pPr>
      <w:r>
        <w:rPr>
          <w:rFonts w:ascii="Arial" w:hAnsi="Arial"/>
          <w:b w:val="0"/>
          <w:i w:val="0"/>
          <w:color w:val="1E242A"/>
          <w:sz w:val="20"/>
        </w:rPr>
        <w:t>allocating, defending or dismissing a major minister;</w:t>
      </w:r>
    </w:p>
    <w:p>
      <w:pPr>
        <w:pStyle w:val="ListBullet"/>
        <w:numPr>
          <w:ilvl w:val="0"/>
          <w:numId w:val="6"/>
        </w:numPr>
      </w:pPr>
      <w:r>
        <w:rPr>
          <w:rFonts w:ascii="Arial" w:hAnsi="Arial"/>
          <w:b w:val="0"/>
          <w:i w:val="0"/>
          <w:color w:val="1E242A"/>
          <w:sz w:val="20"/>
        </w:rPr>
        <w:t>negotiating a flagship bill with chamber presidents and party leaders;</w:t>
      </w:r>
    </w:p>
    <w:p>
      <w:pPr>
        <w:pStyle w:val="ListBullet"/>
        <w:numPr>
          <w:ilvl w:val="0"/>
          <w:numId w:val="6"/>
        </w:numPr>
      </w:pPr>
      <w:r>
        <w:rPr>
          <w:rFonts w:ascii="Arial" w:hAnsi="Arial"/>
          <w:b w:val="0"/>
          <w:i w:val="0"/>
          <w:color w:val="1E242A"/>
          <w:sz w:val="20"/>
        </w:rPr>
        <w:t>accepting a major policy, regional or budget concession;</w:t>
      </w:r>
    </w:p>
    <w:p>
      <w:pPr>
        <w:pStyle w:val="ListBullet"/>
        <w:numPr>
          <w:ilvl w:val="0"/>
          <w:numId w:val="6"/>
        </w:numPr>
      </w:pPr>
      <w:r>
        <w:rPr>
          <w:rFonts w:ascii="Arial" w:hAnsi="Arial"/>
          <w:b w:val="0"/>
          <w:i w:val="0"/>
          <w:color w:val="1E242A"/>
          <w:sz w:val="20"/>
        </w:rPr>
        <w:t>deciding to campaign publicly or lower a proposal's salience;</w:t>
      </w:r>
    </w:p>
    <w:p>
      <w:pPr>
        <w:pStyle w:val="ListBullet"/>
        <w:numPr>
          <w:ilvl w:val="0"/>
          <w:numId w:val="6"/>
        </w:numPr>
      </w:pPr>
      <w:r>
        <w:rPr>
          <w:rFonts w:ascii="Arial" w:hAnsi="Arial"/>
          <w:b w:val="0"/>
          <w:i w:val="0"/>
          <w:color w:val="1E242A"/>
          <w:sz w:val="20"/>
        </w:rPr>
        <w:t>sanctioning or vetoing congressional legislation and managing override risk;</w:t>
      </w:r>
    </w:p>
    <w:p>
      <w:pPr>
        <w:pStyle w:val="ListBullet"/>
        <w:numPr>
          <w:ilvl w:val="0"/>
          <w:numId w:val="6"/>
        </w:numPr>
      </w:pPr>
      <w:r>
        <w:rPr>
          <w:rFonts w:ascii="Arial" w:hAnsi="Arial"/>
          <w:b w:val="0"/>
          <w:i w:val="0"/>
          <w:color w:val="1E242A"/>
          <w:sz w:val="20"/>
        </w:rPr>
        <w:t>responding to a major governor bloc, national strike or cross-city protest;</w:t>
      </w:r>
    </w:p>
    <w:p>
      <w:pPr>
        <w:pStyle w:val="ListBullet"/>
        <w:numPr>
          <w:ilvl w:val="0"/>
          <w:numId w:val="6"/>
        </w:numPr>
      </w:pPr>
      <w:r>
        <w:rPr>
          <w:rFonts w:ascii="Arial" w:hAnsi="Arial"/>
          <w:b w:val="0"/>
          <w:i w:val="0"/>
          <w:color w:val="1E242A"/>
          <w:sz w:val="20"/>
        </w:rPr>
        <w:t>responding to a well-evidenced scandal involving the President, cabinet or coalition;</w:t>
      </w:r>
    </w:p>
    <w:p>
      <w:pPr>
        <w:pStyle w:val="ListBullet"/>
        <w:numPr>
          <w:ilvl w:val="0"/>
          <w:numId w:val="6"/>
        </w:numPr>
      </w:pPr>
      <w:r>
        <w:rPr>
          <w:rFonts w:ascii="Arial" w:hAnsi="Arial"/>
          <w:b w:val="0"/>
          <w:i w:val="0"/>
          <w:color w:val="1E242A"/>
          <w:sz w:val="20"/>
        </w:rPr>
        <w:t>managing credible impeachment coalition formation;</w:t>
      </w:r>
    </w:p>
    <w:p>
      <w:pPr>
        <w:pStyle w:val="ListBullet"/>
        <w:numPr>
          <w:ilvl w:val="0"/>
          <w:numId w:val="6"/>
        </w:numPr>
      </w:pPr>
      <w:r>
        <w:rPr>
          <w:rFonts w:ascii="Arial" w:hAnsi="Arial"/>
          <w:b w:val="0"/>
          <w:i w:val="0"/>
          <w:color w:val="1E242A"/>
          <w:sz w:val="20"/>
        </w:rPr>
        <w:t>resolving an interministerial rupture or implementation crisis;</w:t>
      </w:r>
    </w:p>
    <w:p>
      <w:pPr>
        <w:pStyle w:val="ListBullet"/>
        <w:numPr>
          <w:ilvl w:val="0"/>
          <w:numId w:val="6"/>
        </w:numPr>
      </w:pPr>
      <w:r>
        <w:rPr>
          <w:rFonts w:ascii="Arial" w:hAnsi="Arial"/>
          <w:b w:val="0"/>
          <w:i w:val="0"/>
          <w:color w:val="1E242A"/>
          <w:sz w:val="20"/>
        </w:rPr>
        <w:t>setting election-year alliance and differentiation strategy;</w:t>
      </w:r>
    </w:p>
    <w:p>
      <w:pPr>
        <w:pStyle w:val="ListBullet"/>
        <w:numPr>
          <w:ilvl w:val="0"/>
          <w:numId w:val="6"/>
        </w:numPr>
      </w:pPr>
      <w:r>
        <w:rPr>
          <w:rFonts w:ascii="Arial" w:hAnsi="Arial"/>
          <w:b w:val="0"/>
          <w:i w:val="0"/>
          <w:color w:val="1E242A"/>
          <w:sz w:val="20"/>
        </w:rPr>
        <w:t>responding to an electoral-integrity or sustained national media crisis.</w:t>
      </w:r>
    </w:p>
    <w:p>
      <w:r>
        <w:rPr>
          <w:rFonts w:ascii="Arial" w:hAnsi="Arial"/>
          <w:b w:val="0"/>
          <w:i w:val="0"/>
          <w:color w:val="1E242A"/>
          <w:sz w:val="21"/>
        </w:rPr>
        <w:t>Normally delegated: routine whip operations, ordinary committee drafting, local electoral brokerage, most individual amendments, everyday lobbying contacts, technical stakeholder consultation, ordinary union bargaining, local protest management and second-tier appointment administration.</w:t>
      </w:r>
    </w:p>
    <w:p>
      <w:pPr>
        <w:pStyle w:val="Heading1"/>
      </w:pPr>
      <w:r>
        <w:rPr>
          <w:rFonts w:ascii="Arial" w:hAnsi="Arial"/>
          <w:b w:val="0"/>
          <w:i w:val="0"/>
          <w:color w:val="183752"/>
          <w:sz w:val="34"/>
        </w:rPr>
        <w:t>E Uncertainty and Validation Register</w:t>
      </w:r>
    </w:p>
    <w:p>
      <w:pPr>
        <w:pStyle w:val="ListNumber"/>
        <w:numPr>
          <w:ilvl w:val="0"/>
          <w:numId w:val="7"/>
        </w:numPr>
      </w:pPr>
      <w:r>
        <w:rPr>
          <w:rFonts w:ascii="Arial" w:hAnsi="Arial"/>
          <w:b/>
          <w:i w:val="0"/>
          <w:color w:val="1E242A"/>
          <w:sz w:val="20"/>
        </w:rPr>
        <w:t>Coalition discipline.</w:t>
      </w:r>
      <w:r>
        <w:rPr>
          <w:rFonts w:ascii="Arial" w:hAnsi="Arial"/>
          <w:b w:val="0"/>
          <w:i w:val="0"/>
          <w:color w:val="1E242A"/>
          <w:sz w:val="20"/>
        </w:rPr>
        <w:t xml:space="preserve"> Measures vary by leader recommendation, vote selection, issue and period. Do not encode a party-level constant.</w:t>
      </w:r>
    </w:p>
    <w:p>
      <w:pPr>
        <w:pStyle w:val="ListNumber"/>
        <w:numPr>
          <w:ilvl w:val="0"/>
          <w:numId w:val="7"/>
        </w:numPr>
      </w:pPr>
      <w:r>
        <w:rPr>
          <w:rFonts w:ascii="Arial" w:hAnsi="Arial"/>
          <w:b/>
          <w:i w:val="0"/>
          <w:color w:val="1E242A"/>
          <w:sz w:val="20"/>
        </w:rPr>
        <w:t>Executive dominance.</w:t>
      </w:r>
      <w:r>
        <w:rPr>
          <w:rFonts w:ascii="Arial" w:hAnsi="Arial"/>
          <w:b w:val="0"/>
          <w:i w:val="0"/>
          <w:color w:val="1E242A"/>
          <w:sz w:val="20"/>
        </w:rPr>
        <w:t xml:space="preserve"> High historical bill success coexists with stronger post-2015 congressional budget and agenda power. The balance changes over time.</w:t>
      </w:r>
    </w:p>
    <w:p>
      <w:pPr>
        <w:pStyle w:val="ListNumber"/>
        <w:numPr>
          <w:ilvl w:val="0"/>
          <w:numId w:val="7"/>
        </w:numPr>
      </w:pPr>
      <w:r>
        <w:rPr>
          <w:rFonts w:ascii="Arial" w:hAnsi="Arial"/>
          <w:b/>
          <w:i w:val="0"/>
          <w:color w:val="1E242A"/>
          <w:sz w:val="20"/>
        </w:rPr>
        <w:t>Coalition membership.</w:t>
      </w:r>
      <w:r>
        <w:rPr>
          <w:rFonts w:ascii="Arial" w:hAnsi="Arial"/>
          <w:b w:val="0"/>
          <w:i w:val="0"/>
          <w:color w:val="1E242A"/>
          <w:sz w:val="20"/>
        </w:rPr>
        <w:t xml:space="preserve"> Cabinet, declaration, agreement and votes diverge. A binary member field would misstate support.</w:t>
      </w:r>
    </w:p>
    <w:p>
      <w:pPr>
        <w:pStyle w:val="ListNumber"/>
        <w:numPr>
          <w:ilvl w:val="0"/>
          <w:numId w:val="7"/>
        </w:numPr>
      </w:pPr>
      <w:r>
        <w:rPr>
          <w:rFonts w:ascii="Arial" w:hAnsi="Arial"/>
          <w:b/>
          <w:i w:val="0"/>
          <w:color w:val="1E242A"/>
          <w:sz w:val="20"/>
        </w:rPr>
        <w:t>Centrão.</w:t>
      </w:r>
      <w:r>
        <w:rPr>
          <w:rFonts w:ascii="Arial" w:hAnsi="Arial"/>
          <w:b w:val="0"/>
          <w:i w:val="0"/>
          <w:color w:val="1E242A"/>
          <w:sz w:val="20"/>
        </w:rPr>
        <w:t xml:space="preserve"> Boundaries, parties, leaders and unity are scenario-specific. Always unpack the term.</w:t>
      </w:r>
    </w:p>
    <w:p>
      <w:pPr>
        <w:pStyle w:val="ListNumber"/>
        <w:numPr>
          <w:ilvl w:val="0"/>
          <w:numId w:val="7"/>
        </w:numPr>
      </w:pPr>
      <w:r>
        <w:rPr>
          <w:rFonts w:ascii="Arial" w:hAnsi="Arial"/>
          <w:b/>
          <w:i w:val="0"/>
          <w:color w:val="1E242A"/>
          <w:sz w:val="20"/>
        </w:rPr>
        <w:t>Political capital.</w:t>
      </w:r>
      <w:r>
        <w:rPr>
          <w:rFonts w:ascii="Arial" w:hAnsi="Arial"/>
          <w:b w:val="0"/>
          <w:i w:val="0"/>
          <w:color w:val="1E242A"/>
          <w:sz w:val="20"/>
        </w:rPr>
        <w:t xml:space="preserve"> This is not directly observable. Use agenda access, vote margins, defections, leader behaviour, approval and fulfilled commitments.</w:t>
      </w:r>
    </w:p>
    <w:p>
      <w:pPr>
        <w:pStyle w:val="ListNumber"/>
        <w:numPr>
          <w:ilvl w:val="0"/>
          <w:numId w:val="7"/>
        </w:numPr>
      </w:pPr>
      <w:r>
        <w:rPr>
          <w:rFonts w:ascii="Arial" w:hAnsi="Arial"/>
          <w:b/>
          <w:i w:val="0"/>
          <w:color w:val="1E242A"/>
          <w:sz w:val="20"/>
        </w:rPr>
        <w:t>Governors.</w:t>
      </w:r>
      <w:r>
        <w:rPr>
          <w:rFonts w:ascii="Arial" w:hAnsi="Arial"/>
          <w:b w:val="0"/>
          <w:i w:val="0"/>
          <w:color w:val="1E242A"/>
          <w:sz w:val="20"/>
        </w:rPr>
        <w:t xml:space="preserve"> Influence is strong electorally and on state-sensitive issues but not universal delegation command.</w:t>
      </w:r>
    </w:p>
    <w:p>
      <w:pPr>
        <w:pStyle w:val="ListNumber"/>
        <w:numPr>
          <w:ilvl w:val="0"/>
          <w:numId w:val="7"/>
        </w:numPr>
      </w:pPr>
      <w:r>
        <w:rPr>
          <w:rFonts w:ascii="Arial" w:hAnsi="Arial"/>
          <w:b/>
          <w:i w:val="0"/>
          <w:color w:val="1E242A"/>
          <w:sz w:val="20"/>
        </w:rPr>
        <w:t>Business confidence.</w:t>
      </w:r>
      <w:r>
        <w:rPr>
          <w:rFonts w:ascii="Arial" w:hAnsi="Arial"/>
          <w:b w:val="0"/>
          <w:i w:val="0"/>
          <w:color w:val="1E242A"/>
          <w:sz w:val="20"/>
        </w:rPr>
        <w:t xml:space="preserve"> Sector, horizon and policy exposure differ; claims require a named indicator or actor.</w:t>
      </w:r>
    </w:p>
    <w:p>
      <w:pPr>
        <w:pStyle w:val="ListNumber"/>
        <w:numPr>
          <w:ilvl w:val="0"/>
          <w:numId w:val="7"/>
        </w:numPr>
      </w:pPr>
      <w:r>
        <w:rPr>
          <w:rFonts w:ascii="Arial" w:hAnsi="Arial"/>
          <w:b/>
          <w:i w:val="0"/>
          <w:color w:val="1E242A"/>
          <w:sz w:val="20"/>
        </w:rPr>
        <w:t>Public pressure.</w:t>
      </w:r>
      <w:r>
        <w:rPr>
          <w:rFonts w:ascii="Arial" w:hAnsi="Arial"/>
          <w:b w:val="0"/>
          <w:i w:val="0"/>
          <w:color w:val="1E242A"/>
          <w:sz w:val="20"/>
        </w:rPr>
        <w:t xml:space="preserve"> Polls, protests, media salience, organised campaigns and electoral expectations are different mechanisms.</w:t>
      </w:r>
    </w:p>
    <w:p>
      <w:pPr>
        <w:pStyle w:val="ListNumber"/>
        <w:numPr>
          <w:ilvl w:val="0"/>
          <w:numId w:val="7"/>
        </w:numPr>
      </w:pPr>
      <w:r>
        <w:rPr>
          <w:rFonts w:ascii="Arial" w:hAnsi="Arial"/>
          <w:b/>
          <w:i w:val="0"/>
          <w:color w:val="1E242A"/>
          <w:sz w:val="20"/>
        </w:rPr>
        <w:t>Polarisation.</w:t>
      </w:r>
      <w:r>
        <w:rPr>
          <w:rFonts w:ascii="Arial" w:hAnsi="Arial"/>
          <w:b w:val="0"/>
          <w:i w:val="0"/>
          <w:color w:val="1E242A"/>
          <w:sz w:val="20"/>
        </w:rPr>
        <w:t xml:space="preserve"> The current Lula-Bolsonaro alignment is historically bounded; durable negative identity may outlive leaders but is not eternal.</w:t>
      </w:r>
    </w:p>
    <w:p>
      <w:pPr>
        <w:pStyle w:val="ListNumber"/>
        <w:numPr>
          <w:ilvl w:val="0"/>
          <w:numId w:val="7"/>
        </w:numPr>
      </w:pPr>
      <w:r>
        <w:rPr>
          <w:rFonts w:ascii="Arial" w:hAnsi="Arial"/>
          <w:b/>
          <w:i w:val="0"/>
          <w:color w:val="1E242A"/>
          <w:sz w:val="20"/>
        </w:rPr>
        <w:t>Media effects.</w:t>
      </w:r>
      <w:r>
        <w:rPr>
          <w:rFonts w:ascii="Arial" w:hAnsi="Arial"/>
          <w:b w:val="0"/>
          <w:i w:val="0"/>
          <w:color w:val="1E242A"/>
          <w:sz w:val="20"/>
        </w:rPr>
        <w:t xml:space="preserve"> Agenda-setting and framing are supported; direct causal effects on opinion or votes are difficult to isolate.</w:t>
      </w:r>
    </w:p>
    <w:p>
      <w:pPr>
        <w:pStyle w:val="ListNumber"/>
        <w:numPr>
          <w:ilvl w:val="0"/>
          <w:numId w:val="7"/>
        </w:numPr>
      </w:pPr>
      <w:r>
        <w:rPr>
          <w:rFonts w:ascii="Arial" w:hAnsi="Arial"/>
          <w:b/>
          <w:i w:val="0"/>
          <w:color w:val="1E242A"/>
          <w:sz w:val="20"/>
        </w:rPr>
        <w:t>Social media effects.</w:t>
      </w:r>
      <w:r>
        <w:rPr>
          <w:rFonts w:ascii="Arial" w:hAnsi="Arial"/>
          <w:b w:val="0"/>
          <w:i w:val="0"/>
          <w:color w:val="1E242A"/>
          <w:sz w:val="20"/>
        </w:rPr>
        <w:t xml:space="preserve"> Platforms and rules change rapidly. Preserve communication behaviours rather than a permanent WhatsApp variable.</w:t>
      </w:r>
    </w:p>
    <w:p>
      <w:pPr>
        <w:pStyle w:val="ListNumber"/>
        <w:numPr>
          <w:ilvl w:val="0"/>
          <w:numId w:val="7"/>
        </w:numPr>
      </w:pPr>
      <w:r>
        <w:rPr>
          <w:rFonts w:ascii="Arial" w:hAnsi="Arial"/>
          <w:b/>
          <w:i w:val="0"/>
          <w:color w:val="1E242A"/>
          <w:sz w:val="20"/>
        </w:rPr>
        <w:t>2013 legacy.</w:t>
      </w:r>
      <w:r>
        <w:rPr>
          <w:rFonts w:ascii="Arial" w:hAnsi="Arial"/>
          <w:b w:val="0"/>
          <w:i w:val="0"/>
          <w:color w:val="1E242A"/>
          <w:sz w:val="20"/>
        </w:rPr>
        <w:t xml:space="preserve"> Scholarship disputes the causal connection to later impeachment and right mobilisation.</w:t>
      </w:r>
    </w:p>
    <w:p>
      <w:pPr>
        <w:pStyle w:val="ListNumber"/>
        <w:numPr>
          <w:ilvl w:val="0"/>
          <w:numId w:val="7"/>
        </w:numPr>
      </w:pPr>
      <w:r>
        <w:rPr>
          <w:rFonts w:ascii="Arial" w:hAnsi="Arial"/>
          <w:b/>
          <w:i w:val="0"/>
          <w:color w:val="1E242A"/>
          <w:sz w:val="20"/>
        </w:rPr>
        <w:t>Organised interests.</w:t>
      </w:r>
      <w:r>
        <w:rPr>
          <w:rFonts w:ascii="Arial" w:hAnsi="Arial"/>
          <w:b w:val="0"/>
          <w:i w:val="0"/>
          <w:color w:val="1E242A"/>
          <w:sz w:val="20"/>
        </w:rPr>
        <w:t xml:space="preserve"> Front membership, union density or association statements do not prove member discipline or causal influence.</w:t>
      </w:r>
    </w:p>
    <w:p>
      <w:pPr>
        <w:pStyle w:val="ListNumber"/>
        <w:numPr>
          <w:ilvl w:val="0"/>
          <w:numId w:val="7"/>
        </w:numPr>
      </w:pPr>
      <w:r>
        <w:rPr>
          <w:rFonts w:ascii="Arial" w:hAnsi="Arial"/>
          <w:b/>
          <w:i w:val="0"/>
          <w:color w:val="1E242A"/>
          <w:sz w:val="20"/>
        </w:rPr>
        <w:t>Second-tier appointments.</w:t>
      </w:r>
      <w:r>
        <w:rPr>
          <w:rFonts w:ascii="Arial" w:hAnsi="Arial"/>
          <w:b w:val="0"/>
          <w:i w:val="0"/>
          <w:color w:val="1E242A"/>
          <w:sz w:val="20"/>
        </w:rPr>
        <w:t xml:space="preserve"> The newest evidence is observational and historically bounded; never translate it into lawful vote purchase.</w:t>
      </w:r>
    </w:p>
    <w:p>
      <w:pPr>
        <w:pStyle w:val="ListNumber"/>
        <w:numPr>
          <w:ilvl w:val="0"/>
          <w:numId w:val="7"/>
        </w:numPr>
      </w:pPr>
      <w:r>
        <w:rPr>
          <w:rFonts w:ascii="Arial" w:hAnsi="Arial"/>
          <w:b/>
          <w:i w:val="0"/>
          <w:color w:val="1E242A"/>
          <w:sz w:val="20"/>
        </w:rPr>
        <w:t>Lobbying.</w:t>
      </w:r>
      <w:r>
        <w:rPr>
          <w:rFonts w:ascii="Arial" w:hAnsi="Arial"/>
          <w:b w:val="0"/>
          <w:i w:val="0"/>
          <w:color w:val="1E242A"/>
          <w:sz w:val="20"/>
        </w:rPr>
        <w:t xml:space="preserve"> The transparency framework is partial and Brazil lacks a comprehensive dedicated statute. Legal and institutional changes need monitoring.</w:t>
      </w:r>
    </w:p>
    <w:p>
      <w:pPr>
        <w:pStyle w:val="ListNumber"/>
        <w:numPr>
          <w:ilvl w:val="0"/>
          <w:numId w:val="7"/>
        </w:numPr>
      </w:pPr>
      <w:r>
        <w:rPr>
          <w:rFonts w:ascii="Arial" w:hAnsi="Arial"/>
          <w:b/>
          <w:i w:val="0"/>
          <w:color w:val="1E242A"/>
          <w:sz w:val="20"/>
        </w:rPr>
        <w:t>Impeachment.</w:t>
      </w:r>
      <w:r>
        <w:rPr>
          <w:rFonts w:ascii="Arial" w:hAnsi="Arial"/>
          <w:b w:val="0"/>
          <w:i w:val="0"/>
          <w:color w:val="1E242A"/>
          <w:sz w:val="20"/>
        </w:rPr>
        <w:t xml:space="preserve"> Dilma's legal and democratic interpretation remains contested. Historical conjunctions should not become automatic triggers.</w:t>
      </w:r>
    </w:p>
    <w:p>
      <w:pPr>
        <w:pStyle w:val="ListNumber"/>
        <w:numPr>
          <w:ilvl w:val="0"/>
          <w:numId w:val="7"/>
        </w:numPr>
      </w:pPr>
      <w:r>
        <w:rPr>
          <w:rFonts w:ascii="Arial" w:hAnsi="Arial"/>
          <w:b/>
          <w:i w:val="0"/>
          <w:color w:val="1E242A"/>
          <w:sz w:val="20"/>
        </w:rPr>
        <w:t>Current parties and leaders.</w:t>
      </w:r>
      <w:r>
        <w:rPr>
          <w:rFonts w:ascii="Arial" w:hAnsi="Arial"/>
          <w:b w:val="0"/>
          <w:i w:val="0"/>
          <w:color w:val="1E242A"/>
          <w:sz w:val="20"/>
        </w:rPr>
        <w:t xml:space="preserve"> Every party strength, federation, bloc, governor, poll and campaign allocation is dated scenario state.</w:t>
      </w:r>
    </w:p>
    <w:p>
      <w:pPr>
        <w:pStyle w:val="ListNumber"/>
        <w:numPr>
          <w:ilvl w:val="0"/>
          <w:numId w:val="7"/>
        </w:numPr>
      </w:pPr>
      <w:r>
        <w:rPr>
          <w:rFonts w:ascii="Arial" w:hAnsi="Arial"/>
          <w:b/>
          <w:i w:val="0"/>
          <w:color w:val="1E242A"/>
          <w:sz w:val="20"/>
        </w:rPr>
        <w:t>Pass 2.</w:t>
      </w:r>
      <w:r>
        <w:rPr>
          <w:rFonts w:ascii="Arial" w:hAnsi="Arial"/>
          <w:b w:val="0"/>
          <w:i w:val="0"/>
          <w:color w:val="1E242A"/>
          <w:sz w:val="20"/>
        </w:rPr>
        <w:t xml:space="preserve"> Its empty file prevents contradiction testing on budget, fiscal federalism, SOEs and business-state relations.</w:t>
      </w:r>
    </w:p>
    <w:p>
      <w:pPr>
        <w:pStyle w:val="Heading1"/>
      </w:pPr>
      <w:r>
        <w:rPr>
          <w:rFonts w:ascii="Arial" w:hAnsi="Arial"/>
          <w:b w:val="0"/>
          <w:i w:val="0"/>
          <w:color w:val="183752"/>
          <w:sz w:val="34"/>
        </w:rPr>
        <w:t>Source and validation notes</w:t>
      </w:r>
    </w:p>
    <w:p>
      <w:r>
        <w:rPr>
          <w:rFonts w:ascii="Arial" w:hAnsi="Arial"/>
          <w:b w:val="0"/>
          <w:i w:val="0"/>
          <w:color w:val="1E242A"/>
          <w:sz w:val="21"/>
        </w:rPr>
        <w:t>Formal claims were checked against the Constitution, current TSE materials, election and party law, Chamber and Senate rules and official institutional sources. Behavioural claims were triangulated through peer-reviewed Brazilian and comparative political-science research, official legislative studies, IBGE, OECD and reputable media research. Contrary evidence was actively sought on party weakness, governor control, executive dominance, protest causation, media power and coalition membership.</w:t>
      </w:r>
    </w:p>
    <w:p>
      <w:r>
        <w:rPr>
          <w:rFonts w:ascii="Arial" w:hAnsi="Arial"/>
          <w:b w:val="0"/>
          <w:i w:val="0"/>
          <w:color w:val="1E242A"/>
          <w:sz w:val="21"/>
        </w:rPr>
        <w:t>The evidence reached diminishing returns when every requested actor family had a supported institutional pathway, central disagreements were preserved, high-consequence presidential boundaries were corroborated and remaining gaps were concentrated in contested causal inference or rapidly changing scenario state.</w:t>
      </w:r>
    </w:p>
    <w:p>
      <w:r>
        <w:rPr>
          <w:rFonts w:ascii="Arial" w:hAnsi="Arial"/>
          <w:b w:val="0"/>
          <w:i w:val="0"/>
          <w:color w:val="1E242A"/>
          <w:sz w:val="21"/>
        </w:rPr>
        <w:t xml:space="preserve">The governing conclusion is: </w:t>
      </w:r>
      <w:r>
        <w:rPr>
          <w:rFonts w:ascii="Arial" w:hAnsi="Arial"/>
          <w:b/>
          <w:i w:val="0"/>
          <w:color w:val="1E242A"/>
          <w:sz w:val="21"/>
        </w:rPr>
        <w:t>the President possesses political power, but does not possess the political system. A credible Brazil must be capable of producing politics even when the President does nothing.</w:t>
      </w:r>
    </w:p>
    <w:sectPr>
      <w:headerReference r:id="rId13" w:type="default"/>
      <w:footerReference r:id="rId14" w:type="default"/>
      <w:pgSz w:h="15840" w:w="12240"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tabs>
        <w:tab w:val="right" w:leader="none" w:pos="9214"/>
      </w:tabs>
      <w:jc w:val="center"/>
      <w:rPr>
        <w:color w:val="999999"/>
        <w:sz w:val="18"/>
        <w:szCs w:val="18"/>
      </w:rPr>
    </w:pPr>
    <w:r>
      <w:rPr>
        <w:rFonts w:ascii="Arial" w:hAnsi="Arial"/>
        <w:b w:val="0"/>
        <w:i w:val="0"/>
        <w:color w:val="5A636B"/>
        <w:sz w:val="16"/>
      </w:rPr>
      <w:t>Research Pass 4  |  Political Behaviour, Parties, Coalitions, Elections, Society and Media  |  3 September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jc w:val="left"/>
      <w:rPr>
        <w:color w:val="999999"/>
        <w:sz w:val="24"/>
        <w:szCs w:val="24"/>
      </w:rPr>
    </w:pPr>
    <w:r>
      <w:rPr>
        <w:rFonts w:ascii="Arial" w:hAnsi="Arial"/>
        <w:b/>
        <w:i w:val="0"/>
        <w:color w:val="5A636B"/>
        <w:sz w:val="17"/>
      </w:rPr>
      <w:t>SOVEREIGN  |  BRAZIL COUNTRY RESEARCH PROGRAMME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abstractNum w:abstractNumId="2">
    <w:multiLevelType w:val="singleLevel"/>
    <w:lvl w:ilvl="0">
      <w:start w:val="1"/>
      <w:numFmt w:val="bullet"/>
      <w:lvlText w:val="•"/>
      <w:lvlJc w:val="left"/>
      <w:pPr>
        <w:tabs>
          <w:tab w:val="num" w:pos="720"/>
        </w:tabs>
        <w:ind w:left="720" w:hanging="360"/>
      </w:pPr>
    </w:lvl>
  </w:abstractNum>
  <w:num w:numId="2">
    <w:abstractNumId w:val="2"/>
  </w:num>
  <w:abstractNum w:abstractNumId="3">
    <w:multiLevelType w:val="singleLevel"/>
    <w:lvl w:ilvl="0">
      <w:start w:val="1"/>
      <w:numFmt w:val="decimal"/>
      <w:lvlText w:val="%1."/>
      <w:lvlJc w:val="left"/>
      <w:pPr>
        <w:tabs>
          <w:tab w:val="num" w:pos="720"/>
        </w:tabs>
        <w:ind w:left="720" w:hanging="360"/>
      </w:pPr>
    </w:lvl>
  </w:abstractNum>
  <w:num w:numId="3">
    <w:abstractNumId w:val="3"/>
  </w:num>
  <w:abstractNum w:abstractNumId="4">
    <w:multiLevelType w:val="singleLevel"/>
    <w:lvl w:ilvl="0">
      <w:start w:val="1"/>
      <w:numFmt w:val="bullet"/>
      <w:lvlText w:val="•"/>
      <w:lvlJc w:val="left"/>
      <w:pPr>
        <w:tabs>
          <w:tab w:val="num" w:pos="720"/>
        </w:tabs>
        <w:ind w:left="720" w:hanging="360"/>
      </w:pPr>
    </w:lvl>
  </w:abstractNum>
  <w:num w:numId="4">
    <w:abstractNumId w:val="4"/>
  </w:num>
  <w:abstractNum w:abstractNumId="5">
    <w:multiLevelType w:val="singleLevel"/>
    <w:lvl w:ilvl="0">
      <w:start w:val="1"/>
      <w:numFmt w:val="decimal"/>
      <w:lvlText w:val="%1."/>
      <w:lvlJc w:val="left"/>
      <w:pPr>
        <w:tabs>
          <w:tab w:val="num" w:pos="720"/>
        </w:tabs>
        <w:ind w:left="720" w:hanging="360"/>
      </w:pPr>
    </w:lvl>
  </w:abstractNum>
  <w:num w:numId="5">
    <w:abstractNumId w:val="5"/>
  </w:num>
  <w:abstractNum w:abstractNumId="6">
    <w:multiLevelType w:val="singleLevel"/>
    <w:lvl w:ilvl="0">
      <w:start w:val="1"/>
      <w:numFmt w:val="bullet"/>
      <w:lvlText w:val="•"/>
      <w:lvlJc w:val="left"/>
      <w:pPr>
        <w:tabs>
          <w:tab w:val="num" w:pos="720"/>
        </w:tabs>
        <w:ind w:left="720" w:hanging="360"/>
      </w:pPr>
    </w:lvl>
  </w:abstractNum>
  <w:num w:numId="6">
    <w:abstractNumId w:val="6"/>
  </w:num>
  <w:abstractNum w:abstractNumId="7">
    <w:multiLevelType w:val="singleLevel"/>
    <w:lvl w:ilvl="0">
      <w:start w:val="1"/>
      <w:numFmt w:val="decimal"/>
      <w:lvlText w:val="%1."/>
      <w:lvlJc w:val="left"/>
      <w:pPr>
        <w:tabs>
          <w:tab w:val="num" w:pos="720"/>
        </w:tabs>
        <w:ind w:left="720" w:hanging="360"/>
      </w:pPr>
    </w:lvl>
  </w:abstract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updateFields w:val="true"/>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69" w:lineRule="auto"/>
    </w:pPr>
    <w:rPr>
      <w:rFonts w:ascii="Arial" w:hAnsi="Arial"/>
      <w:color w:val="1E242A"/>
      <w:sz w:val="21"/>
    </w:rPr>
  </w:style>
  <w:style w:type="paragraph" w:styleId="Heading1">
    <w:name w:val="heading 1"/>
    <w:basedOn w:val="Normal"/>
    <w:next w:val="Normal"/>
    <w:pPr>
      <w:keepNext/>
      <w:keepLines w:val="1"/>
      <w:spacing w:after="140" w:before="320" w:lineRule="auto"/>
    </w:pPr>
    <w:rPr>
      <w:rFonts w:ascii="Arial" w:hAnsi="Arial"/>
      <w:b/>
      <w:color w:val="183752"/>
      <w:sz w:val="34"/>
      <w:szCs w:val="40"/>
    </w:rPr>
  </w:style>
  <w:style w:type="paragraph" w:styleId="Heading2">
    <w:name w:val="heading 2"/>
    <w:basedOn w:val="Normal"/>
    <w:next w:val="Normal"/>
    <w:pPr>
      <w:keepNext/>
      <w:keepLines w:val="1"/>
      <w:spacing w:after="100" w:before="240" w:lineRule="auto"/>
    </w:pPr>
    <w:rPr>
      <w:rFonts w:ascii="Arial" w:hAnsi="Arial"/>
      <w:b/>
      <w:color w:val="2C5F80"/>
      <w:sz w:val="27"/>
      <w:szCs w:val="32"/>
    </w:rPr>
  </w:style>
  <w:style w:type="paragraph" w:styleId="Heading3">
    <w:name w:val="heading 3"/>
    <w:basedOn w:val="Normal"/>
    <w:next w:val="Normal"/>
    <w:pPr>
      <w:keepNext/>
      <w:keepLines w:val="1"/>
      <w:spacing w:after="60" w:before="160" w:lineRule="auto"/>
    </w:pPr>
    <w:rPr>
      <w:rFonts w:ascii="Arial" w:hAnsi="Arial"/>
      <w:b/>
      <w:color w:val="183752"/>
      <w:sz w:val="23"/>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keepLines w:val="1"/>
      <w:spacing w:after="200" w:lineRule="auto" w:before="0"/>
    </w:pPr>
    <w:rPr>
      <w:rFonts w:ascii="Arial" w:hAnsi="Arial"/>
      <w:b/>
      <w:color w:val="183752"/>
      <w:sz w:val="56"/>
      <w:szCs w:val="52"/>
    </w:rPr>
  </w:style>
  <w:style w:type="paragraph" w:styleId="Subtitle">
    <w:name w:val="Subtitle"/>
    <w:basedOn w:val="Normal"/>
    <w:next w:val="Normal"/>
    <w:pPr>
      <w:keepNext/>
      <w:keepLines w:val="1"/>
      <w:spacing w:after="240" w:lineRule="auto" w:before="0"/>
    </w:pPr>
    <w:rPr>
      <w:rFonts w:ascii="Arial" w:hAnsi="Arial"/>
      <w:b w:val="0"/>
      <w:color w:val="5A636B"/>
      <w:sz w:val="26"/>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customStyle="1" w:styleId="ListBullet">
    <w:name w:val="List Bullet"/>
    <w:basedOn w:val="Normal"/>
    <w:pPr>
      <w:spacing w:after="60" w:line="269" w:lineRule="auto"/>
    </w:pPr>
    <w:rPr>
      <w:rFonts w:ascii="Arial" w:hAnsi="Arial"/>
      <w:sz w:val="20"/>
    </w:rPr>
  </w:style>
  <w:style w:type="paragraph" w:customStyle="1" w:styleId="ListNumber">
    <w:name w:val="List Number"/>
    <w:basedOn w:val="Normal"/>
    <w:pPr>
      <w:spacing w:after="60" w:line="269" w:lineRule="auto"/>
    </w:pPr>
    <w:rPr>
      <w:rFonts w:ascii="Arial" w:hAnsi="Arial"/>
      <w:sz w:val="2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 Id="rId6" Type="http://schemas.openxmlformats.org/officeDocument/2006/relationships/hyperlink" Target="https://www2.camara.leg.br/legin/fed/consti/1988/constituicao-1988-5-outubro-1988-322142-normaatualizada-pl.html" TargetMode="External"/><Relationship Id="rId15" Type="http://schemas.openxmlformats.org/officeDocument/2006/relationships/hyperlink" Target="https://doi.org/10.1590/S0102-64451998000200005" TargetMode="External"/><Relationship Id="rId16" Type="http://schemas.openxmlformats.org/officeDocument/2006/relationships/hyperlink" Target="https://www12.senado.leg.br/ril/edicoes/61/242/ril_v61_n242_p11" TargetMode="External"/><Relationship Id="rId17" Type="http://schemas.openxmlformats.org/officeDocument/2006/relationships/hyperlink" Target="https://www.scielo.br/j/bpsr/a/rwXz4YfqcJmSsZ8zyxgG8hd/" TargetMode="External"/><Relationship Id="rId18" Type="http://schemas.openxmlformats.org/officeDocument/2006/relationships/hyperlink" Target="https://www.planalto.gov.br/ccivil_03/constituicao/constituicao.htm" TargetMode="External"/><Relationship Id="rId19" Type="http://schemas.openxmlformats.org/officeDocument/2006/relationships/hyperlink" Target="https://portal.stf.jus.br/constituicao-supremo/artigo.asp?abrirArtigo=84&amp;abrirBase=CF" TargetMode="External"/><Relationship Id="rId20" Type="http://schemas.openxmlformats.org/officeDocument/2006/relationships/hyperlink" Target="https://www.scielo.br/j/rinc/a/w6HH7Z8CjKyQnZqGtxqCXry/?lang=en" TargetMode="External"/><Relationship Id="rId21" Type="http://schemas.openxmlformats.org/officeDocument/2006/relationships/hyperlink" Target="https://portal.stf.jus.br/noticias/verNoticiaDetalhe.asp?idConteudo=506827&amp;ori=1" TargetMode="External"/><Relationship Id="rId22" Type="http://schemas.openxmlformats.org/officeDocument/2006/relationships/hyperlink" Target="https://legis.senado.leg.br/norma/561120/publicacao/15678176" TargetMode="External"/><Relationship Id="rId23" Type="http://schemas.openxmlformats.org/officeDocument/2006/relationships/hyperlink" Target="https://doi.org/10.1093/slr/hmv011" TargetMode="External"/><Relationship Id="rId24" Type="http://schemas.openxmlformats.org/officeDocument/2006/relationships/hyperlink" Target="https://www.planalto.gov.br/ccivil_03/_ato2023-2026/2024/decreto/d12002.htm" TargetMode="External"/><Relationship Id="rId25" Type="http://schemas.openxmlformats.org/officeDocument/2006/relationships/hyperlink" Target="https://www12.senado.leg.br/orcamento/legislacao-orcamentaria" TargetMode="External"/><Relationship Id="rId26" Type="http://schemas.openxmlformats.org/officeDocument/2006/relationships/hyperlink" Target="https://legis.senado.leg.br/norma/39857130/publicacao/39857348" TargetMode="External"/><Relationship Id="rId27" Type="http://schemas.openxmlformats.org/officeDocument/2006/relationships/hyperlink" Target="https://portal.stf.jus.br/noticias/verNoticiaDetalhe.asp?idConteudo=499330" TargetMode="External"/><Relationship Id="rId28" Type="http://schemas.openxmlformats.org/officeDocument/2006/relationships/hyperlink" Target="https://www.planalto.gov.br/ccivil_03/leis/lcp/lcp97compilado.htm" TargetMode="External"/><Relationship Id="rId29" Type="http://schemas.openxmlformats.org/officeDocument/2006/relationships/hyperlink" Target="https://portal.stf.jus.br/noticias/verNoticiaDetalhe.asp?idConteudo=531731&amp;ori=1" TargetMode="External"/><Relationship Id="rId30" Type="http://schemas.openxmlformats.org/officeDocument/2006/relationships/hyperlink" Target="https://www2.camara.leg.br/atividade-legislativa/legislacao/Constituicoes_Brasileiras/constituicao-cidada/constituicao-federal/index.html/CF1988.html" TargetMode="External"/><Relationship Id="rId31" Type="http://schemas.openxmlformats.org/officeDocument/2006/relationships/hyperlink" Target="https://planalto.gov.br/ccivil_03/_ato2015-2018/2018/decreto/d9288.htm" TargetMode="External"/><Relationship Id="rId32" Type="http://schemas.openxmlformats.org/officeDocument/2006/relationships/hyperlink" Target="https://noticias.stf.jus.br/postsnoticias/stf-confirma-manutencao-de-numero-de-deputados-federais-para-2026/" TargetMode="External"/><Relationship Id="rId33" Type="http://schemas.openxmlformats.org/officeDocument/2006/relationships/hyperlink" Target="https://www2.camara.leg.br/a-camara/presidencia/atribuicoes" TargetMode="External"/><Relationship Id="rId34" Type="http://schemas.openxmlformats.org/officeDocument/2006/relationships/hyperlink" Target="https://www2.camara.leg.br/atividade-legislativa/legislacao/regimento-interno-da-camara-dos-deputados/arquivos-1/RICDatualizadoatRCD342026.pdf/view" TargetMode="External"/><Relationship Id="rId35" Type="http://schemas.openxmlformats.org/officeDocument/2006/relationships/hyperlink" Target="https://portal.stf.jus.br/noticias/verNoticiaDetalhe.asp?idConteudo=435436&amp;ori=" TargetMode="External"/><Relationship Id="rId36" Type="http://schemas.openxmlformats.org/officeDocument/2006/relationships/hyperlink" Target="https://www.planalto.gov.br/ccivil_03/leis/l9882.htm" TargetMode="External"/><Relationship Id="rId37" Type="http://schemas.openxmlformats.org/officeDocument/2006/relationships/hyperlink" Target="https://www.planalto.gov.br/ccivil_03/leis/l9868.htm" TargetMode="External"/><Relationship Id="rId38" Type="http://schemas.openxmlformats.org/officeDocument/2006/relationships/hyperlink" Target="https://portal.stf.jus.br/noticias/verNoticiaDetalhe.asp?idConteudo=441447" TargetMode="External"/><Relationship Id="rId39" Type="http://schemas.openxmlformats.org/officeDocument/2006/relationships/hyperlink" Target="https://portal.stf.jus.br/noticias/verNoticiaDetalhe.asp?idConteudo=489997&amp;ori=" TargetMode="External"/><Relationship Id="rId40" Type="http://schemas.openxmlformats.org/officeDocument/2006/relationships/hyperlink" Target="https://portal.stf.jus.br/processos/detalhe.asp?incidente=6996131" TargetMode="External"/><Relationship Id="rId41" Type="http://schemas.openxmlformats.org/officeDocument/2006/relationships/hyperlink" Target="https://portal.stf.jus.br/noticias/verNoticiaDetalhe.asp?idConteudo=515220" TargetMode="External"/><Relationship Id="rId42" Type="http://schemas.openxmlformats.org/officeDocument/2006/relationships/hyperlink" Target="https://portal.stf.jus.br/noticias/verNoticiaDetalhe.asp?idConteudo=447103" TargetMode="External"/><Relationship Id="rId43" Type="http://schemas.openxmlformats.org/officeDocument/2006/relationships/hyperlink" Target="https://planalto.gov.br/ccivil_03/leis/lcp/lcp141.htm" TargetMode="External"/><Relationship Id="rId44" Type="http://schemas.openxmlformats.org/officeDocument/2006/relationships/hyperlink" Target="https://planalto.gov.br/ccivil_03/_ato2019-2022/2020/lei/l14113.htm" TargetMode="External"/><Relationship Id="rId45" Type="http://schemas.openxmlformats.org/officeDocument/2006/relationships/hyperlink" Target="https://www.planalto.gov.br/ccivil_03/constituicao/constituicaocompilado.htm" TargetMode="External"/><Relationship Id="rId46" Type="http://schemas.openxmlformats.org/officeDocument/2006/relationships/hyperlink" Target="https://www.planalto.gov.br/ccivil_03/leis/lcp/lcp214.htm" TargetMode="External"/><Relationship Id="rId47" Type="http://schemas.openxmlformats.org/officeDocument/2006/relationships/hyperlink" Target="https://www.planalto.gov.br/ccivil_03/leis/lcp/lcp140.htm" TargetMode="External"/><Relationship Id="rId48" Type="http://schemas.openxmlformats.org/officeDocument/2006/relationships/hyperlink" Target="https://www.gov.br/tesouronacional/pt-br/estados-e-municipios/transferencias-a-estados-e-municipios/transferencias-constitucionais-e-legais" TargetMode="External"/><Relationship Id="rId49" Type="http://schemas.openxmlformats.org/officeDocument/2006/relationships/hyperlink" Target="https://www.gov.br/igualdaderacial/pt-br/acesso-a-informacao/convenios-e-transferencias/transferencias-voluntarias" TargetMode="External"/><Relationship Id="rId50" Type="http://schemas.openxmlformats.org/officeDocument/2006/relationships/hyperlink" Target="https://www.planalto.gov.br/ccivil_03/_ato2004-2006/2005/lei/l11107.htm" TargetMode="External"/><Relationship Id="rId51" Type="http://schemas.openxmlformats.org/officeDocument/2006/relationships/hyperlink" Target="https://www.oecd.org/en/publications/auditing-decentralised-policies-in-brazil_30023307-en/full-report/auditing-decentralised-policies-the-challenges-for-brazil_a9470cda.html" TargetMode="External"/><Relationship Id="rId52" Type="http://schemas.openxmlformats.org/officeDocument/2006/relationships/hyperlink" Target="https://www.oecd.org/content/dam/oecd/en/publications/reports/2022/06/centre-of-government-review-of-brazil_c0cd0766/33d996b2-en.pdf" TargetMode="External"/><Relationship Id="rId53" Type="http://schemas.openxmlformats.org/officeDocument/2006/relationships/hyperlink" Target="https://planalto.gov.br/ccivil_03/decreto-lei/del0200.htm" TargetMode="External"/><Relationship Id="rId54" Type="http://schemas.openxmlformats.org/officeDocument/2006/relationships/hyperlink" Target="https://www.planalto.gov.br/ccivil_03/_ato2023-2026/2023/lei/l14600.htm" TargetMode="External"/><Relationship Id="rId55" Type="http://schemas.openxmlformats.org/officeDocument/2006/relationships/hyperlink" Target="https://www.planalto.gov.br/ccivil_03/_ato2019-2022/2019/lei/l13848.htm" TargetMode="External"/><Relationship Id="rId56" Type="http://schemas.openxmlformats.org/officeDocument/2006/relationships/hyperlink" Target="https://portal.tcu.gov.br/imprensa/noticias/secao-das-sessoes-2026-02-11" TargetMode="External"/><Relationship Id="rId57" Type="http://schemas.openxmlformats.org/officeDocument/2006/relationships/hyperlink" Target="https://www.planalto.gov.br/ccivil_03/leis/lcp/lcp179.htm" TargetMode="External"/><Relationship Id="rId58" Type="http://schemas.openxmlformats.org/officeDocument/2006/relationships/hyperlink" Target="https://www.planalto.gov.br/ccivil_03/_ato2015-2018/2016/lei/l13303.htm" TargetMode="External"/><Relationship Id="rId59" Type="http://schemas.openxmlformats.org/officeDocument/2006/relationships/hyperlink" Target="https://www.planalto.gov.br/ccivil_03/leis/l9504compilado.htm" TargetMode="External"/><Relationship Id="rId60" Type="http://schemas.openxmlformats.org/officeDocument/2006/relationships/hyperlink" Target="https://www.tse.jus.br/comunicacao/noticias/2026/Abril/por-dentro-das-eleicoes-brasil-utiliza-sistemas-eleitorais-majoritario-e-proporcional" TargetMode="External"/><Relationship Id="rId61" Type="http://schemas.openxmlformats.org/officeDocument/2006/relationships/hyperlink" Target="https://www.tse.jus.br/legislacao/codigo-eleitoral/codigo-eleitoral-1/codigo-eleitoral-lei-nb0-4.737-de-15-de-julho-de-1965" TargetMode="External"/><Relationship Id="rId62" Type="http://schemas.openxmlformats.org/officeDocument/2006/relationships/hyperlink" Target="https://www.tse.jus.br/comunicacao/noticias/2022/Fevereiro/eleicoes-2022-resolucao-do-tse-regulamenta-federacoes-partidarias" TargetMode="External"/><Relationship Id="rId63" Type="http://schemas.openxmlformats.org/officeDocument/2006/relationships/hyperlink" Target="https://www.tse.jus.br/comunicacao/noticias/2026/Junho/clausula-de-desempenho-deve-influenciar-cenario-partidario-nas-eleicoes-2026" TargetMode="External"/><Relationship Id="rId64" Type="http://schemas.openxmlformats.org/officeDocument/2006/relationships/hyperlink" Target="https://www.tse.jus.br/legislacao/codigo-eleitoral/lei-dos-partidos-politicos/lei-dos-partidos-politicos-lei-nb0-9.096-de-19-de-setembro-de-1995" TargetMode="External"/><Relationship Id="rId65" Type="http://schemas.openxmlformats.org/officeDocument/2006/relationships/hyperlink" Target="https://planalto.gov.br/ccivil_03/_ato2023-2026/2026/lei/l15358.htm" TargetMode="External"/><Relationship Id="rId66" Type="http://schemas.openxmlformats.org/officeDocument/2006/relationships/hyperlink" Target="https://www.planalto.gov.br/ccivil_03/leis/2002/l10446.htm" TargetMode="External"/><Relationship Id="rId67" Type="http://schemas.openxmlformats.org/officeDocument/2006/relationships/hyperlink" Target="https://www.planalto.gov.br/ccivil_03/_ato2015-2018/2018/lei/l13675.htm" TargetMode="External"/><Relationship Id="rId68" Type="http://schemas.openxmlformats.org/officeDocument/2006/relationships/hyperlink" Target="https://planalto.gov.br/ccivil_03/leis/l9266.htm" TargetMode="External"/><Relationship Id="rId69" Type="http://schemas.openxmlformats.org/officeDocument/2006/relationships/hyperlink" Target="https://www.planalto.gov.br/ccivil_03/_ato2023-2026/2023/decreto/d11348.htm" TargetMode="External"/><Relationship Id="rId70" Type="http://schemas.openxmlformats.org/officeDocument/2006/relationships/hyperlink" Target="https://www.gov.br/pf/pt-br/acesso-a-informacao/institucional/competencias" TargetMode="External"/><Relationship Id="rId71" Type="http://schemas.openxmlformats.org/officeDocument/2006/relationships/hyperlink" Target="https://portal.stf.jus.br/constituicao-supremo/artigo.asp?abrirArtigo=144&amp;abrirBase=CF" TargetMode="External"/><Relationship Id="rId72" Type="http://schemas.openxmlformats.org/officeDocument/2006/relationships/hyperlink" Target="https://portal.stf.jus.br/jurisprudenciaRepercussao/verAndamentoProcesso.asp?classeProcesso=RE&amp;incidente=2641697&amp;numeroProcesso=593727&amp;numeroTema=184.+" TargetMode="External"/><Relationship Id="rId73" Type="http://schemas.openxmlformats.org/officeDocument/2006/relationships/hyperlink" Target="https://www.planalto.gov.br/ccivil_03/decreto-lei/del3689compilado.htm" TargetMode="External"/><Relationship Id="rId74" Type="http://schemas.openxmlformats.org/officeDocument/2006/relationships/hyperlink" Target="https://planalto.gov.br/ccivil_03/leis/l9296.htm" TargetMode="External"/><Relationship Id="rId75" Type="http://schemas.openxmlformats.org/officeDocument/2006/relationships/hyperlink" Target="https://noticias.stf.jus.br/postsnoticias/adpf-das-favelas-stf-homologa-parcialmente-plano-do-estado-do-rio-de-janeiro-para-reduzir-letalidade-policial/" TargetMode="External"/><Relationship Id="rId76" Type="http://schemas.openxmlformats.org/officeDocument/2006/relationships/hyperlink" Target="https://planalto.gov.br/ccivil_03/_ato2011-2014/2013/lei/l12850.htm" TargetMode="External"/><Relationship Id="rId77" Type="http://schemas.openxmlformats.org/officeDocument/2006/relationships/hyperlink" Target="https://www.gov.br/senappen/pt-br/assuntos/noticias/lei-antifaccao-e-tema-de-audiencia-publica-no-supremo-tribunal-federal" TargetMode="External"/><Relationship Id="rId78" Type="http://schemas.openxmlformats.org/officeDocument/2006/relationships/hyperlink" Target="https://planalto.gov.br/ccivil_03/leis/l9613compilado.htm" TargetMode="External"/><Relationship Id="rId79" Type="http://schemas.openxmlformats.org/officeDocument/2006/relationships/hyperlink" Target="https://planalto.gov.br/ccivil_03/_ato2004-2006/2006/lei/l11343.htm" TargetMode="External"/><Relationship Id="rId80" Type="http://schemas.openxmlformats.org/officeDocument/2006/relationships/hyperlink" Target="https://www.planalto.gov.br/ccivil_03/leis/l7560compilado.htm" TargetMode="External"/><Relationship Id="rId81" Type="http://schemas.openxmlformats.org/officeDocument/2006/relationships/hyperlink" Target="https://www.planalto.gov.br/ccivil_03/_ato2015-2018/2018/lei/l13756compilado.htm" TargetMode="External"/><Relationship Id="rId82" Type="http://schemas.openxmlformats.org/officeDocument/2006/relationships/hyperlink" Target="https://www.planalto.gov.br/ccivil_03/_ato2019-2022/2020/lei/l13974.htm" TargetMode="External"/><Relationship Id="rId83" Type="http://schemas.openxmlformats.org/officeDocument/2006/relationships/hyperlink" Target="https://www.gov.br/coaf/pt-br/assuntos/noticias/ultimas-noticias/atencao-o-coaf-nao-bloqueia-libera-ou-retem-dinheiro-bens-ou-qualquer-outro-tipo-de-recurso-financeiro" TargetMode="External"/><Relationship Id="rId84" Type="http://schemas.openxmlformats.org/officeDocument/2006/relationships/hyperlink" Target="https://portal.stf.jus.br/jurisprudenciaRepercussao/verPronunciamento.asp?pronunciamento=9176586" TargetMode="External"/><Relationship Id="rId85" Type="http://schemas.openxmlformats.org/officeDocument/2006/relationships/hyperlink" Target="https://portal.stf.jus.br/jurisprudenciaRepercussao/tema.asp?num=1404" TargetMode="External"/><Relationship Id="rId86" Type="http://schemas.openxmlformats.org/officeDocument/2006/relationships/hyperlink" Target="https://noticias.stf.jus.br/postsnoticias/stf-fixa-regras-para-uso-de-relatorios-do-coaf-e-proibe-pesca-probatoria/" TargetMode="External"/><Relationship Id="rId87" Type="http://schemas.openxmlformats.org/officeDocument/2006/relationships/hyperlink" Target="https://www.fatf-gafi.org/en/publications/Mutualevaluations/Brazil-mer-2023.html" TargetMode="External"/><Relationship Id="rId88" Type="http://schemas.openxmlformats.org/officeDocument/2006/relationships/hyperlink" Target="https://planalto.gov.br/ccivil_03/leis/l9883.htm" TargetMode="External"/><Relationship Id="rId89" Type="http://schemas.openxmlformats.org/officeDocument/2006/relationships/hyperlink" Target="https://www.planalto.gov.br/ccivil_03/_ato2023-2026/2023/decreto/d11816.htm" TargetMode="External"/><Relationship Id="rId90" Type="http://schemas.openxmlformats.org/officeDocument/2006/relationships/hyperlink" Target="https://www.planalto.gov.br/ccivil_03/_ato2023-2026/2023/decreto/d11693.htm" TargetMode="External"/><Relationship Id="rId91" Type="http://schemas.openxmlformats.org/officeDocument/2006/relationships/hyperlink" Target="https://legis.senado.gov.br/norma/561150/publicacao/15611900" TargetMode="External"/><Relationship Id="rId92" Type="http://schemas.openxmlformats.org/officeDocument/2006/relationships/hyperlink" Target="https://portal.stf.jus.br/noticias/verNoticiaDetalhe.asp?idConteudo=449549&amp;ori=1" TargetMode="External"/><Relationship Id="rId93" Type="http://schemas.openxmlformats.org/officeDocument/2006/relationships/hyperlink" Target="https://noticias.stf.jus.br/postsnoticias/a-pedido-da-pf-stf-autoriza-prisoes-afastamentos-e-buscas-para-apurar-monitoramento-ilegal-de-pessoas-e-autoridades-publicas/" TargetMode="External"/><Relationship Id="rId94" Type="http://schemas.openxmlformats.org/officeDocument/2006/relationships/hyperlink" Target="https://planalto.gov.br/ccivil_03/_ato2015-2018/2017/lei/l13445.htm" TargetMode="External"/><Relationship Id="rId95" Type="http://schemas.openxmlformats.org/officeDocument/2006/relationships/hyperlink" Target="https://www.planalto.gov.br/ccivil_03/_ato2007-2010/2009/decreto/d6759.htm" TargetMode="External"/><Relationship Id="rId96" Type="http://schemas.openxmlformats.org/officeDocument/2006/relationships/hyperlink" Target="https://www.gov.br/defesa/pt-br/assuntos/exercicios-e-operacoes/operacoes-conjuntas/operacao-agata-1" TargetMode="External"/><Relationship Id="rId97" Type="http://schemas.openxmlformats.org/officeDocument/2006/relationships/hyperlink" Target="https://www.gov.br/senappen/pt-br/acesso-a-informacao/institucional" TargetMode="External"/><Relationship Id="rId98" Type="http://schemas.openxmlformats.org/officeDocument/2006/relationships/hyperlink" Target="https://www.planalto.gov.br/ccivil_03/_ato2007-2010/2008/lei/l11671.htm" TargetMode="External"/><Relationship Id="rId99" Type="http://schemas.openxmlformats.org/officeDocument/2006/relationships/hyperlink" Target="https://planalto.gov.br/ccivil_03/_ato2007-2010/2009/decreto/d6877.htm" TargetMode="External"/><Relationship Id="rId100" Type="http://schemas.openxmlformats.org/officeDocument/2006/relationships/hyperlink" Target="https://www.planalto.gov.br/ccivil_03/leis/l7210compilado.htm" TargetMode="External"/><Relationship Id="rId101" Type="http://schemas.openxmlformats.org/officeDocument/2006/relationships/hyperlink" Target="https://www.cambridge.org/core/journals/american-political-science-review/article/legitimacy-in-criminal-governance-managing-a-drug-empire-from-behind-bars/15AA260804337B58B4A75EAF469457F6" TargetMode="External"/><Relationship Id="rId102" Type="http://schemas.openxmlformats.org/officeDocument/2006/relationships/hyperlink" Target="https://www.planalto.gov.br/ccivil_03/_ato2004-2006/2004/lei/l10.937.htm" TargetMode="External"/><Relationship Id="rId103" Type="http://schemas.openxmlformats.org/officeDocument/2006/relationships/hyperlink" Target="https://www.planalto.gov.br/ccivil_03/_ato2007-2010/2007/lei/l11631.htm" TargetMode="External"/><Relationship Id="rId104" Type="http://schemas.openxmlformats.org/officeDocument/2006/relationships/hyperlink" Target="https://www.planalto.gov.br/ccivil_03/_ato2015-2018/2016/lei/l13260.htm" TargetMode="External"/><Relationship Id="rId105" Type="http://schemas.openxmlformats.org/officeDocument/2006/relationships/hyperlink" Target="https://www.planalto.gov.br/ccivil_03/_ato2019-2022/2021/lei/l14197.htm" TargetMode="External"/><Relationship Id="rId106" Type="http://schemas.openxmlformats.org/officeDocument/2006/relationships/hyperlink" Target="https://www.planalto.gov.br/ccivil_03/_ato2011-2014/2014/lei/l13060.htm" TargetMode="External"/><Relationship Id="rId107" Type="http://schemas.openxmlformats.org/officeDocument/2006/relationships/hyperlink" Target="https://planalto.gov.br/ccivil_03/_ato2023-2026/2024/decreto/d12341.htm" TargetMode="External"/><Relationship Id="rId108" Type="http://schemas.openxmlformats.org/officeDocument/2006/relationships/hyperlink" Target="https://www.planalto.gov.br/ccivil_03/_ato2004-2006/2004/decreto/d5289compilado.htm" TargetMode="External"/><Relationship Id="rId109" Type="http://schemas.openxmlformats.org/officeDocument/2006/relationships/hyperlink" Target="https://www.unodc.org/cofrb/uploads/documents/CDESC/Boletim_Amazonia_EN_WEB.pdf" TargetMode="External"/><Relationship Id="rId110" Type="http://schemas.openxmlformats.org/officeDocument/2006/relationships/hyperlink" Target="https://jied.lse.ac.uk/articles/291" TargetMode="External"/><Relationship Id="rId111" Type="http://schemas.openxmlformats.org/officeDocument/2006/relationships/hyperlink" Target="https://www.unodc.org/documents/data-and-analysis/cocaine/Global_cocaine_report_2023.pdf" TargetMode="External"/><Relationship Id="rId112" Type="http://schemas.openxmlformats.org/officeDocument/2006/relationships/hyperlink" Target="https://publicacoes.forumseguranca.org.br/items/c86febd3-e26f-487f-a561-623ac825863a" TargetMode="External"/><Relationship Id="rId113" Type="http://schemas.openxmlformats.org/officeDocument/2006/relationships/hyperlink" Target="https://www.columbia.edu/~gjw10/CheibubLimongi.pdf" TargetMode="External"/><Relationship Id="rId114" Type="http://schemas.openxmlformats.org/officeDocument/2006/relationships/hyperlink" Target="https://brazilianpoliticalsciencereview.org/article/informal-coalitions-in-action-party-legislative-performance-in-brazilian-presidentialism/" TargetMode="External"/><Relationship Id="rId115" Type="http://schemas.openxmlformats.org/officeDocument/2006/relationships/hyperlink" Target="https://journals.sagepub.com/doi/10.1177/1866802X1801000304" TargetMode="External"/><Relationship Id="rId116" Type="http://schemas.openxmlformats.org/officeDocument/2006/relationships/hyperlink" Target="https://doaj.org/article/014db81a742a457584f76f82b8ef612c" TargetMode="External"/><Relationship Id="rId117" Type="http://schemas.openxmlformats.org/officeDocument/2006/relationships/hyperlink" Target="https://doi.org/10.1177/13540688231168603" TargetMode="External"/><Relationship Id="rId118" Type="http://schemas.openxmlformats.org/officeDocument/2006/relationships/hyperlink" Target="https://journals.sagepub.com/doi/abs/10.1177/13540688261466129" TargetMode="External"/><Relationship Id="rId119" Type="http://schemas.openxmlformats.org/officeDocument/2006/relationships/hyperlink" Target="https://www2.camara.leg.br/legin/fed/rescad/1989/resolucaodacamaradosdeputados-17-21-setembro-1989-320110-normaatualizada-pl.html" TargetMode="External"/><Relationship Id="rId120" Type="http://schemas.openxmlformats.org/officeDocument/2006/relationships/hyperlink" Target="https://socialsciences.scielo.org/scielo.php?pid=S0011-52582006000200008&amp;script=sci_arttext" TargetMode="External"/><Relationship Id="rId121" Type="http://schemas.openxmlformats.org/officeDocument/2006/relationships/hyperlink" Target="http://www.fgv.br/cpdoc/acervo/dicionarios/verbete-tematico/centrao" TargetMode="External"/><Relationship Id="rId122" Type="http://schemas.openxmlformats.org/officeDocument/2006/relationships/hyperlink" Target="https://www2.camara.leg.br/atividade-legislativa/comissoes/comissoes-temporarias/parlamentar-de-inquerito/o-papel" TargetMode="External"/><Relationship Id="rId123" Type="http://schemas.openxmlformats.org/officeDocument/2006/relationships/hyperlink" Target="https://doi.org/10.1590/S0102-69092013000100007" TargetMode="External"/><Relationship Id="rId124" Type="http://schemas.openxmlformats.org/officeDocument/2006/relationships/hyperlink" Target="https://www.tse.jus.br/legislacao/compilada/res/2021/resolucao-no-23-677-de-16-de-dezembro-de-2021" TargetMode="External"/><Relationship Id="rId125" Type="http://schemas.openxmlformats.org/officeDocument/2006/relationships/hyperlink" Target="https://www.tse.jus.br/comunicacao/noticias/2024/Junho/se-liga-coligacoes-partidarias-so-podem-ser-feitas-para-as-eleicoes-majoritarias" TargetMode="External"/><Relationship Id="rId126" Type="http://schemas.openxmlformats.org/officeDocument/2006/relationships/hyperlink" Target="https://www.tse.jus.br/comunicacao/noticias/2026/Marco/eleicoes-2026-confira-as-principais-datas-do-calendario-eleitoral" TargetMode="External"/><Relationship Id="rId127" Type="http://schemas.openxmlformats.org/officeDocument/2006/relationships/hyperlink" Target="https://doi.org/10.1111/0022-3816.00012" TargetMode="External"/><Relationship Id="rId128" Type="http://schemas.openxmlformats.org/officeDocument/2006/relationships/hyperlink" Target="https://www.sciencedirect.com/science/article/abs/pii/S0261379420301219" TargetMode="External"/><Relationship Id="rId129" Type="http://schemas.openxmlformats.org/officeDocument/2006/relationships/hyperlink" Target="https://www.scielo.br/j/dados/a/LvPXMNgKZHkDYdjyVYS6Bmm/?lang=pt" TargetMode="External"/><Relationship Id="rId130" Type="http://schemas.openxmlformats.org/officeDocument/2006/relationships/hyperlink" Target="https://agenciadenoticias.ibge.gov.br/media/com_mediaibge/arquivos/855a3629fa899131c4a14da82bbda8b0.pdf" TargetMode="External"/><Relationship Id="rId131" Type="http://schemas.openxmlformats.org/officeDocument/2006/relationships/hyperlink" Target="https://www.scielo.br/j/dados/a/s9mYZz4LxXt5D4Rrkks9mMp/" TargetMode="External"/><Relationship Id="rId132" Type="http://schemas.openxmlformats.org/officeDocument/2006/relationships/hyperlink" Target="https://www.scielo.br/j/bpsr/a/7p4F9jKtMjmx9w8QQmCSv3c/" TargetMode="External"/><Relationship Id="rId133" Type="http://schemas.openxmlformats.org/officeDocument/2006/relationships/hyperlink" Target="https://www.scielo.br/j/rbcpol/a/NCBGGc5zkj5LrLcHRDVkPtP/" TargetMode="External"/><Relationship Id="rId134" Type="http://schemas.openxmlformats.org/officeDocument/2006/relationships/hyperlink" Target="https://reutersinstitute.politics.ox.ac.uk/digital-news-report/2025/brazil" TargetMode="External"/><Relationship Id="rId135" Type="http://schemas.openxmlformats.org/officeDocument/2006/relationships/hyperlink" Target="https://www.scielo.br/j/interc/a/JB3zHccN7KnHJXTwsRj8WjF/?format=html&amp;lang=pt" TargetMode="External"/><Relationship Id="rId136" Type="http://schemas.openxmlformats.org/officeDocument/2006/relationships/hyperlink" Target="https://www.tse.jus.br/legislacao/compilada/res/2024/resolucao-no-23-732-de-27-de-fevereiro-de-2024" TargetMode="External"/><Relationship Id="rId137" Type="http://schemas.openxmlformats.org/officeDocument/2006/relationships/hyperlink" Target="https://www.oecd.org/en/publications/2025/10/oecd-integrity-review-of-brazil-2025_4ccf6d1f.html" TargetMode="External"/><Relationship Id="rId138" Type="http://schemas.openxmlformats.org/officeDocument/2006/relationships/hyperlink" Target="https://www.gov.br/cgu/pt-br/assuntos/prevencao-da-corrupcao/transparencia-de-agendas/transparencia-de-agendas" TargetMode="External"/><Relationship Id="rId139" Type="http://schemas.openxmlformats.org/officeDocument/2006/relationships/hyperlink" Target="https://doi.org/10.1111/lsq.12372" TargetMode="External"/><Relationship Id="rId140" Type="http://schemas.openxmlformats.org/officeDocument/2006/relationships/hyperlink" Target="https://www.planalto.gov.br/ccivil_03/leis/l1079.htm" TargetMode="External"/><Relationship Id="rId141" Type="http://schemas.openxmlformats.org/officeDocument/2006/relationships/hyperlink" Target="https://www2.senado.leg.br/bdsf/handle/id/5988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Sovereign Brazil Research Pass 4</dc:title>
  <cp:lastModifiedBy>python-docx</cp:lastModifiedBy>
  <cp:revision>1</cp:revision>
  <dcterms:modified xsi:type="dcterms:W3CDTF">2026-09-03T19:36:22Z</dcterms:modified>
  <dc:subject>Political Behaviour, Parties, Coalitions, Elections, Society, Media and Informal Power</dc:subject>
  <dc:creator>Sovereign Country Research Programme</dc:creator>
  <cp:keywords>Brazil, coalition presidentialism, parties, Congress, elections, media, political behaviour</cp:keywords>
</cp:coreProperties>
</file>