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Fonts w:ascii="Arial" w:hAnsi="Arial"/>
          <w:b w:val="0"/>
          <w:i w:val="0"/>
          <w:color w:val="183752"/>
          <w:sz w:val="56"/>
        </w:rPr>
        <w:t>Brazil Foreign Policy Diplomacy Trade and External Strategic Behaviour</w:t>
      </w:r>
    </w:p>
    <w:p>
      <w:pPr>
        <w:pStyle w:val="Subtitle"/>
      </w:pPr>
      <w:r>
        <w:rPr>
          <w:rFonts w:ascii="Arial" w:hAnsi="Arial"/>
          <w:b w:val="0"/>
          <w:i w:val="0"/>
          <w:color w:val="5A636B"/>
          <w:sz w:val="26"/>
        </w:rPr>
        <w:t>Sovereign Country Research Programme Research Pass 5</w:t>
      </w:r>
    </w:p>
    <w:p>
      <w:r>
        <w:rPr>
          <w:rFonts w:ascii="Arial" w:hAnsi="Arial"/>
          <w:b/>
          <w:i w:val="0"/>
          <w:color w:val="1E242A"/>
          <w:sz w:val="21"/>
        </w:rPr>
        <w:t>Purpose and audience.</w:t>
      </w:r>
      <w:r>
        <w:rPr>
          <w:rFonts w:ascii="Arial" w:hAnsi="Arial"/>
          <w:b w:val="0"/>
          <w:i w:val="0"/>
          <w:color w:val="1E242A"/>
          <w:sz w:val="21"/>
        </w:rPr>
        <w:t xml:space="preserve"> This report is for designers and researchers building Sovereign's Brazil Country Knowledge Base. It explains what Brazilian political leaders can attempt internationally, which institutions convert preferences into legal and operational action, what domestic and international approvals intervene, and how foreign actors independently generate opportunities, shocks and crises.</w:t>
      </w:r>
    </w:p>
    <w:p>
      <w:r>
        <w:rPr>
          <w:rFonts w:ascii="Arial" w:hAnsi="Arial"/>
          <w:b/>
          <w:i w:val="0"/>
          <w:color w:val="1E242A"/>
          <w:sz w:val="21"/>
        </w:rPr>
        <w:t>Research cutoff.</w:t>
      </w:r>
      <w:r>
        <w:rPr>
          <w:rFonts w:ascii="Arial" w:hAnsi="Arial"/>
          <w:b w:val="0"/>
          <w:i w:val="0"/>
          <w:color w:val="1E242A"/>
          <w:sz w:val="21"/>
        </w:rPr>
        <w:t xml:space="preserve"> 3 September 2026. Official texts were verified on 4 September 2026. Current leaders, negotiations, wars, sanctions, prices and diplomatic alignments are </w:t>
      </w:r>
      <w:r>
        <w:rPr>
          <w:rFonts w:ascii="Arial" w:hAnsi="Arial"/>
          <w:b/>
          <w:i w:val="0"/>
          <w:color w:val="1E242A"/>
          <w:sz w:val="21"/>
        </w:rPr>
        <w:t>SCENARIO-SPECIFIC</w:t>
      </w:r>
      <w:r>
        <w:rPr>
          <w:rFonts w:ascii="Arial" w:hAnsi="Arial"/>
          <w:b w:val="0"/>
          <w:i w:val="0"/>
          <w:color w:val="1E242A"/>
          <w:sz w:val="21"/>
        </w:rPr>
        <w:t>. The report dates especially important developments rather than projecting them backward.</w:t>
      </w:r>
    </w:p>
    <w:p>
      <w:r>
        <w:rPr>
          <w:rFonts w:ascii="Arial" w:hAnsi="Arial"/>
          <w:b/>
          <w:i w:val="0"/>
          <w:color w:val="1E242A"/>
          <w:sz w:val="21"/>
        </w:rPr>
        <w:t>Cross-pass position.</w:t>
      </w:r>
      <w:r>
        <w:rPr>
          <w:rFonts w:ascii="Arial" w:hAnsi="Arial"/>
          <w:b w:val="0"/>
          <w:i w:val="0"/>
          <w:color w:val="1E242A"/>
          <w:sz w:val="21"/>
        </w:rPr>
        <w:t xml:space="preserve"> Pass 1 was cross-checked on presidential authority, Congress, treaties, defence and appointments; Pass 3 on borders, extradition, intelligence and defence cooperation; Pass 4 on Congress, ideology, governors, interests, media and public opinion. The supplied Pass 2 file was empty, so tariff, investment, finance, debt and SOE intersections were independently validated where possible. Sector-specific investment restrictions and detailed fiscal transmission remain validation needs.</w:t>
      </w:r>
    </w:p>
    <w:p>
      <w:pPr>
        <w:pStyle w:val="Heading2"/>
      </w:pPr>
      <w:r>
        <w:rPr>
          <w:rFonts w:ascii="Arial" w:hAnsi="Arial"/>
          <w:b w:val="0"/>
          <w:i w:val="0"/>
          <w:color w:val="2C5F80"/>
          <w:sz w:val="27"/>
        </w:rPr>
        <w:t>Classification key</w:t>
      </w:r>
    </w:p>
    <w:p>
      <w:pPr>
        <w:pStyle w:val="ListBullet"/>
        <w:numPr>
          <w:ilvl w:val="0"/>
          <w:numId w:val="8"/>
        </w:numPr>
      </w:pPr>
      <w:r>
        <w:rPr>
          <w:rFonts w:ascii="Arial" w:hAnsi="Arial"/>
          <w:b/>
          <w:i w:val="0"/>
          <w:color w:val="1E242A"/>
          <w:sz w:val="20"/>
        </w:rPr>
        <w:t>FORMAL RULE</w:t>
      </w:r>
      <w:r>
        <w:rPr>
          <w:rFonts w:ascii="Arial" w:hAnsi="Arial"/>
          <w:b w:val="0"/>
          <w:i w:val="0"/>
          <w:color w:val="1E242A"/>
          <w:sz w:val="20"/>
        </w:rPr>
        <w:t>: constitutional, statutory, regulatory or international legal rule.</w:t>
      </w:r>
    </w:p>
    <w:p>
      <w:pPr>
        <w:pStyle w:val="ListBullet"/>
        <w:numPr>
          <w:ilvl w:val="0"/>
          <w:numId w:val="8"/>
        </w:numPr>
      </w:pPr>
      <w:r>
        <w:rPr>
          <w:rFonts w:ascii="Arial" w:hAnsi="Arial"/>
          <w:b/>
          <w:i w:val="0"/>
          <w:color w:val="1E242A"/>
          <w:sz w:val="20"/>
        </w:rPr>
        <w:t>POLITICAL PRACTICE</w:t>
      </w:r>
      <w:r>
        <w:rPr>
          <w:rFonts w:ascii="Arial" w:hAnsi="Arial"/>
          <w:b w:val="0"/>
          <w:i w:val="0"/>
          <w:color w:val="1E242A"/>
          <w:sz w:val="20"/>
        </w:rPr>
        <w:t>: recurring behaviour inside those rules.</w:t>
      </w:r>
    </w:p>
    <w:p>
      <w:pPr>
        <w:pStyle w:val="ListBullet"/>
        <w:numPr>
          <w:ilvl w:val="0"/>
          <w:numId w:val="8"/>
        </w:numPr>
      </w:pPr>
      <w:r>
        <w:rPr>
          <w:rFonts w:ascii="Arial" w:hAnsi="Arial"/>
          <w:b/>
          <w:i w:val="0"/>
          <w:color w:val="1E242A"/>
          <w:sz w:val="20"/>
        </w:rPr>
        <w:t>HISTORICAL EXPERIENCE</w:t>
      </w:r>
      <w:r>
        <w:rPr>
          <w:rFonts w:ascii="Arial" w:hAnsi="Arial"/>
          <w:b w:val="0"/>
          <w:i w:val="0"/>
          <w:color w:val="1E242A"/>
          <w:sz w:val="20"/>
        </w:rPr>
        <w:t>: a bounded example rather than a guaranteed outcome.</w:t>
      </w:r>
    </w:p>
    <w:p>
      <w:pPr>
        <w:pStyle w:val="ListBullet"/>
        <w:numPr>
          <w:ilvl w:val="0"/>
          <w:numId w:val="8"/>
        </w:numPr>
      </w:pPr>
      <w:r>
        <w:rPr>
          <w:rFonts w:ascii="Arial" w:hAnsi="Arial"/>
          <w:b/>
          <w:i w:val="0"/>
          <w:color w:val="1E242A"/>
          <w:sz w:val="20"/>
        </w:rPr>
        <w:t>SCENARIO-SPECIFIC</w:t>
      </w:r>
      <w:r>
        <w:rPr>
          <w:rFonts w:ascii="Arial" w:hAnsi="Arial"/>
          <w:b w:val="0"/>
          <w:i w:val="0"/>
          <w:color w:val="1E242A"/>
          <w:sz w:val="20"/>
        </w:rPr>
        <w:t>: a dated international condition.</w:t>
      </w:r>
    </w:p>
    <w:p>
      <w:pPr>
        <w:pStyle w:val="ListBullet"/>
        <w:numPr>
          <w:ilvl w:val="0"/>
          <w:numId w:val="8"/>
        </w:numPr>
      </w:pPr>
      <w:r>
        <w:rPr>
          <w:rFonts w:ascii="Arial" w:hAnsi="Arial"/>
          <w:b/>
          <w:i w:val="0"/>
          <w:color w:val="1E242A"/>
          <w:sz w:val="20"/>
        </w:rPr>
        <w:t>GOVERNMENT ACTION INSTRUMENT</w:t>
      </w:r>
      <w:r>
        <w:rPr>
          <w:rFonts w:ascii="Arial" w:hAnsi="Arial"/>
          <w:b w:val="0"/>
          <w:i w:val="0"/>
          <w:color w:val="1E242A"/>
          <w:sz w:val="20"/>
        </w:rPr>
        <w:t>: a recognisable pathway Brazil can lawfully use.</w:t>
      </w:r>
    </w:p>
    <w:p>
      <w:pPr>
        <w:pStyle w:val="ListBullet"/>
        <w:numPr>
          <w:ilvl w:val="0"/>
          <w:numId w:val="8"/>
        </w:numPr>
      </w:pPr>
      <w:r>
        <w:rPr>
          <w:rFonts w:ascii="Arial" w:hAnsi="Arial"/>
          <w:b/>
          <w:i w:val="0"/>
          <w:color w:val="1E242A"/>
          <w:sz w:val="20"/>
        </w:rPr>
        <w:t>INDEPENDENT OR NON-PRESIDENTIAL ACTOR CAPABILITY</w:t>
      </w:r>
      <w:r>
        <w:rPr>
          <w:rFonts w:ascii="Arial" w:hAnsi="Arial"/>
          <w:b w:val="0"/>
          <w:i w:val="0"/>
          <w:color w:val="1E242A"/>
          <w:sz w:val="20"/>
        </w:rPr>
        <w:t>: action by a domestic or international actor without Brazilian presidential instruction.</w:t>
      </w:r>
    </w:p>
    <w:p>
      <w:pPr>
        <w:pStyle w:val="Heading1"/>
      </w:pPr>
      <w:r>
        <w:rPr>
          <w:rFonts w:ascii="Arial" w:hAnsi="Arial"/>
          <w:b w:val="0"/>
          <w:i w:val="0"/>
          <w:color w:val="183752"/>
          <w:sz w:val="34"/>
        </w:rPr>
        <w:t>Executive answer</w:t>
      </w:r>
    </w:p>
    <w:p>
      <w:r>
        <w:rPr>
          <w:rFonts w:ascii="Arial" w:hAnsi="Arial"/>
          <w:b w:val="0"/>
          <w:i w:val="0"/>
          <w:color w:val="1E242A"/>
          <w:sz w:val="21"/>
        </w:rPr>
        <w:t>The President represents Brazil, maintains relations with foreign states, accredits representatives, negotiates and signs international acts, appoints ambassadors subject to Senate approval, directs broad strategy and conducts personal diplomacy. Itamaraty supplies the professional service that prepares positions, negotiates text, manages embassies and consulates, preserves records and implements policy. Other ministries, regulators, the Central Bank, customs, police, prosecutors, courts, Congress, state governments and binational or multilateral bodies own distinct parts of the machinery.</w:t>
      </w:r>
    </w:p>
    <w:p>
      <w:r>
        <w:rPr>
          <w:rFonts w:ascii="Arial" w:hAnsi="Arial"/>
          <w:b w:val="0"/>
          <w:i w:val="0"/>
          <w:color w:val="1E242A"/>
          <w:sz w:val="21"/>
        </w:rPr>
        <w:t>International legal effect commonly follows a chain:</w:t>
      </w:r>
    </w:p>
    <w:p>
      <w:r>
        <w:rPr>
          <w:rFonts w:ascii="Arial" w:hAnsi="Arial"/>
          <w:b/>
          <w:i w:val="0"/>
          <w:color w:val="1E242A"/>
          <w:sz w:val="21"/>
        </w:rPr>
        <w:t>political decision -&gt; technical negotiation -&gt; signature by a duly authorised representative -&gt; congressional approval when constitutionally required -&gt; presidential ratification -&gt; international entry into force -&gt; presidential promulgation and any necessary domestic legislation or regulation -&gt; administrative implementation.</w:t>
      </w:r>
    </w:p>
    <w:p>
      <w:r>
        <w:rPr>
          <w:rFonts w:ascii="Arial" w:hAnsi="Arial"/>
          <w:b w:val="0"/>
          <w:i w:val="0"/>
          <w:color w:val="1E242A"/>
          <w:sz w:val="21"/>
        </w:rPr>
        <w:t>These stages must not be collapsed. Signature does not itself make a trade agreement domestically executable. Congress can approve but cannot force the President to ratify. Since the STF's 2023 treaty-withdrawal rulings, denunciation generally requires congressional assent prospectively; earlier unilateral withdrawals were preserved.</w:t>
      </w:r>
    </w:p>
    <w:p>
      <w:r>
        <w:rPr>
          <w:rFonts w:ascii="Arial" w:hAnsi="Arial"/>
          <w:b w:val="0"/>
          <w:i w:val="0"/>
          <w:color w:val="1E242A"/>
          <w:sz w:val="21"/>
        </w:rPr>
        <w:t>Mercosur is central because its decision-making is intergovernmental and consensual. Brazil can block a common act and exercise disproportionate political influence, but cannot order Argentina, Paraguay, Uruguay or Bolivia to accept it. The common external tariff and joint external-negotiation baseline constrain Brazil-only preferential trade deals, although exceptions and Uruguay's challenge to the legal force of the joint-negotiation rule reveal continuing ambiguity. Mercosur rules may require national incorporation before simultaneous effect.</w:t>
      </w:r>
    </w:p>
    <w:p>
      <w:r>
        <w:rPr>
          <w:rFonts w:ascii="Arial" w:hAnsi="Arial"/>
          <w:b w:val="0"/>
          <w:i w:val="0"/>
          <w:color w:val="1E242A"/>
          <w:sz w:val="21"/>
        </w:rPr>
        <w:t>Brazil's external relationships are multidimensional. Argentina is a structurally important industrial, energy, border and Mercosur partner even when presidents disagree. China is a dominant goods-trade and commodity market and significant investment partner, creating concentrated exposure in soy, iron ore and petroleum while also depending on Brazilian supply and market access. The United States is a major investment, trade, finance, technology, defence and regulatory counterpart with asymmetric unilateral capacity. The EU is simultaneously market, investor, climate counterpart and external regulator. BRICS is a consensus political forum, not a treaty organisation or alliance; the New Development Bank is a separate treaty-based lender.</w:t>
      </w:r>
    </w:p>
    <w:p>
      <w:r>
        <w:rPr>
          <w:rFonts w:ascii="Arial" w:hAnsi="Arial"/>
          <w:b w:val="0"/>
          <w:i w:val="0"/>
          <w:color w:val="1E242A"/>
          <w:sz w:val="21"/>
        </w:rPr>
        <w:t>Brazil can choose its proposal, coalition, legal forum, concession and walk-away position. It cannot choose another government's election constraints, legislative approval, market response, regulatory decision or willingness to settle. Foreign policy must therefore be represented as negotiation rather than command.</w:t>
      </w:r>
    </w:p>
    <w:p>
      <w:pPr>
        <w:pStyle w:val="Heading1"/>
      </w:pPr>
      <w:r>
        <w:rPr>
          <w:rFonts w:ascii="Arial" w:hAnsi="Arial"/>
          <w:b w:val="0"/>
          <w:i w:val="0"/>
          <w:color w:val="183752"/>
          <w:sz w:val="34"/>
        </w:rPr>
        <w:t>1 Constitutional foreign affairs authority</w:t>
      </w:r>
    </w:p>
    <w:p>
      <w:pPr>
        <w:pStyle w:val="Heading2"/>
      </w:pPr>
      <w:r>
        <w:rPr>
          <w:rFonts w:ascii="Arial" w:hAnsi="Arial"/>
          <w:b w:val="0"/>
          <w:i w:val="0"/>
          <w:color w:val="2C5F80"/>
          <w:sz w:val="27"/>
        </w:rPr>
        <w:t>1.1 Allocation of powers</w:t>
      </w:r>
    </w:p>
    <w:p>
      <w:r>
        <w:rPr>
          <w:rFonts w:ascii="Arial" w:hAnsi="Arial"/>
          <w:b/>
          <w:i w:val="0"/>
          <w:color w:val="1E242A"/>
          <w:sz w:val="21"/>
        </w:rPr>
        <w:t>FORMAL RULE.</w:t>
      </w:r>
      <w:r>
        <w:rPr>
          <w:rFonts w:ascii="Arial" w:hAnsi="Arial"/>
          <w:b w:val="0"/>
          <w:i w:val="0"/>
          <w:color w:val="1E242A"/>
          <w:sz w:val="21"/>
        </w:rPr>
        <w:t xml:space="preserve"> Under the </w:t>
      </w:r>
      <w:hyperlink r:id="rId142">
        <w:r>
          <w:rPr>
            <w:color w:val="2C5F80"/>
            <w:u w:val="single"/>
            <w:rFonts w:ascii="Arial" w:hAnsi="Arial"/>
            <w:sz w:val="21"/>
          </w:rPr>
          <w:t>Constitution</w:t>
        </w:r>
      </w:hyperlink>
      <w:r>
        <w:rPr>
          <w:rFonts w:ascii="Arial" w:hAnsi="Arial"/>
          <w:b w:val="0"/>
          <w:i w:val="0"/>
          <w:color w:val="1E242A"/>
          <w:sz w:val="21"/>
        </w:rPr>
        <w:t>, the President maintains relations with foreign states, accredits diplomatic representatives and concludes treaties, conventions and international acts subject to congressional referendum. Congress resolves definitively on international acts that entail charges or grave commitments to the national patrimony. Congress authorises declaration of war, peace and specified foreign troop transit or presence. The Senate approves heads of permanent diplomatic missions by secret vote after hearing.</w:t>
      </w:r>
    </w:p>
    <w:p>
      <w:r>
        <w:rPr>
          <w:rFonts w:ascii="Arial" w:hAnsi="Arial"/>
          <w:b w:val="0"/>
          <w:i w:val="0"/>
          <w:color w:val="1E242A"/>
          <w:sz w:val="21"/>
        </w:rPr>
        <w:t>The President's international voice is therefore powerful but not equivalent to unilateral domestic lawmaking. Recognition, statements, summit commitments and negotiation can have immediate political effects; binding obligations, appropriations, statutory change, troop employment or treaty incorporation may engage separate constitutional gates.</w:t>
      </w:r>
    </w:p>
    <w:p>
      <w:pPr>
        <w:pStyle w:val="Heading2"/>
      </w:pPr>
      <w:r>
        <w:rPr>
          <w:rFonts w:ascii="Arial" w:hAnsi="Arial"/>
          <w:b w:val="0"/>
          <w:i w:val="0"/>
          <w:color w:val="2C5F80"/>
          <w:sz w:val="27"/>
        </w:rPr>
        <w:t>1.2 Treaty lifecycle</w:t>
      </w:r>
    </w:p>
    <w:p>
      <w:r>
        <w:rPr>
          <w:rFonts w:ascii="Arial" w:hAnsi="Arial"/>
          <w:b w:val="0"/>
          <w:i w:val="0"/>
          <w:color w:val="1E242A"/>
          <w:sz w:val="21"/>
        </w:rPr>
        <w:t xml:space="preserve">The </w:t>
      </w:r>
      <w:hyperlink r:id="rId143">
        <w:r>
          <w:rPr>
            <w:color w:val="2C5F80"/>
            <w:u w:val="single"/>
            <w:rFonts w:ascii="Arial" w:hAnsi="Arial"/>
            <w:sz w:val="21"/>
          </w:rPr>
          <w:t>MDIC official account</w:t>
        </w:r>
      </w:hyperlink>
      <w:r>
        <w:rPr>
          <w:rFonts w:ascii="Arial" w:hAnsi="Arial"/>
          <w:b w:val="0"/>
          <w:i w:val="0"/>
          <w:color w:val="1E242A"/>
          <w:sz w:val="21"/>
        </w:rPr>
        <w:t xml:space="preserve"> gives the ordinary sequence: technical negotiation; signature by a holder of full powers; congressional approval by legislative decree; presidential ratification; and presidential promulgation. Ratification communicates Brazil's international consent under the instrument; promulgation and publication give domestic execution under Brazilian practice. Legislation or regulation may still be required where the agreement is not self-executing.</w:t>
      </w:r>
    </w:p>
    <w:tbl>
      <w:tblPr>
        <w:tblW w:type="dxa" w:w="9360"/>
        <w:jc w:val="center"/>
        <w:tblLayout w:type="fixed"/>
        <w:tblLook w:firstColumn="1" w:firstRow="1" w:lastColumn="0" w:lastRow="0" w:noHBand="0" w:noVBand="1" w:val="04A0"/>
        <w:tblInd w:type="dxa" w:w="120"/>
      </w:tblPr>
      <w:tblGrid>
        <w:gridCol w:w="3120"/>
        <w:gridCol w:w="3120"/>
        <w:gridCol w:w="3120"/>
      </w:tblGrid>
      <w:tr>
        <w:trPr>
          <w:tblHeader w:val="true"/>
          <w:cantSplit/>
        </w:trPr>
        <w:tc>
          <w:tcPr>
            <w:tcW w:type="dxa" w:w="3120"/>
            <w:vAlign w:val="top"/>
            <w:shd w:fill="EAF1F5"/>
          </w:tcPr>
          <w:p>
            <w:r/>
            <w:r>
              <w:rPr>
                <w:rFonts w:ascii="Arial" w:hAnsi="Arial"/>
                <w:b w:val="0"/>
                <w:i w:val="0"/>
                <w:color w:val="183752"/>
                <w:sz w:val="16"/>
              </w:rPr>
              <w:t>Stage</w:t>
            </w:r>
          </w:p>
        </w:tc>
        <w:tc>
          <w:tcPr>
            <w:tcW w:type="dxa" w:w="3120"/>
            <w:vAlign w:val="top"/>
            <w:shd w:fill="EAF1F5"/>
          </w:tcPr>
          <w:p>
            <w:r/>
            <w:r>
              <w:rPr>
                <w:rFonts w:ascii="Arial" w:hAnsi="Arial"/>
                <w:b w:val="0"/>
                <w:i w:val="0"/>
                <w:color w:val="183752"/>
                <w:sz w:val="16"/>
              </w:rPr>
              <w:t>Principal actor</w:t>
            </w:r>
          </w:p>
        </w:tc>
        <w:tc>
          <w:tcPr>
            <w:tcW w:type="dxa" w:w="3120"/>
            <w:vAlign w:val="top"/>
            <w:shd w:fill="EAF1F5"/>
          </w:tcPr>
          <w:p>
            <w:r/>
            <w:r>
              <w:rPr>
                <w:rFonts w:ascii="Arial" w:hAnsi="Arial"/>
                <w:b w:val="0"/>
                <w:i w:val="0"/>
                <w:color w:val="183752"/>
                <w:sz w:val="16"/>
              </w:rPr>
              <w:t>Legal significance</w:t>
            </w:r>
          </w:p>
        </w:tc>
      </w:tr>
      <w:tr>
        <w:trPr>
          <w:cantSplit/>
        </w:trPr>
        <w:tc>
          <w:tcPr>
            <w:tcW w:type="dxa" w:w="3120"/>
            <w:vAlign w:val="top"/>
          </w:tcPr>
          <w:p>
            <w:r/>
            <w:r>
              <w:rPr>
                <w:rFonts w:ascii="Arial" w:hAnsi="Arial"/>
                <w:b w:val="0"/>
                <w:i w:val="0"/>
                <w:color w:val="1E242A"/>
                <w:sz w:val="16"/>
              </w:rPr>
              <w:t>Political mandate</w:t>
            </w:r>
          </w:p>
        </w:tc>
        <w:tc>
          <w:tcPr>
            <w:tcW w:type="dxa" w:w="3120"/>
            <w:vAlign w:val="top"/>
          </w:tcPr>
          <w:p>
            <w:r/>
            <w:r>
              <w:rPr>
                <w:rFonts w:ascii="Arial" w:hAnsi="Arial"/>
                <w:b w:val="0"/>
                <w:i w:val="0"/>
                <w:color w:val="1E242A"/>
                <w:sz w:val="16"/>
              </w:rPr>
              <w:t>President and competent ministers</w:t>
            </w:r>
          </w:p>
        </w:tc>
        <w:tc>
          <w:tcPr>
            <w:tcW w:type="dxa" w:w="3120"/>
            <w:vAlign w:val="top"/>
          </w:tcPr>
          <w:p>
            <w:r/>
            <w:r>
              <w:rPr>
                <w:rFonts w:ascii="Arial" w:hAnsi="Arial"/>
                <w:b w:val="0"/>
                <w:i w:val="0"/>
                <w:color w:val="1E242A"/>
                <w:sz w:val="16"/>
              </w:rPr>
              <w:t>Sets objective and negotiating limits; does not bind counterpart</w:t>
            </w:r>
          </w:p>
        </w:tc>
      </w:tr>
      <w:tr>
        <w:trPr>
          <w:cantSplit/>
        </w:trPr>
        <w:tc>
          <w:tcPr>
            <w:tcW w:type="dxa" w:w="3120"/>
            <w:vAlign w:val="top"/>
          </w:tcPr>
          <w:p>
            <w:r/>
            <w:r>
              <w:rPr>
                <w:rFonts w:ascii="Arial" w:hAnsi="Arial"/>
                <w:b w:val="0"/>
                <w:i w:val="0"/>
                <w:color w:val="1E242A"/>
                <w:sz w:val="16"/>
              </w:rPr>
              <w:t>Negotiation and drafting</w:t>
            </w:r>
          </w:p>
        </w:tc>
        <w:tc>
          <w:tcPr>
            <w:tcW w:type="dxa" w:w="3120"/>
            <w:vAlign w:val="top"/>
          </w:tcPr>
          <w:p>
            <w:r/>
            <w:r>
              <w:rPr>
                <w:rFonts w:ascii="Arial" w:hAnsi="Arial"/>
                <w:b w:val="0"/>
                <w:i w:val="0"/>
                <w:color w:val="1E242A"/>
                <w:sz w:val="16"/>
              </w:rPr>
              <w:t>MRE plus competent ministries and agencies</w:t>
            </w:r>
          </w:p>
        </w:tc>
        <w:tc>
          <w:tcPr>
            <w:tcW w:type="dxa" w:w="3120"/>
            <w:vAlign w:val="top"/>
          </w:tcPr>
          <w:p>
            <w:r/>
            <w:r>
              <w:rPr>
                <w:rFonts w:ascii="Arial" w:hAnsi="Arial"/>
                <w:b w:val="0"/>
                <w:i w:val="0"/>
                <w:color w:val="1E242A"/>
                <w:sz w:val="16"/>
              </w:rPr>
              <w:t>Produces agreed text subject to authority and internal clearance</w:t>
            </w:r>
          </w:p>
        </w:tc>
      </w:tr>
      <w:tr>
        <w:trPr>
          <w:cantSplit/>
        </w:trPr>
        <w:tc>
          <w:tcPr>
            <w:tcW w:type="dxa" w:w="3120"/>
            <w:vAlign w:val="top"/>
          </w:tcPr>
          <w:p>
            <w:r/>
            <w:r>
              <w:rPr>
                <w:rFonts w:ascii="Arial" w:hAnsi="Arial"/>
                <w:b w:val="0"/>
                <w:i w:val="0"/>
                <w:color w:val="1E242A"/>
                <w:sz w:val="16"/>
              </w:rPr>
              <w:t>Signature</w:t>
            </w:r>
          </w:p>
        </w:tc>
        <w:tc>
          <w:tcPr>
            <w:tcW w:type="dxa" w:w="3120"/>
            <w:vAlign w:val="top"/>
          </w:tcPr>
          <w:p>
            <w:r/>
            <w:r>
              <w:rPr>
                <w:rFonts w:ascii="Arial" w:hAnsi="Arial"/>
                <w:b w:val="0"/>
                <w:i w:val="0"/>
                <w:color w:val="1E242A"/>
                <w:sz w:val="16"/>
              </w:rPr>
              <w:t>President or person with full powers</w:t>
            </w:r>
          </w:p>
        </w:tc>
        <w:tc>
          <w:tcPr>
            <w:tcW w:type="dxa" w:w="3120"/>
            <w:vAlign w:val="top"/>
          </w:tcPr>
          <w:p>
            <w:r/>
            <w:r>
              <w:rPr>
                <w:rFonts w:ascii="Arial" w:hAnsi="Arial"/>
                <w:b w:val="0"/>
                <w:i w:val="0"/>
                <w:color w:val="1E242A"/>
                <w:sz w:val="16"/>
              </w:rPr>
              <w:t>Authenticates or expresses consent as instrument provides; often awaits domestic approval</w:t>
            </w:r>
          </w:p>
        </w:tc>
      </w:tr>
      <w:tr>
        <w:trPr>
          <w:cantSplit/>
        </w:trPr>
        <w:tc>
          <w:tcPr>
            <w:tcW w:type="dxa" w:w="3120"/>
            <w:vAlign w:val="top"/>
          </w:tcPr>
          <w:p>
            <w:r/>
            <w:r>
              <w:rPr>
                <w:rFonts w:ascii="Arial" w:hAnsi="Arial"/>
                <w:b w:val="0"/>
                <w:i w:val="0"/>
                <w:color w:val="1E242A"/>
                <w:sz w:val="16"/>
              </w:rPr>
              <w:t>Congressional approval</w:t>
            </w:r>
          </w:p>
        </w:tc>
        <w:tc>
          <w:tcPr>
            <w:tcW w:type="dxa" w:w="3120"/>
            <w:vAlign w:val="top"/>
          </w:tcPr>
          <w:p>
            <w:r/>
            <w:r>
              <w:rPr>
                <w:rFonts w:ascii="Arial" w:hAnsi="Arial"/>
                <w:b w:val="0"/>
                <w:i w:val="0"/>
                <w:color w:val="1E242A"/>
                <w:sz w:val="16"/>
              </w:rPr>
              <w:t>Chamber and Senate through legislative decree</w:t>
            </w:r>
          </w:p>
        </w:tc>
        <w:tc>
          <w:tcPr>
            <w:tcW w:type="dxa" w:w="3120"/>
            <w:vAlign w:val="top"/>
          </w:tcPr>
          <w:p>
            <w:r/>
            <w:r>
              <w:rPr>
                <w:rFonts w:ascii="Arial" w:hAnsi="Arial"/>
                <w:b w:val="0"/>
                <w:i w:val="0"/>
                <w:color w:val="1E242A"/>
                <w:sz w:val="16"/>
              </w:rPr>
              <w:t>Authorises Brazil to assume covered commitment; does not compel ratification</w:t>
            </w:r>
          </w:p>
        </w:tc>
      </w:tr>
      <w:tr>
        <w:trPr>
          <w:cantSplit/>
        </w:trPr>
        <w:tc>
          <w:tcPr>
            <w:tcW w:type="dxa" w:w="3120"/>
            <w:vAlign w:val="top"/>
          </w:tcPr>
          <w:p>
            <w:r/>
            <w:r>
              <w:rPr>
                <w:rFonts w:ascii="Arial" w:hAnsi="Arial"/>
                <w:b w:val="0"/>
                <w:i w:val="0"/>
                <w:color w:val="1E242A"/>
                <w:sz w:val="16"/>
              </w:rPr>
              <w:t>Ratification or deposit</w:t>
            </w:r>
          </w:p>
        </w:tc>
        <w:tc>
          <w:tcPr>
            <w:tcW w:type="dxa" w:w="3120"/>
            <w:vAlign w:val="top"/>
          </w:tcPr>
          <w:p>
            <w:r/>
            <w:r>
              <w:rPr>
                <w:rFonts w:ascii="Arial" w:hAnsi="Arial"/>
                <w:b w:val="0"/>
                <w:i w:val="0"/>
                <w:color w:val="1E242A"/>
                <w:sz w:val="16"/>
              </w:rPr>
              <w:t>President through diplomatic channel</w:t>
            </w:r>
          </w:p>
        </w:tc>
        <w:tc>
          <w:tcPr>
            <w:tcW w:type="dxa" w:w="3120"/>
            <w:vAlign w:val="top"/>
          </w:tcPr>
          <w:p>
            <w:r/>
            <w:r>
              <w:rPr>
                <w:rFonts w:ascii="Arial" w:hAnsi="Arial"/>
                <w:b w:val="0"/>
                <w:i w:val="0"/>
                <w:color w:val="1E242A"/>
                <w:sz w:val="16"/>
              </w:rPr>
              <w:t>Expresses definitive international consent where required</w:t>
            </w:r>
          </w:p>
        </w:tc>
      </w:tr>
      <w:tr>
        <w:trPr>
          <w:cantSplit/>
        </w:trPr>
        <w:tc>
          <w:tcPr>
            <w:tcW w:type="dxa" w:w="3120"/>
            <w:vAlign w:val="top"/>
          </w:tcPr>
          <w:p>
            <w:r/>
            <w:r>
              <w:rPr>
                <w:rFonts w:ascii="Arial" w:hAnsi="Arial"/>
                <w:b w:val="0"/>
                <w:i w:val="0"/>
                <w:color w:val="1E242A"/>
                <w:sz w:val="16"/>
              </w:rPr>
              <w:t>Entry into force</w:t>
            </w:r>
          </w:p>
        </w:tc>
        <w:tc>
          <w:tcPr>
            <w:tcW w:type="dxa" w:w="3120"/>
            <w:vAlign w:val="top"/>
          </w:tcPr>
          <w:p>
            <w:r/>
            <w:r>
              <w:rPr>
                <w:rFonts w:ascii="Arial" w:hAnsi="Arial"/>
                <w:b w:val="0"/>
                <w:i w:val="0"/>
                <w:color w:val="1E242A"/>
                <w:sz w:val="16"/>
              </w:rPr>
              <w:t>Treaty terms and other parties' acts</w:t>
            </w:r>
          </w:p>
        </w:tc>
        <w:tc>
          <w:tcPr>
            <w:tcW w:type="dxa" w:w="3120"/>
            <w:vAlign w:val="top"/>
          </w:tcPr>
          <w:p>
            <w:r/>
            <w:r>
              <w:rPr>
                <w:rFonts w:ascii="Arial" w:hAnsi="Arial"/>
                <w:b w:val="0"/>
                <w:i w:val="0"/>
                <w:color w:val="1E242A"/>
                <w:sz w:val="16"/>
              </w:rPr>
              <w:t>May depend on deposits, dates or thresholds Brazil does not control</w:t>
            </w:r>
          </w:p>
        </w:tc>
      </w:tr>
      <w:tr>
        <w:trPr>
          <w:cantSplit/>
        </w:trPr>
        <w:tc>
          <w:tcPr>
            <w:tcW w:type="dxa" w:w="3120"/>
            <w:vAlign w:val="top"/>
          </w:tcPr>
          <w:p>
            <w:r/>
            <w:r>
              <w:rPr>
                <w:rFonts w:ascii="Arial" w:hAnsi="Arial"/>
                <w:b w:val="0"/>
                <w:i w:val="0"/>
                <w:color w:val="1E242A"/>
                <w:sz w:val="16"/>
              </w:rPr>
              <w:t>Promulgation and implementation</w:t>
            </w:r>
          </w:p>
        </w:tc>
        <w:tc>
          <w:tcPr>
            <w:tcW w:type="dxa" w:w="3120"/>
            <w:vAlign w:val="top"/>
          </w:tcPr>
          <w:p>
            <w:r/>
            <w:r>
              <w:rPr>
                <w:rFonts w:ascii="Arial" w:hAnsi="Arial"/>
                <w:b w:val="0"/>
                <w:i w:val="0"/>
                <w:color w:val="1E242A"/>
                <w:sz w:val="16"/>
              </w:rPr>
              <w:t>President, Congress, ministries, regulators and courts</w:t>
            </w:r>
          </w:p>
        </w:tc>
        <w:tc>
          <w:tcPr>
            <w:tcW w:type="dxa" w:w="3120"/>
            <w:vAlign w:val="top"/>
          </w:tcPr>
          <w:p>
            <w:r/>
            <w:r>
              <w:rPr>
                <w:rFonts w:ascii="Arial" w:hAnsi="Arial"/>
                <w:b w:val="0"/>
                <w:i w:val="0"/>
                <w:color w:val="1E242A"/>
                <w:sz w:val="16"/>
              </w:rPr>
              <w:t>Gives domestic execution and supplies implementing rules or spending</w:t>
            </w:r>
          </w:p>
        </w:tc>
      </w:tr>
    </w:tbl>
    <w:p>
      <w:pPr>
        <w:spacing w:after="40"/>
      </w:pPr>
    </w:p>
    <w:p>
      <w:r>
        <w:rPr>
          <w:rFonts w:ascii="Arial" w:hAnsi="Arial"/>
          <w:b w:val="0"/>
          <w:i w:val="0"/>
          <w:color w:val="1E242A"/>
          <w:sz w:val="21"/>
        </w:rPr>
        <w:t>Names do not determine the gate. A treaty, convention, protocol, agreement or memorandum can create an international obligation if governed by international law. Interinstitutional arrangements may be made by agencies when they do not bind the Brazilian state or create grave patrimonial commitments. Complementary acts may implement an approved basic agreement if they add no new obligation. Relabelling a binding commitment “MOU” does not lawfully avoid Congress.</w:t>
      </w:r>
    </w:p>
    <w:p>
      <w:pPr>
        <w:pStyle w:val="Heading2"/>
      </w:pPr>
      <w:r>
        <w:rPr>
          <w:rFonts w:ascii="Arial" w:hAnsi="Arial"/>
          <w:b w:val="0"/>
          <w:i w:val="0"/>
          <w:color w:val="2C5F80"/>
          <w:sz w:val="27"/>
        </w:rPr>
        <w:t>1.3 Withdrawal</w:t>
      </w:r>
    </w:p>
    <w:p>
      <w:r>
        <w:rPr>
          <w:rFonts w:ascii="Arial" w:hAnsi="Arial"/>
          <w:b/>
          <w:i w:val="0"/>
          <w:color w:val="1E242A"/>
          <w:sz w:val="21"/>
        </w:rPr>
        <w:t>FORMAL RULE AND HISTORICAL BREAKPOINT.</w:t>
      </w:r>
      <w:r>
        <w:rPr>
          <w:rFonts w:ascii="Arial" w:hAnsi="Arial"/>
          <w:b w:val="0"/>
          <w:i w:val="0"/>
          <w:color w:val="1E242A"/>
          <w:sz w:val="21"/>
        </w:rPr>
        <w:t xml:space="preserve"> In 2023 the STF held that presidential denunciation of treaties requires congressional assent prospectively, while preserving earlier withdrawals and validating the 1996 denunciation of ILO Convention 158 through temporal modulation. The </w:t>
      </w:r>
      <w:hyperlink r:id="rId144">
        <w:r>
          <w:rPr>
            <w:color w:val="2C5F80"/>
            <w:u w:val="single"/>
            <w:rFonts w:ascii="Arial" w:hAnsi="Arial"/>
            <w:sz w:val="21"/>
          </w:rPr>
          <w:t>STF explanation</w:t>
        </w:r>
      </w:hyperlink>
      <w:r>
        <w:rPr>
          <w:rFonts w:ascii="Arial" w:hAnsi="Arial"/>
          <w:b w:val="0"/>
          <w:i w:val="0"/>
          <w:color w:val="1E242A"/>
          <w:sz w:val="21"/>
        </w:rPr>
        <w:t xml:space="preserve"> resolves a long dispute for future action but does not rewrite older scenarios. The President can initiate withdrawal diplomacy; cannot now assume unilateral effectiveness.</w:t>
      </w:r>
    </w:p>
    <w:p>
      <w:pPr>
        <w:pStyle w:val="Heading2"/>
      </w:pPr>
      <w:r>
        <w:rPr>
          <w:rFonts w:ascii="Arial" w:hAnsi="Arial"/>
          <w:b w:val="0"/>
          <w:i w:val="0"/>
          <w:color w:val="2C5F80"/>
          <w:sz w:val="27"/>
        </w:rPr>
        <w:t>1.4 Hierarchy and judicial review</w:t>
      </w:r>
    </w:p>
    <w:p>
      <w:r>
        <w:rPr>
          <w:rFonts w:ascii="Arial" w:hAnsi="Arial"/>
          <w:b w:val="0"/>
          <w:i w:val="0"/>
          <w:color w:val="1E242A"/>
          <w:sz w:val="21"/>
        </w:rPr>
        <w:t>Human-rights treaties approved in each house twice by three fifths have constitutional-amendment equivalence. Other treaties ordinarily enter below the Constitution; STF jurisprudence gives supralegal status to certain human-rights treaties approved through the ordinary route. Courts can review domestic implementing acts and compatibility. International responsibility and domestic validity are related but distinct: invalid domestic implementation does not necessarily erase an international breach.</w:t>
      </w:r>
    </w:p>
    <w:p>
      <w:pPr>
        <w:pStyle w:val="Heading1"/>
      </w:pPr>
      <w:r>
        <w:rPr>
          <w:rFonts w:ascii="Arial" w:hAnsi="Arial"/>
          <w:b w:val="0"/>
          <w:i w:val="0"/>
          <w:color w:val="183752"/>
          <w:sz w:val="34"/>
        </w:rPr>
        <w:t>2 Presidency and Itamaraty</w:t>
      </w:r>
    </w:p>
    <w:p>
      <w:pPr>
        <w:pStyle w:val="Heading2"/>
      </w:pPr>
      <w:r>
        <w:rPr>
          <w:rFonts w:ascii="Arial" w:hAnsi="Arial"/>
          <w:b w:val="0"/>
          <w:i w:val="0"/>
          <w:color w:val="2C5F80"/>
          <w:sz w:val="27"/>
        </w:rPr>
        <w:t>2.1 Professional execution</w:t>
      </w:r>
    </w:p>
    <w:p>
      <w:r>
        <w:rPr>
          <w:rFonts w:ascii="Arial" w:hAnsi="Arial"/>
          <w:b/>
          <w:i w:val="0"/>
          <w:color w:val="1E242A"/>
          <w:sz w:val="21"/>
        </w:rPr>
        <w:t>FORMAL RULE.</w:t>
      </w:r>
      <w:r>
        <w:rPr>
          <w:rFonts w:ascii="Arial" w:hAnsi="Arial"/>
          <w:b w:val="0"/>
          <w:i w:val="0"/>
          <w:color w:val="1E242A"/>
          <w:sz w:val="21"/>
        </w:rPr>
        <w:t xml:space="preserve"> </w:t>
      </w:r>
      <w:hyperlink r:id="rId145">
        <w:r>
          <w:rPr>
            <w:color w:val="2C5F80"/>
            <w:u w:val="single"/>
            <w:rFonts w:ascii="Arial" w:hAnsi="Arial"/>
            <w:sz w:val="21"/>
          </w:rPr>
          <w:t>Law 11,440 of 2006</w:t>
        </w:r>
      </w:hyperlink>
      <w:r>
        <w:rPr>
          <w:rFonts w:ascii="Arial" w:hAnsi="Arial"/>
          <w:b w:val="0"/>
          <w:i w:val="0"/>
          <w:color w:val="1E242A"/>
          <w:sz w:val="21"/>
        </w:rPr>
        <w:t xml:space="preserve"> defines the career Foreign Service as essential to executing foreign policy. </w:t>
      </w:r>
      <w:hyperlink r:id="rId146">
        <w:r>
          <w:rPr>
            <w:color w:val="2C5F80"/>
            <w:u w:val="single"/>
            <w:rFonts w:ascii="Arial" w:hAnsi="Arial"/>
            <w:sz w:val="21"/>
          </w:rPr>
          <w:t>Decree 11,357 of 2023</w:t>
        </w:r>
      </w:hyperlink>
      <w:r>
        <w:rPr>
          <w:rFonts w:ascii="Arial" w:hAnsi="Arial"/>
          <w:b w:val="0"/>
          <w:i w:val="0"/>
          <w:color w:val="1E242A"/>
          <w:sz w:val="21"/>
        </w:rPr>
        <w:t xml:space="preserve"> assigns MRE diplomatic relations, international negotiations, missions, consular work, policy planning and technical cooperation. The Brazilian Cooperation Agency plans, negotiates, approves, executes and monitors technical and humanitarian cooperation within this structure.</w:t>
      </w:r>
    </w:p>
    <w:p>
      <w:r>
        <w:rPr>
          <w:rFonts w:ascii="Arial" w:hAnsi="Arial"/>
          <w:b w:val="0"/>
          <w:i w:val="0"/>
          <w:color w:val="1E242A"/>
          <w:sz w:val="21"/>
        </w:rPr>
        <w:t>Itamaraty is neither autonomous sovereign nor presidential secretariat. The President can redirect priorities and appoint the Foreign Minister. Diplomats retain professional latitude over information, drafting, sequencing, legal form, coalition-building, protocol, institutional memory and representation once objectives are set. Technical ministries increasingly co-own trade, climate, finance, health, defence, justice and energy dossiers.</w:t>
      </w:r>
    </w:p>
    <w:p>
      <w:pPr>
        <w:pStyle w:val="Heading2"/>
      </w:pPr>
      <w:r>
        <w:rPr>
          <w:rFonts w:ascii="Arial" w:hAnsi="Arial"/>
          <w:b w:val="0"/>
          <w:i w:val="0"/>
          <w:color w:val="2C5F80"/>
          <w:sz w:val="27"/>
        </w:rPr>
        <w:t>2.2 Centralisation varies by President</w:t>
      </w:r>
    </w:p>
    <w:p>
      <w:r>
        <w:rPr>
          <w:rFonts w:ascii="Arial" w:hAnsi="Arial"/>
          <w:b/>
          <w:i w:val="0"/>
          <w:color w:val="1E242A"/>
          <w:sz w:val="21"/>
        </w:rPr>
        <w:t>POLITICAL PRACTICE.</w:t>
      </w:r>
      <w:r>
        <w:rPr>
          <w:rFonts w:ascii="Arial" w:hAnsi="Arial"/>
          <w:b w:val="0"/>
          <w:i w:val="0"/>
          <w:color w:val="1E242A"/>
          <w:sz w:val="21"/>
        </w:rPr>
        <w:t xml:space="preserve"> Scholarship on </w:t>
      </w:r>
      <w:hyperlink r:id="rId147">
        <w:r>
          <w:rPr>
            <w:color w:val="2C5F80"/>
            <w:u w:val="single"/>
            <w:rFonts w:ascii="Arial" w:hAnsi="Arial"/>
            <w:sz w:val="21"/>
          </w:rPr>
          <w:t>presidentialisation and pluralisation</w:t>
        </w:r>
      </w:hyperlink>
      <w:r>
        <w:rPr>
          <w:rFonts w:ascii="Arial" w:hAnsi="Arial"/>
          <w:b w:val="0"/>
          <w:i w:val="0"/>
          <w:color w:val="1E242A"/>
          <w:sz w:val="21"/>
        </w:rPr>
        <w:t xml:space="preserve"> describes growth in presidential diplomacy and participation by non-MRE actors since the 1990s. Degree varies sharply. Some Presidents rely on personal summits and presidential advisers; others delegate more to Itamaraty. Professional continuity persists in legal knowledge and mission networks even when ideology changes.</w:t>
      </w:r>
    </w:p>
    <w:p>
      <w:pPr>
        <w:pStyle w:val="Heading2"/>
      </w:pPr>
      <w:r>
        <w:rPr>
          <w:rFonts w:ascii="Arial" w:hAnsi="Arial"/>
          <w:b w:val="0"/>
          <w:i w:val="0"/>
          <w:color w:val="2C5F80"/>
          <w:sz w:val="27"/>
        </w:rPr>
        <w:t>2.3 Presidential diplomacy</w:t>
      </w:r>
    </w:p>
    <w:p>
      <w:r>
        <w:rPr>
          <w:rFonts w:ascii="Arial" w:hAnsi="Arial"/>
          <w:b/>
          <w:i w:val="0"/>
          <w:color w:val="1E242A"/>
          <w:sz w:val="21"/>
        </w:rPr>
        <w:t>GOVERNMENT ACTION INSTRUMENT.</w:t>
      </w:r>
      <w:r>
        <w:rPr>
          <w:rFonts w:ascii="Arial" w:hAnsi="Arial"/>
          <w:b w:val="0"/>
          <w:i w:val="0"/>
          <w:color w:val="1E242A"/>
          <w:sz w:val="21"/>
        </w:rPr>
        <w:t xml:space="preserve"> State visits, bilateral meetings, phone calls, summit attendance, invitations, public speeches, mediation offers and leader coalitions can clarify commitment, unblock a bargain or raise salience. They work best when officials have prepared negotiable text, counterpart authority is present, domestic ratification is credible and implementation resources exist.</w:t>
      </w:r>
    </w:p>
    <w:p>
      <w:r>
        <w:rPr>
          <w:rFonts w:ascii="Arial" w:hAnsi="Arial"/>
          <w:b w:val="0"/>
          <w:i w:val="0"/>
          <w:color w:val="1E242A"/>
          <w:sz w:val="21"/>
        </w:rPr>
        <w:t>Personal diplomacy can also overpromise, contradict professional positions, expose disagreement, personalise a relationship that later changes government, or trigger domestic and foreign backlash. A handshake can create political expectation without completing a treaty, tariff change, investment or appropriation.</w:t>
      </w:r>
    </w:p>
    <w:p>
      <w:pPr>
        <w:pStyle w:val="Heading1"/>
      </w:pPr>
      <w:r>
        <w:rPr>
          <w:rFonts w:ascii="Arial" w:hAnsi="Arial"/>
          <w:b w:val="0"/>
          <w:i w:val="0"/>
          <w:color w:val="183752"/>
          <w:sz w:val="34"/>
        </w:rPr>
        <w:t>3 Mercosur</w:t>
      </w:r>
    </w:p>
    <w:p>
      <w:pPr>
        <w:pStyle w:val="Heading2"/>
      </w:pPr>
      <w:r>
        <w:rPr>
          <w:rFonts w:ascii="Arial" w:hAnsi="Arial"/>
          <w:b w:val="0"/>
          <w:i w:val="0"/>
          <w:color w:val="2C5F80"/>
          <w:sz w:val="27"/>
        </w:rPr>
        <w:t>3.1 Institutional structure and consensus</w:t>
      </w:r>
    </w:p>
    <w:p>
      <w:r>
        <w:rPr>
          <w:rFonts w:ascii="Arial" w:hAnsi="Arial"/>
          <w:b w:val="0"/>
          <w:i w:val="0"/>
          <w:color w:val="1E242A"/>
          <w:sz w:val="21"/>
        </w:rPr>
        <w:t xml:space="preserve">The 1991 </w:t>
      </w:r>
      <w:hyperlink r:id="rId148">
        <w:r>
          <w:rPr>
            <w:color w:val="2C5F80"/>
            <w:u w:val="single"/>
            <w:rFonts w:ascii="Arial" w:hAnsi="Arial"/>
            <w:sz w:val="21"/>
          </w:rPr>
          <w:t>Treaty of Asunción</w:t>
        </w:r>
      </w:hyperlink>
      <w:r>
        <w:rPr>
          <w:rFonts w:ascii="Arial" w:hAnsi="Arial"/>
          <w:b w:val="0"/>
          <w:i w:val="0"/>
          <w:color w:val="1E242A"/>
          <w:sz w:val="21"/>
        </w:rPr>
        <w:t xml:space="preserve"> established the integration project and common external tariff objective. The 1994 </w:t>
      </w:r>
      <w:hyperlink r:id="rId149">
        <w:r>
          <w:rPr>
            <w:color w:val="2C5F80"/>
            <w:u w:val="single"/>
            <w:rFonts w:ascii="Arial" w:hAnsi="Arial"/>
            <w:sz w:val="21"/>
          </w:rPr>
          <w:t>Ouro Preto Protocol</w:t>
        </w:r>
      </w:hyperlink>
      <w:r>
        <w:rPr>
          <w:rFonts w:ascii="Arial" w:hAnsi="Arial"/>
          <w:b w:val="0"/>
          <w:i w:val="0"/>
          <w:color w:val="1E242A"/>
          <w:sz w:val="21"/>
        </w:rPr>
        <w:t xml:space="preserve"> gave the bloc legal personality and makes the Common Market Council, Common Market Group and Mercosur Trade Commission its intergovernmental decision-making organs. The Council gives political direction; the Group coordinates execution; the Commission administers common commercial-policy instruments. Decisions require consensus with all states present.</w:t>
      </w:r>
    </w:p>
    <w:p>
      <w:r>
        <w:rPr>
          <w:rFonts w:ascii="Arial" w:hAnsi="Arial"/>
          <w:b w:val="0"/>
          <w:i w:val="0"/>
          <w:color w:val="1E242A"/>
          <w:sz w:val="21"/>
        </w:rPr>
        <w:t>Parlasur contributes representation and deliberation but is not a supranational legislature capable of imposing directly effective Union-style law. The bloc's secretariat supports institutions; it does not command member governments.</w:t>
      </w:r>
    </w:p>
    <w:p>
      <w:pPr>
        <w:pStyle w:val="Heading2"/>
      </w:pPr>
      <w:r>
        <w:rPr>
          <w:rFonts w:ascii="Arial" w:hAnsi="Arial"/>
          <w:b w:val="0"/>
          <w:i w:val="0"/>
          <w:color w:val="2C5F80"/>
          <w:sz w:val="27"/>
        </w:rPr>
        <w:t>3.2 Incorporation and disputes</w:t>
      </w:r>
    </w:p>
    <w:p>
      <w:r>
        <w:rPr>
          <w:rFonts w:ascii="Arial" w:hAnsi="Arial"/>
          <w:b w:val="0"/>
          <w:i w:val="0"/>
          <w:color w:val="1E242A"/>
          <w:sz w:val="21"/>
        </w:rPr>
        <w:t>Member states take necessary national measures and notify the Secretariat. Where incorporation is required, the norm enters simultaneously thirty days after the Secretariat communicates that all members completed internal procedures. Some internal or organisational acts do not require incorporation. Each norm therefore needs an incorporation-status record.</w:t>
      </w:r>
    </w:p>
    <w:p>
      <w:r>
        <w:rPr>
          <w:rFonts w:ascii="Arial" w:hAnsi="Arial"/>
          <w:b w:val="0"/>
          <w:i w:val="0"/>
          <w:color w:val="1E242A"/>
          <w:sz w:val="21"/>
        </w:rPr>
        <w:t xml:space="preserve">The </w:t>
      </w:r>
      <w:hyperlink r:id="rId150">
        <w:r>
          <w:rPr>
            <w:color w:val="2C5F80"/>
            <w:u w:val="single"/>
            <w:rFonts w:ascii="Arial" w:hAnsi="Arial"/>
            <w:sz w:val="21"/>
          </w:rPr>
          <w:t>Olivos Protocol</w:t>
        </w:r>
      </w:hyperlink>
      <w:r>
        <w:rPr>
          <w:rFonts w:ascii="Arial" w:hAnsi="Arial"/>
          <w:b w:val="0"/>
          <w:i w:val="0"/>
          <w:color w:val="1E242A"/>
          <w:sz w:val="21"/>
        </w:rPr>
        <w:t xml:space="preserve"> provides consultations, arbitration and permanent review for disputes concerning founding treaties and CMC, GMC and CCM acts; private complaints pass through national sections. A partner can independently initiate dispute pressure.</w:t>
      </w:r>
    </w:p>
    <w:p>
      <w:pPr>
        <w:pStyle w:val="Heading2"/>
      </w:pPr>
      <w:r>
        <w:rPr>
          <w:rFonts w:ascii="Arial" w:hAnsi="Arial"/>
          <w:b w:val="0"/>
          <w:i w:val="0"/>
          <w:color w:val="2C5F80"/>
          <w:sz w:val="27"/>
        </w:rPr>
        <w:t>3.3 Common external policy and unilateral trade agreements</w:t>
      </w:r>
    </w:p>
    <w:p>
      <w:r>
        <w:rPr>
          <w:rFonts w:ascii="Arial" w:hAnsi="Arial"/>
          <w:b w:val="0"/>
          <w:i w:val="0"/>
          <w:color w:val="1E242A"/>
          <w:sz w:val="21"/>
        </w:rPr>
        <w:t>Mercosur's common market design includes a common external tariff and commercial policy toward third states. CMC Decision 32/00 reaffirms joint negotiation of preferential extra-zone tariff agreements and bars new unilateral preferential agreements in ALADI. Brazil can propose flexibility or a joint negotiation, but a Brazil-only preferential FTA conflicts with the operative bloc baseline.</w:t>
      </w:r>
    </w:p>
    <w:p>
      <w:r>
        <w:rPr>
          <w:rFonts w:ascii="Arial" w:hAnsi="Arial"/>
          <w:b/>
          <w:i w:val="0"/>
          <w:color w:val="1E242A"/>
          <w:sz w:val="21"/>
        </w:rPr>
        <w:t>UNCERTAINTY.</w:t>
      </w:r>
      <w:r>
        <w:rPr>
          <w:rFonts w:ascii="Arial" w:hAnsi="Arial"/>
          <w:b w:val="0"/>
          <w:i w:val="0"/>
          <w:color w:val="1E242A"/>
          <w:sz w:val="21"/>
        </w:rPr>
        <w:t xml:space="preserve"> Uruguay has argued that Decision 32/00 never acquired binding force because it was not nationally incorporated; official Mercosur and Brazilian practice treats it as an institutional act not requiring incorporation. This is a real legal-political disagreement, not automatic permission. Unilateral action could produce partner retaliation, institutional dispute and damage to the customs union even if a government advances the Uruguayan reading.</w:t>
      </w:r>
    </w:p>
    <w:p>
      <w:r>
        <w:rPr>
          <w:rFonts w:ascii="Arial" w:hAnsi="Arial"/>
          <w:b w:val="0"/>
          <w:i w:val="0"/>
          <w:color w:val="1E242A"/>
          <w:sz w:val="21"/>
        </w:rPr>
        <w:t>The customs union is incomplete. National exception lists, sectoral regimes and temporary adjustments mean “common tariff” is not perfect uniformity. Exact tariff freedom is product- and date-specific.</w:t>
      </w:r>
    </w:p>
    <w:p>
      <w:pPr>
        <w:pStyle w:val="Heading2"/>
      </w:pPr>
      <w:r>
        <w:rPr>
          <w:rFonts w:ascii="Arial" w:hAnsi="Arial"/>
          <w:b w:val="0"/>
          <w:i w:val="0"/>
          <w:color w:val="2C5F80"/>
          <w:sz w:val="27"/>
        </w:rPr>
        <w:t>3.4 Accession and suspension</w:t>
      </w:r>
    </w:p>
    <w:p>
      <w:r>
        <w:rPr>
          <w:rFonts w:ascii="Arial" w:hAnsi="Arial"/>
          <w:b w:val="0"/>
          <w:i w:val="0"/>
          <w:color w:val="1E242A"/>
          <w:sz w:val="21"/>
        </w:rPr>
        <w:t>Membership and accession proceed through treaty rules and unanimous political/legal approval, including domestic ratification. Democratic suspension mechanisms have been used politically; they are not unilateral Brazilian expulsion powers. Bolivia's accession and any membership status must be versioned by effective date.</w:t>
      </w:r>
    </w:p>
    <w:p>
      <w:pPr>
        <w:pStyle w:val="Heading1"/>
      </w:pPr>
      <w:r>
        <w:rPr>
          <w:rFonts w:ascii="Arial" w:hAnsi="Arial"/>
          <w:b w:val="0"/>
          <w:i w:val="0"/>
          <w:color w:val="183752"/>
          <w:sz w:val="34"/>
        </w:rPr>
        <w:t>4 Trade policy and WTO constraints</w:t>
      </w:r>
    </w:p>
    <w:p>
      <w:pPr>
        <w:pStyle w:val="Heading2"/>
      </w:pPr>
      <w:r>
        <w:rPr>
          <w:rFonts w:ascii="Arial" w:hAnsi="Arial"/>
          <w:b w:val="0"/>
          <w:i w:val="0"/>
          <w:color w:val="2C5F80"/>
          <w:sz w:val="27"/>
        </w:rPr>
        <w:t>4.1 Institutional ownership</w:t>
      </w:r>
    </w:p>
    <w:p>
      <w:r>
        <w:rPr>
          <w:rFonts w:ascii="Arial" w:hAnsi="Arial"/>
          <w:b w:val="0"/>
          <w:i w:val="0"/>
          <w:color w:val="1E242A"/>
          <w:sz w:val="21"/>
        </w:rPr>
        <w:t xml:space="preserve">CAMEX and its executive committee coordinate Brazilian trade and investment policy under </w:t>
      </w:r>
      <w:hyperlink r:id="rId151">
        <w:r>
          <w:rPr>
            <w:color w:val="2C5F80"/>
            <w:u w:val="single"/>
            <w:rFonts w:ascii="Arial" w:hAnsi="Arial"/>
            <w:sz w:val="21"/>
          </w:rPr>
          <w:t>Decree 11,428 of 2023</w:t>
        </w:r>
      </w:hyperlink>
      <w:r>
        <w:rPr>
          <w:rFonts w:ascii="Arial" w:hAnsi="Arial"/>
          <w:b w:val="0"/>
          <w:i w:val="0"/>
          <w:color w:val="1E242A"/>
          <w:sz w:val="21"/>
        </w:rPr>
        <w:t>. MDIC/SECEX develops trade policy; Receita executes customs and collection; sector regulators apply sanitary, technical or licensing rules; MRE negotiates and litigates externally. Presidential strategy does not replace this technical chain.</w:t>
      </w:r>
    </w:p>
    <w:p>
      <w:pPr>
        <w:pStyle w:val="Heading2"/>
      </w:pPr>
      <w:r>
        <w:rPr>
          <w:rFonts w:ascii="Arial" w:hAnsi="Arial"/>
          <w:b w:val="0"/>
          <w:i w:val="0"/>
          <w:color w:val="2C5F80"/>
          <w:sz w:val="27"/>
        </w:rPr>
        <w:t>4.2 Instrument map</w:t>
      </w:r>
    </w:p>
    <w:tbl>
      <w:tblPr>
        <w:tblW w:type="dxa" w:w="9360"/>
        <w:jc w:val="center"/>
        <w:tblLayout w:type="fixed"/>
        <w:tblLook w:firstColumn="1" w:firstRow="1" w:lastColumn="0" w:lastRow="0" w:noHBand="0" w:noVBand="1" w:val="04A0"/>
        <w:tblInd w:type="dxa" w:w="120"/>
      </w:tblPr>
      <w:tblGrid>
        <w:gridCol w:w="3120"/>
        <w:gridCol w:w="3120"/>
        <w:gridCol w:w="3120"/>
      </w:tblGrid>
      <w:tr>
        <w:trPr>
          <w:tblHeader w:val="true"/>
          <w:cantSplit/>
        </w:trPr>
        <w:tc>
          <w:tcPr>
            <w:tcW w:type="dxa" w:w="3120"/>
            <w:vAlign w:val="top"/>
            <w:shd w:fill="EAF1F5"/>
          </w:tcPr>
          <w:p>
            <w:r/>
            <w:r>
              <w:rPr>
                <w:rFonts w:ascii="Arial" w:hAnsi="Arial"/>
                <w:b w:val="0"/>
                <w:i w:val="0"/>
                <w:color w:val="183752"/>
                <w:sz w:val="16"/>
              </w:rPr>
              <w:t>Instrument</w:t>
            </w:r>
          </w:p>
        </w:tc>
        <w:tc>
          <w:tcPr>
            <w:tcW w:type="dxa" w:w="3120"/>
            <w:vAlign w:val="top"/>
            <w:shd w:fill="EAF1F5"/>
          </w:tcPr>
          <w:p>
            <w:r/>
            <w:r>
              <w:rPr>
                <w:rFonts w:ascii="Arial" w:hAnsi="Arial"/>
                <w:b w:val="0"/>
                <w:i w:val="0"/>
                <w:color w:val="183752"/>
                <w:sz w:val="16"/>
              </w:rPr>
              <w:t>Domestic pathway</w:t>
            </w:r>
          </w:p>
        </w:tc>
        <w:tc>
          <w:tcPr>
            <w:tcW w:type="dxa" w:w="3120"/>
            <w:vAlign w:val="top"/>
            <w:shd w:fill="EAF1F5"/>
          </w:tcPr>
          <w:p>
            <w:r/>
            <w:r>
              <w:rPr>
                <w:rFonts w:ascii="Arial" w:hAnsi="Arial"/>
                <w:b w:val="0"/>
                <w:i w:val="0"/>
                <w:color w:val="183752"/>
                <w:sz w:val="16"/>
              </w:rPr>
              <w:t>External constraint and response</w:t>
            </w:r>
          </w:p>
        </w:tc>
      </w:tr>
      <w:tr>
        <w:trPr>
          <w:cantSplit/>
        </w:trPr>
        <w:tc>
          <w:tcPr>
            <w:tcW w:type="dxa" w:w="3120"/>
            <w:vAlign w:val="top"/>
          </w:tcPr>
          <w:p>
            <w:r/>
            <w:r>
              <w:rPr>
                <w:rFonts w:ascii="Arial" w:hAnsi="Arial"/>
                <w:b w:val="0"/>
                <w:i w:val="0"/>
                <w:color w:val="1E242A"/>
                <w:sz w:val="16"/>
              </w:rPr>
              <w:t>Import tariff</w:t>
            </w:r>
          </w:p>
        </w:tc>
        <w:tc>
          <w:tcPr>
            <w:tcW w:type="dxa" w:w="3120"/>
            <w:vAlign w:val="top"/>
          </w:tcPr>
          <w:p>
            <w:r/>
            <w:r>
              <w:rPr>
                <w:rFonts w:ascii="Arial" w:hAnsi="Arial"/>
                <w:b w:val="0"/>
                <w:i w:val="0"/>
                <w:color w:val="1E242A"/>
                <w:sz w:val="16"/>
              </w:rPr>
              <w:t>CAMEX/Gecex and customs implementation; some proposals pass through Mercosur CCM</w:t>
            </w:r>
          </w:p>
        </w:tc>
        <w:tc>
          <w:tcPr>
            <w:tcW w:type="dxa" w:w="3120"/>
            <w:vAlign w:val="top"/>
          </w:tcPr>
          <w:p>
            <w:r/>
            <w:r>
              <w:rPr>
                <w:rFonts w:ascii="Arial" w:hAnsi="Arial"/>
                <w:b w:val="0"/>
                <w:i w:val="0"/>
                <w:color w:val="1E242A"/>
                <w:sz w:val="16"/>
              </w:rPr>
              <w:t>CET and exceptions; WTO bound rates and MFN; partners can consult or dispute</w:t>
            </w:r>
          </w:p>
        </w:tc>
      </w:tr>
      <w:tr>
        <w:trPr>
          <w:cantSplit/>
        </w:trPr>
        <w:tc>
          <w:tcPr>
            <w:tcW w:type="dxa" w:w="3120"/>
            <w:vAlign w:val="top"/>
          </w:tcPr>
          <w:p>
            <w:r/>
            <w:r>
              <w:rPr>
                <w:rFonts w:ascii="Arial" w:hAnsi="Arial"/>
                <w:b w:val="0"/>
                <w:i w:val="0"/>
                <w:color w:val="1E242A"/>
                <w:sz w:val="16"/>
              </w:rPr>
              <w:t>Anti-dumping duty</w:t>
            </w:r>
          </w:p>
        </w:tc>
        <w:tc>
          <w:tcPr>
            <w:tcW w:type="dxa" w:w="3120"/>
            <w:vAlign w:val="top"/>
          </w:tcPr>
          <w:p>
            <w:r/>
            <w:r>
              <w:rPr>
                <w:rFonts w:ascii="Arial" w:hAnsi="Arial"/>
                <w:b w:val="0"/>
                <w:i w:val="0"/>
                <w:color w:val="1E242A"/>
                <w:sz w:val="16"/>
              </w:rPr>
              <w:t>DECOM investigation; evidence of dumping, injury and causation; Gecex decision</w:t>
            </w:r>
          </w:p>
        </w:tc>
        <w:tc>
          <w:tcPr>
            <w:tcW w:type="dxa" w:w="3120"/>
            <w:vAlign w:val="top"/>
          </w:tcPr>
          <w:p>
            <w:r/>
            <w:r>
              <w:rPr>
                <w:rFonts w:ascii="Arial" w:hAnsi="Arial"/>
                <w:b w:val="0"/>
                <w:i w:val="0"/>
                <w:color w:val="1E242A"/>
                <w:sz w:val="16"/>
              </w:rPr>
              <w:t>WTO Anti-Dumping Agreement; exporter government and firms participate or litigate</w:t>
            </w:r>
          </w:p>
        </w:tc>
      </w:tr>
      <w:tr>
        <w:trPr>
          <w:cantSplit/>
        </w:trPr>
        <w:tc>
          <w:tcPr>
            <w:tcW w:type="dxa" w:w="3120"/>
            <w:vAlign w:val="top"/>
          </w:tcPr>
          <w:p>
            <w:r/>
            <w:r>
              <w:rPr>
                <w:rFonts w:ascii="Arial" w:hAnsi="Arial"/>
                <w:b w:val="0"/>
                <w:i w:val="0"/>
                <w:color w:val="1E242A"/>
                <w:sz w:val="16"/>
              </w:rPr>
              <w:t>Countervailing duty</w:t>
            </w:r>
          </w:p>
        </w:tc>
        <w:tc>
          <w:tcPr>
            <w:tcW w:type="dxa" w:w="3120"/>
            <w:vAlign w:val="top"/>
          </w:tcPr>
          <w:p>
            <w:r/>
            <w:r>
              <w:rPr>
                <w:rFonts w:ascii="Arial" w:hAnsi="Arial"/>
                <w:b w:val="0"/>
                <w:i w:val="0"/>
                <w:color w:val="1E242A"/>
                <w:sz w:val="16"/>
              </w:rPr>
              <w:t>Subsidy and injury investigation; Gecex decision</w:t>
            </w:r>
          </w:p>
        </w:tc>
        <w:tc>
          <w:tcPr>
            <w:tcW w:type="dxa" w:w="3120"/>
            <w:vAlign w:val="top"/>
          </w:tcPr>
          <w:p>
            <w:r/>
            <w:r>
              <w:rPr>
                <w:rFonts w:ascii="Arial" w:hAnsi="Arial"/>
                <w:b w:val="0"/>
                <w:i w:val="0"/>
                <w:color w:val="1E242A"/>
                <w:sz w:val="16"/>
              </w:rPr>
              <w:t>WTO SCM Agreement; foreign government may contest</w:t>
            </w:r>
          </w:p>
        </w:tc>
      </w:tr>
      <w:tr>
        <w:trPr>
          <w:cantSplit/>
        </w:trPr>
        <w:tc>
          <w:tcPr>
            <w:tcW w:type="dxa" w:w="3120"/>
            <w:vAlign w:val="top"/>
          </w:tcPr>
          <w:p>
            <w:r/>
            <w:r>
              <w:rPr>
                <w:rFonts w:ascii="Arial" w:hAnsi="Arial"/>
                <w:b w:val="0"/>
                <w:i w:val="0"/>
                <w:color w:val="1E242A"/>
                <w:sz w:val="16"/>
              </w:rPr>
              <w:t>Safeguard</w:t>
            </w:r>
          </w:p>
        </w:tc>
        <w:tc>
          <w:tcPr>
            <w:tcW w:type="dxa" w:w="3120"/>
            <w:vAlign w:val="top"/>
          </w:tcPr>
          <w:p>
            <w:r/>
            <w:r>
              <w:rPr>
                <w:rFonts w:ascii="Arial" w:hAnsi="Arial"/>
                <w:b w:val="0"/>
                <w:i w:val="0"/>
                <w:color w:val="1E242A"/>
                <w:sz w:val="16"/>
              </w:rPr>
              <w:t>Investigation of serious injury and statutory decision</w:t>
            </w:r>
          </w:p>
        </w:tc>
        <w:tc>
          <w:tcPr>
            <w:tcW w:type="dxa" w:w="3120"/>
            <w:vAlign w:val="top"/>
          </w:tcPr>
          <w:p>
            <w:r/>
            <w:r>
              <w:rPr>
                <w:rFonts w:ascii="Arial" w:hAnsi="Arial"/>
                <w:b w:val="0"/>
                <w:i w:val="0"/>
                <w:color w:val="1E242A"/>
                <w:sz w:val="16"/>
              </w:rPr>
              <w:t>WTO safeguards, notification, compensation and retaliation possibilities</w:t>
            </w:r>
          </w:p>
        </w:tc>
      </w:tr>
      <w:tr>
        <w:trPr>
          <w:cantSplit/>
        </w:trPr>
        <w:tc>
          <w:tcPr>
            <w:tcW w:type="dxa" w:w="3120"/>
            <w:vAlign w:val="top"/>
          </w:tcPr>
          <w:p>
            <w:r/>
            <w:r>
              <w:rPr>
                <w:rFonts w:ascii="Arial" w:hAnsi="Arial"/>
                <w:b w:val="0"/>
                <w:i w:val="0"/>
                <w:color w:val="1E242A"/>
                <w:sz w:val="16"/>
              </w:rPr>
              <w:t>Import licence or technical rule</w:t>
            </w:r>
          </w:p>
        </w:tc>
        <w:tc>
          <w:tcPr>
            <w:tcW w:type="dxa" w:w="3120"/>
            <w:vAlign w:val="top"/>
          </w:tcPr>
          <w:p>
            <w:r/>
            <w:r>
              <w:rPr>
                <w:rFonts w:ascii="Arial" w:hAnsi="Arial"/>
                <w:b w:val="0"/>
                <w:i w:val="0"/>
                <w:color w:val="1E242A"/>
                <w:sz w:val="16"/>
              </w:rPr>
              <w:t>SECEX or competent regulator under law</w:t>
            </w:r>
          </w:p>
        </w:tc>
        <w:tc>
          <w:tcPr>
            <w:tcW w:type="dxa" w:w="3120"/>
            <w:vAlign w:val="top"/>
          </w:tcPr>
          <w:p>
            <w:r/>
            <w:r>
              <w:rPr>
                <w:rFonts w:ascii="Arial" w:hAnsi="Arial"/>
                <w:b w:val="0"/>
                <w:i w:val="0"/>
                <w:color w:val="1E242A"/>
                <w:sz w:val="16"/>
              </w:rPr>
              <w:t>TBT, SPS, transparency, necessity and non-discrimination obligations</w:t>
            </w:r>
          </w:p>
        </w:tc>
      </w:tr>
      <w:tr>
        <w:trPr>
          <w:cantSplit/>
        </w:trPr>
        <w:tc>
          <w:tcPr>
            <w:tcW w:type="dxa" w:w="3120"/>
            <w:vAlign w:val="top"/>
          </w:tcPr>
          <w:p>
            <w:r/>
            <w:r>
              <w:rPr>
                <w:rFonts w:ascii="Arial" w:hAnsi="Arial"/>
                <w:b w:val="0"/>
                <w:i w:val="0"/>
                <w:color w:val="1E242A"/>
                <w:sz w:val="16"/>
              </w:rPr>
              <w:t>Export restriction or tax</w:t>
            </w:r>
          </w:p>
        </w:tc>
        <w:tc>
          <w:tcPr>
            <w:tcW w:type="dxa" w:w="3120"/>
            <w:vAlign w:val="top"/>
          </w:tcPr>
          <w:p>
            <w:r/>
            <w:r>
              <w:rPr>
                <w:rFonts w:ascii="Arial" w:hAnsi="Arial"/>
                <w:b w:val="0"/>
                <w:i w:val="0"/>
                <w:color w:val="1E242A"/>
                <w:sz w:val="16"/>
              </w:rPr>
              <w:t>Instrument-specific statutory/executive authority</w:t>
            </w:r>
          </w:p>
        </w:tc>
        <w:tc>
          <w:tcPr>
            <w:tcW w:type="dxa" w:w="3120"/>
            <w:vAlign w:val="top"/>
          </w:tcPr>
          <w:p>
            <w:r/>
            <w:r>
              <w:rPr>
                <w:rFonts w:ascii="Arial" w:hAnsi="Arial"/>
                <w:b w:val="0"/>
                <w:i w:val="0"/>
                <w:color w:val="1E242A"/>
                <w:sz w:val="16"/>
              </w:rPr>
              <w:t>WTO and contractual duties; domestic supply and foreign retaliation</w:t>
            </w:r>
          </w:p>
        </w:tc>
      </w:tr>
      <w:tr>
        <w:trPr>
          <w:cantSplit/>
        </w:trPr>
        <w:tc>
          <w:tcPr>
            <w:tcW w:type="dxa" w:w="3120"/>
            <w:vAlign w:val="top"/>
          </w:tcPr>
          <w:p>
            <w:r/>
            <w:r>
              <w:rPr>
                <w:rFonts w:ascii="Arial" w:hAnsi="Arial"/>
                <w:b w:val="0"/>
                <w:i w:val="0"/>
                <w:color w:val="1E242A"/>
                <w:sz w:val="16"/>
              </w:rPr>
              <w:t>Export finance and promotion</w:t>
            </w:r>
          </w:p>
        </w:tc>
        <w:tc>
          <w:tcPr>
            <w:tcW w:type="dxa" w:w="3120"/>
            <w:vAlign w:val="top"/>
          </w:tcPr>
          <w:p>
            <w:r/>
            <w:r>
              <w:rPr>
                <w:rFonts w:ascii="Arial" w:hAnsi="Arial"/>
                <w:b w:val="0"/>
                <w:i w:val="0"/>
                <w:color w:val="1E242A"/>
                <w:sz w:val="16"/>
              </w:rPr>
              <w:t>BNDES, Banco do Brasil, agencies and budget programmes</w:t>
            </w:r>
          </w:p>
        </w:tc>
        <w:tc>
          <w:tcPr>
            <w:tcW w:type="dxa" w:w="3120"/>
            <w:vAlign w:val="top"/>
          </w:tcPr>
          <w:p>
            <w:r/>
            <w:r>
              <w:rPr>
                <w:rFonts w:ascii="Arial" w:hAnsi="Arial"/>
                <w:b w:val="0"/>
                <w:i w:val="0"/>
                <w:color w:val="1E242A"/>
                <w:sz w:val="16"/>
              </w:rPr>
              <w:t>WTO subsidy disciplines and credit rules; financing risk and appropriations</w:t>
            </w:r>
          </w:p>
        </w:tc>
      </w:tr>
      <w:tr>
        <w:trPr>
          <w:cantSplit/>
        </w:trPr>
        <w:tc>
          <w:tcPr>
            <w:tcW w:type="dxa" w:w="3120"/>
            <w:vAlign w:val="top"/>
          </w:tcPr>
          <w:p>
            <w:r/>
            <w:r>
              <w:rPr>
                <w:rFonts w:ascii="Arial" w:hAnsi="Arial"/>
                <w:b w:val="0"/>
                <w:i w:val="0"/>
                <w:color w:val="1E242A"/>
                <w:sz w:val="16"/>
              </w:rPr>
              <w:t>Preferential market access</w:t>
            </w:r>
          </w:p>
        </w:tc>
        <w:tc>
          <w:tcPr>
            <w:tcW w:type="dxa" w:w="3120"/>
            <w:vAlign w:val="top"/>
          </w:tcPr>
          <w:p>
            <w:r/>
            <w:r>
              <w:rPr>
                <w:rFonts w:ascii="Arial" w:hAnsi="Arial"/>
                <w:b w:val="0"/>
                <w:i w:val="0"/>
                <w:color w:val="1E242A"/>
                <w:sz w:val="16"/>
              </w:rPr>
              <w:t>Mercosur negotiation, signature, Congress, ratification and implementation</w:t>
            </w:r>
          </w:p>
        </w:tc>
        <w:tc>
          <w:tcPr>
            <w:tcW w:type="dxa" w:w="3120"/>
            <w:vAlign w:val="top"/>
          </w:tcPr>
          <w:p>
            <w:r/>
            <w:r>
              <w:rPr>
                <w:rFonts w:ascii="Arial" w:hAnsi="Arial"/>
                <w:b w:val="0"/>
                <w:i w:val="0"/>
                <w:color w:val="1E242A"/>
                <w:sz w:val="16"/>
              </w:rPr>
              <w:t>Counterpart approval; rules of origin; WTO regional-agreement rules</w:t>
            </w:r>
          </w:p>
        </w:tc>
      </w:tr>
      <w:tr>
        <w:trPr>
          <w:cantSplit/>
        </w:trPr>
        <w:tc>
          <w:tcPr>
            <w:tcW w:type="dxa" w:w="3120"/>
            <w:vAlign w:val="top"/>
          </w:tcPr>
          <w:p>
            <w:r/>
            <w:r>
              <w:rPr>
                <w:rFonts w:ascii="Arial" w:hAnsi="Arial"/>
                <w:b w:val="0"/>
                <w:i w:val="0"/>
                <w:color w:val="1E242A"/>
                <w:sz w:val="16"/>
              </w:rPr>
              <w:t>Customs enforcement</w:t>
            </w:r>
          </w:p>
        </w:tc>
        <w:tc>
          <w:tcPr>
            <w:tcW w:type="dxa" w:w="3120"/>
            <w:vAlign w:val="top"/>
          </w:tcPr>
          <w:p>
            <w:r/>
            <w:r>
              <w:rPr>
                <w:rFonts w:ascii="Arial" w:hAnsi="Arial"/>
                <w:b w:val="0"/>
                <w:i w:val="0"/>
                <w:color w:val="1E242A"/>
                <w:sz w:val="16"/>
              </w:rPr>
              <w:t>Receita, PF and other border bodies</w:t>
            </w:r>
          </w:p>
        </w:tc>
        <w:tc>
          <w:tcPr>
            <w:tcW w:type="dxa" w:w="3120"/>
            <w:vAlign w:val="top"/>
          </w:tcPr>
          <w:p>
            <w:r/>
            <w:r>
              <w:rPr>
                <w:rFonts w:ascii="Arial" w:hAnsi="Arial"/>
                <w:b w:val="0"/>
                <w:i w:val="0"/>
                <w:color w:val="1E242A"/>
                <w:sz w:val="16"/>
              </w:rPr>
              <w:t>Trade facilitation, due process, transit and anti-discrimination duties</w:t>
            </w:r>
          </w:p>
        </w:tc>
      </w:tr>
    </w:tbl>
    <w:p>
      <w:pPr>
        <w:spacing w:after="40"/>
      </w:pPr>
    </w:p>
    <w:p>
      <w:hyperlink r:id="rId152">
        <w:r>
          <w:rPr>
            <w:color w:val="2C5F80"/>
            <w:u w:val="single"/>
            <w:rFonts w:ascii="Arial" w:hAnsi="Arial"/>
            <w:sz w:val="21"/>
          </w:rPr>
          <w:t>WTO's 2022 Trade Policy Review</w:t>
        </w:r>
      </w:hyperlink>
      <w:r>
        <w:rPr>
          <w:rFonts w:ascii="Arial" w:hAnsi="Arial"/>
          <w:b w:val="0"/>
          <w:i w:val="0"/>
          <w:color w:val="1E242A"/>
          <w:sz w:val="21"/>
        </w:rPr>
        <w:t xml:space="preserve"> confirms that Brazil applies the Mercosur CET with country derogations and is a significant anti-dumping user. Applied rates, bindings and exceptions must be retrieved for the relevant scenario date.</w:t>
      </w:r>
    </w:p>
    <w:p>
      <w:pPr>
        <w:pStyle w:val="Heading2"/>
      </w:pPr>
      <w:r>
        <w:rPr>
          <w:rFonts w:ascii="Arial" w:hAnsi="Arial"/>
          <w:b w:val="0"/>
          <w:i w:val="0"/>
          <w:color w:val="2C5F80"/>
          <w:sz w:val="27"/>
        </w:rPr>
        <w:t>4.3 Disputes and retaliation</w:t>
      </w:r>
    </w:p>
    <w:p>
      <w:r>
        <w:rPr>
          <w:rFonts w:ascii="Arial" w:hAnsi="Arial"/>
          <w:b w:val="0"/>
          <w:i w:val="0"/>
          <w:color w:val="1E242A"/>
          <w:sz w:val="21"/>
        </w:rPr>
        <w:t xml:space="preserve">Foreign members can request WTO consultations, establish panels and, after adjudication and non-compliance, seek authorised retaliation. Brazil can do the same; it cannot simply label an act a WTO remedy without procedure. In the Upland Cotton dispute, Brazil obtained authority for countermeasures including conditional cross-retaliation but negotiated a settlement framework before full use. Canada earlier received retaliation authority in the aircraft-subsidy dispute. These </w:t>
      </w:r>
      <w:r>
        <w:rPr>
          <w:rFonts w:ascii="Arial" w:hAnsi="Arial"/>
          <w:b/>
          <w:i w:val="0"/>
          <w:color w:val="1E242A"/>
          <w:sz w:val="21"/>
        </w:rPr>
        <w:t>HISTORICAL EXPERIENCES</w:t>
      </w:r>
      <w:r>
        <w:rPr>
          <w:rFonts w:ascii="Arial" w:hAnsi="Arial"/>
          <w:b w:val="0"/>
          <w:i w:val="0"/>
          <w:color w:val="1E242A"/>
          <w:sz w:val="21"/>
        </w:rPr>
        <w:t xml:space="preserve"> show litigation, authorisation, domestic preparation and settlement as separate choices.</w:t>
      </w:r>
    </w:p>
    <w:p>
      <w:pPr>
        <w:pStyle w:val="Heading1"/>
      </w:pPr>
      <w:r>
        <w:rPr>
          <w:rFonts w:ascii="Arial" w:hAnsi="Arial"/>
          <w:b w:val="0"/>
          <w:i w:val="0"/>
          <w:color w:val="183752"/>
          <w:sz w:val="34"/>
        </w:rPr>
        <w:t>5 Sanctions and restrictive measures</w:t>
      </w:r>
    </w:p>
    <w:p>
      <w:pPr>
        <w:pStyle w:val="Heading2"/>
      </w:pPr>
      <w:r>
        <w:rPr>
          <w:rFonts w:ascii="Arial" w:hAnsi="Arial"/>
          <w:b w:val="0"/>
          <w:i w:val="0"/>
          <w:color w:val="2C5F80"/>
          <w:sz w:val="27"/>
        </w:rPr>
        <w:t>5.1 UN sanctions</w:t>
      </w:r>
    </w:p>
    <w:p>
      <w:r>
        <w:rPr>
          <w:rFonts w:ascii="Arial" w:hAnsi="Arial"/>
          <w:b/>
          <w:i w:val="0"/>
          <w:color w:val="1E242A"/>
          <w:sz w:val="21"/>
        </w:rPr>
        <w:t>FORMAL RULE.</w:t>
      </w:r>
      <w:r>
        <w:rPr>
          <w:rFonts w:ascii="Arial" w:hAnsi="Arial"/>
          <w:b w:val="0"/>
          <w:i w:val="0"/>
          <w:color w:val="1E242A"/>
          <w:sz w:val="21"/>
        </w:rPr>
        <w:t xml:space="preserve"> </w:t>
      </w:r>
      <w:hyperlink r:id="rId153">
        <w:r>
          <w:rPr>
            <w:color w:val="2C5F80"/>
            <w:u w:val="single"/>
            <w:rFonts w:ascii="Arial" w:hAnsi="Arial"/>
            <w:sz w:val="21"/>
          </w:rPr>
          <w:t>Law 13,810 of 2019</w:t>
        </w:r>
      </w:hyperlink>
      <w:r>
        <w:rPr>
          <w:rFonts w:ascii="Arial" w:hAnsi="Arial"/>
          <w:b w:val="0"/>
          <w:i w:val="0"/>
          <w:color w:val="1E242A"/>
          <w:sz w:val="21"/>
        </w:rPr>
        <w:t xml:space="preserve"> gives UN Security Council sanctions and committee designations immediate executability in Brazil. MRE publishes Portuguese notice; MJSP, regulators, financial institutions, Receita, PF, ports, COAF and AGU implement asset, travel and trade consequences. Asset unavailability is not forfeiture.</w:t>
      </w:r>
    </w:p>
    <w:p>
      <w:r>
        <w:rPr>
          <w:rFonts w:ascii="Arial" w:hAnsi="Arial"/>
          <w:b w:val="0"/>
          <w:i w:val="0"/>
          <w:color w:val="1E242A"/>
          <w:sz w:val="21"/>
        </w:rPr>
        <w:t>Implementation is normally automatic and delegated. Presidential altitude concerns Brazil's Security Council diplomacy, politically exceptional application problems, broader relations with the target and any new legislation.</w:t>
      </w:r>
    </w:p>
    <w:p>
      <w:pPr>
        <w:pStyle w:val="Heading2"/>
      </w:pPr>
      <w:r>
        <w:rPr>
          <w:rFonts w:ascii="Arial" w:hAnsi="Arial"/>
          <w:b w:val="0"/>
          <w:i w:val="0"/>
          <w:color w:val="2C5F80"/>
          <w:sz w:val="27"/>
        </w:rPr>
        <w:t>5.2 Autonomous sanctions</w:t>
      </w:r>
    </w:p>
    <w:p>
      <w:r>
        <w:rPr>
          <w:rFonts w:ascii="Arial" w:hAnsi="Arial"/>
          <w:b w:val="0"/>
          <w:i w:val="0"/>
          <w:color w:val="1E242A"/>
          <w:sz w:val="21"/>
        </w:rPr>
        <w:t>No general Brazilian autonomous designation regime comparable to US or EU systems was located. Law 13,810 primarily implements UNSC measures and narrow terrorism-related designations or foreign requests. Brazil can downgrade diplomacy, regulate visas, procurement, finance, exports or imports only under the applicable legal basis and subject to Mercosur, WTO, constitutional and treaty constraints. A novel broad sanctions programme would likely need presidential, legislative and regulatory action.</w:t>
      </w:r>
    </w:p>
    <w:p>
      <w:r>
        <w:rPr>
          <w:rFonts w:ascii="Arial" w:hAnsi="Arial"/>
          <w:b w:val="0"/>
          <w:i w:val="0"/>
          <w:color w:val="1E242A"/>
          <w:sz w:val="21"/>
        </w:rPr>
        <w:t>Brazilian opposition to “unilateral sanctions” is a policy posture, not proof that every unilateral restrictive measure is legally impossible. The authority question must be asked instrument by instrument.</w:t>
      </w:r>
    </w:p>
    <w:p>
      <w:pPr>
        <w:pStyle w:val="Heading1"/>
      </w:pPr>
      <w:r>
        <w:rPr>
          <w:rFonts w:ascii="Arial" w:hAnsi="Arial"/>
          <w:b w:val="0"/>
          <w:i w:val="0"/>
          <w:color w:val="183752"/>
          <w:sz w:val="34"/>
        </w:rPr>
        <w:t>6 Structurally important relationships</w:t>
      </w:r>
    </w:p>
    <w:p>
      <w:pPr>
        <w:pStyle w:val="Heading2"/>
      </w:pPr>
      <w:r>
        <w:rPr>
          <w:rFonts w:ascii="Arial" w:hAnsi="Arial"/>
          <w:b w:val="0"/>
          <w:i w:val="0"/>
          <w:color w:val="2C5F80"/>
          <w:sz w:val="27"/>
        </w:rPr>
        <w:t>6.1 Argentina</w:t>
      </w:r>
    </w:p>
    <w:p>
      <w:r>
        <w:rPr>
          <w:rFonts w:ascii="Arial" w:hAnsi="Arial"/>
          <w:b w:val="0"/>
          <w:i w:val="0"/>
          <w:color w:val="1E242A"/>
          <w:sz w:val="21"/>
        </w:rPr>
        <w:t>Brazil and Argentina are bound by Mercosur, production chains, borders, energy, infrastructure and diplomatic coordination. Automotive trade remains governed through bilateral ACE-14 arrangements rather than fully normalised free trade. Energy bargaining includes electricity and potential gas routes. Ideological affinity can accelerate summits; divergence can slow coordination or produce public conflict, but firms, provinces, regulators and treaty institutions preserve interdependence.</w:t>
      </w:r>
    </w:p>
    <w:p>
      <w:r>
        <w:rPr>
          <w:rFonts w:ascii="Arial" w:hAnsi="Arial"/>
          <w:b w:val="0"/>
          <w:i w:val="0"/>
          <w:color w:val="1E242A"/>
          <w:sz w:val="21"/>
        </w:rPr>
        <w:t>Argentina's own Congress, provinces, industry, exchange controls, fiscal conditions and elections constrain acceptance. Brazil cannot treat the Argentine President as sole counterpart. Likely autonomous inputs include vehicle-regime disputes, import controls, gas availability, currency or payments proposals, border incidents and Mercosur negotiating demands.</w:t>
      </w:r>
    </w:p>
    <w:p>
      <w:pPr>
        <w:pStyle w:val="Heading2"/>
      </w:pPr>
      <w:r>
        <w:rPr>
          <w:rFonts w:ascii="Arial" w:hAnsi="Arial"/>
          <w:b w:val="0"/>
          <w:i w:val="0"/>
          <w:color w:val="2C5F80"/>
          <w:sz w:val="27"/>
        </w:rPr>
        <w:t>6.2 South America</w:t>
      </w:r>
    </w:p>
    <w:p>
      <w:r>
        <w:rPr>
          <w:rFonts w:ascii="Arial" w:hAnsi="Arial"/>
          <w:b w:val="0"/>
          <w:i w:val="0"/>
          <w:color w:val="1E242A"/>
          <w:sz w:val="21"/>
        </w:rPr>
        <w:t>Brazilian regional influence is domain-specific. Mercosur structures southern trade; the Amazon Cooperation Treaty Organization coordinates eight Amazon states by consensus; bilateral arrangements govern energy and borders; migration, organised crime, infrastructure and democratic crises often require ad hoc coalitions. UNASUR and CELAC have varied with governments and consensus and should not be encoded as permanently effective executive machinery.</w:t>
      </w:r>
    </w:p>
    <w:p>
      <w:r>
        <w:rPr>
          <w:rFonts w:ascii="Arial" w:hAnsi="Arial"/>
          <w:b w:val="0"/>
          <w:i w:val="0"/>
          <w:color w:val="1E242A"/>
          <w:sz w:val="21"/>
        </w:rPr>
        <w:t>Brazil's size creates convening capacity and resources but can provoke resistance or balancing. “Regional leader” is a relational claim dependent on neighbour consent.</w:t>
      </w:r>
    </w:p>
    <w:p>
      <w:pPr>
        <w:pStyle w:val="Heading2"/>
      </w:pPr>
      <w:r>
        <w:rPr>
          <w:rFonts w:ascii="Arial" w:hAnsi="Arial"/>
          <w:b w:val="0"/>
          <w:i w:val="0"/>
          <w:color w:val="2C5F80"/>
          <w:sz w:val="27"/>
        </w:rPr>
        <w:t>6.3 United States</w:t>
      </w:r>
    </w:p>
    <w:p>
      <w:r>
        <w:rPr>
          <w:rFonts w:ascii="Arial" w:hAnsi="Arial"/>
          <w:b w:val="0"/>
          <w:i w:val="0"/>
          <w:color w:val="1E242A"/>
          <w:sz w:val="21"/>
        </w:rPr>
        <w:t>The United States is a major trade, investment, finance, technology, defence, climate and security partner. ATEC supplies a recurring trade and investment channel; defence agreements support cooperation without forming an automatic alliance. The relationship is asymmetric because US monetary, sanctions, tariff, export-control and technology decisions can affect Brazil before consultation.</w:t>
      </w:r>
    </w:p>
    <w:p>
      <w:r>
        <w:rPr>
          <w:rFonts w:ascii="Arial" w:hAnsi="Arial"/>
          <w:b w:val="0"/>
          <w:i w:val="0"/>
          <w:color w:val="1E242A"/>
          <w:sz w:val="21"/>
        </w:rPr>
        <w:t>Brazil retains legal and diplomatic options: bilateral engagement, diversification, WTO action, domestic adjustment, coalition-building and proportionate lawful countermeasures. Current presidential affinity or conflict is scenario state.</w:t>
      </w:r>
    </w:p>
    <w:p>
      <w:pPr>
        <w:pStyle w:val="Heading2"/>
      </w:pPr>
      <w:r>
        <w:rPr>
          <w:rFonts w:ascii="Arial" w:hAnsi="Arial"/>
          <w:b w:val="0"/>
          <w:i w:val="0"/>
          <w:color w:val="2C5F80"/>
          <w:sz w:val="27"/>
        </w:rPr>
        <w:t>6.4 China</w:t>
      </w:r>
    </w:p>
    <w:p>
      <w:r>
        <w:rPr>
          <w:rFonts w:ascii="Arial" w:hAnsi="Arial"/>
          <w:b w:val="0"/>
          <w:i w:val="0"/>
          <w:color w:val="1E242A"/>
          <w:sz w:val="21"/>
        </w:rPr>
        <w:t xml:space="preserve">China is Brazil's largest goods-trade partner and major investment and finance counterpart. COSBAN, sector ministries, banks and presidential diplomacy create multiple channels. IPEA reports that soy, iron ore and petroleum made up </w:t>
      </w:r>
      <w:hyperlink r:id="rId154">
        <w:r>
          <w:rPr>
            <w:color w:val="2C5F80"/>
            <w:u w:val="single"/>
            <w:rFonts w:ascii="Arial" w:hAnsi="Arial"/>
            <w:sz w:val="21"/>
          </w:rPr>
          <w:t>75 percent of 2024 exports to China</w:t>
        </w:r>
      </w:hyperlink>
      <w:r>
        <w:rPr>
          <w:rFonts w:ascii="Arial" w:hAnsi="Arial"/>
          <w:b w:val="0"/>
          <w:i w:val="0"/>
          <w:color w:val="1E242A"/>
          <w:sz w:val="21"/>
        </w:rPr>
        <w:t>, creating concentrated exposure to Chinese demand and commodity prices. Chinese manufactures also compete with Brazilian industry.</w:t>
      </w:r>
    </w:p>
    <w:p>
      <w:r>
        <w:rPr>
          <w:rFonts w:ascii="Arial" w:hAnsi="Arial"/>
          <w:b w:val="0"/>
          <w:i w:val="0"/>
          <w:color w:val="1E242A"/>
          <w:sz w:val="21"/>
        </w:rPr>
        <w:t>Dependence is sectoral, not absolute. Brazil is an important supplier and market, can negotiate access and investment, and can diversify. China itself is constrained by domestic growth, food and energy security, industrial policy and state-enterprise financing.</w:t>
      </w:r>
    </w:p>
    <w:p>
      <w:pPr>
        <w:pStyle w:val="Heading2"/>
      </w:pPr>
      <w:r>
        <w:rPr>
          <w:rFonts w:ascii="Arial" w:hAnsi="Arial"/>
          <w:b w:val="0"/>
          <w:i w:val="0"/>
          <w:color w:val="2C5F80"/>
          <w:sz w:val="27"/>
        </w:rPr>
        <w:t>6.5 European Union</w:t>
      </w:r>
    </w:p>
    <w:p>
      <w:r>
        <w:rPr>
          <w:rFonts w:ascii="Arial" w:hAnsi="Arial"/>
          <w:b w:val="0"/>
          <w:i w:val="0"/>
          <w:color w:val="1E242A"/>
          <w:sz w:val="21"/>
        </w:rPr>
        <w:t>The EU is a market, investor, climate counterpart and regulatory power. SPS, technical, sustainability and due-diligence rules can alter Brazilian exporters' costs or access without Brazilian policy change. Agribusiness, industry, environmental groups and European domestic coalitions shape ratification.</w:t>
      </w:r>
    </w:p>
    <w:p>
      <w:r>
        <w:rPr>
          <w:rFonts w:ascii="Arial" w:hAnsi="Arial"/>
          <w:b/>
          <w:i w:val="0"/>
          <w:color w:val="1E242A"/>
          <w:sz w:val="21"/>
        </w:rPr>
        <w:t>SCENARIO-SPECIFIC.</w:t>
      </w:r>
      <w:r>
        <w:rPr>
          <w:rFonts w:ascii="Arial" w:hAnsi="Arial"/>
          <w:b w:val="0"/>
          <w:i w:val="0"/>
          <w:color w:val="1E242A"/>
          <w:sz w:val="21"/>
        </w:rPr>
        <w:t xml:space="preserve"> The revised Mercosur-EU negotiation concluded in December 2024; the agreements were signed on 17 January 2026. Brazil began provisional application of the Interim Trade Agreement on 1 May 2026 after its internal procedures, while definitive EU and partnership-agreement ratification remained gated according to the </w:t>
      </w:r>
      <w:hyperlink r:id="rId155">
        <w:r>
          <w:rPr>
            <w:color w:val="2C5F80"/>
            <w:u w:val="single"/>
            <w:rFonts w:ascii="Arial" w:hAnsi="Arial"/>
            <w:sz w:val="21"/>
          </w:rPr>
          <w:t>official June 2026 Siscomex account</w:t>
        </w:r>
      </w:hyperlink>
      <w:r>
        <w:rPr>
          <w:rFonts w:ascii="Arial" w:hAnsi="Arial"/>
          <w:b w:val="0"/>
          <w:i w:val="0"/>
          <w:color w:val="1E242A"/>
          <w:sz w:val="21"/>
        </w:rPr>
        <w:t>. These dates must not be projected backward, and the status must be refreshed for later scenarios.</w:t>
      </w:r>
    </w:p>
    <w:p>
      <w:pPr>
        <w:pStyle w:val="Heading1"/>
      </w:pPr>
      <w:r>
        <w:rPr>
          <w:rFonts w:ascii="Arial" w:hAnsi="Arial"/>
          <w:b w:val="0"/>
          <w:i w:val="0"/>
          <w:color w:val="183752"/>
          <w:sz w:val="34"/>
        </w:rPr>
        <w:t>7 BRICS Global South and United Nations</w:t>
      </w:r>
    </w:p>
    <w:p>
      <w:pPr>
        <w:pStyle w:val="Heading2"/>
      </w:pPr>
      <w:r>
        <w:rPr>
          <w:rFonts w:ascii="Arial" w:hAnsi="Arial"/>
          <w:b w:val="0"/>
          <w:i w:val="0"/>
          <w:color w:val="2C5F80"/>
          <w:sz w:val="27"/>
        </w:rPr>
        <w:t>7.1 BRICS and NDB</w:t>
      </w:r>
    </w:p>
    <w:p>
      <w:r>
        <w:rPr>
          <w:rFonts w:ascii="Arial" w:hAnsi="Arial"/>
          <w:b/>
          <w:i w:val="0"/>
          <w:color w:val="1E242A"/>
          <w:sz w:val="21"/>
        </w:rPr>
        <w:t>FORMAL/POLITICAL DISTINCTION.</w:t>
      </w:r>
      <w:r>
        <w:rPr>
          <w:rFonts w:ascii="Arial" w:hAnsi="Arial"/>
          <w:b w:val="0"/>
          <w:i w:val="0"/>
          <w:color w:val="1E242A"/>
          <w:sz w:val="21"/>
        </w:rPr>
        <w:t xml:space="preserve"> </w:t>
      </w:r>
      <w:hyperlink r:id="rId156">
        <w:r>
          <w:rPr>
            <w:color w:val="2C5F80"/>
            <w:u w:val="single"/>
            <w:rFonts w:ascii="Arial" w:hAnsi="Arial"/>
            <w:sz w:val="21"/>
          </w:rPr>
          <w:t>BRICS official guidance</w:t>
        </w:r>
      </w:hyperlink>
      <w:r>
        <w:rPr>
          <w:rFonts w:ascii="Arial" w:hAnsi="Arial"/>
          <w:b w:val="0"/>
          <w:i w:val="0"/>
          <w:color w:val="1E242A"/>
          <w:sz w:val="21"/>
        </w:rPr>
        <w:t xml:space="preserve"> describes an informal consensus forum without constitutive treaty, budget or permanent secretariat. Its rotating presidency sets agendas and convenes. Declarations coordinate positions but do not create alliance discipline, a common market or mutual defence.</w:t>
      </w:r>
    </w:p>
    <w:p>
      <w:r>
        <w:rPr>
          <w:rFonts w:ascii="Arial" w:hAnsi="Arial"/>
          <w:b w:val="0"/>
          <w:i w:val="0"/>
          <w:color w:val="1E242A"/>
          <w:sz w:val="21"/>
        </w:rPr>
        <w:t xml:space="preserve">The </w:t>
      </w:r>
      <w:hyperlink r:id="rId157">
        <w:r>
          <w:rPr>
            <w:color w:val="2C5F80"/>
            <w:u w:val="single"/>
            <w:rFonts w:ascii="Arial" w:hAnsi="Arial"/>
            <w:sz w:val="21"/>
          </w:rPr>
          <w:t>New Development Bank</w:t>
        </w:r>
      </w:hyperlink>
      <w:r>
        <w:rPr>
          <w:rFonts w:ascii="Arial" w:hAnsi="Arial"/>
          <w:b w:val="0"/>
          <w:i w:val="0"/>
          <w:color w:val="1E242A"/>
          <w:sz w:val="21"/>
        </w:rPr>
        <w:t xml:space="preserve"> is a separate treaty-based multilateral bank with capital, governance and voting rules. Brazil can propose projects and influence governance but cannot order loans. Expanded BRICS membership is time-specific.</w:t>
      </w:r>
    </w:p>
    <w:p>
      <w:r>
        <w:rPr>
          <w:rFonts w:ascii="Arial" w:hAnsi="Arial"/>
          <w:b w:val="0"/>
          <w:i w:val="0"/>
          <w:color w:val="1E242A"/>
          <w:sz w:val="21"/>
        </w:rPr>
        <w:t>Brazil uses BRICS, IBSA, G20, CELAC and other groupings to diversify relationships, reform governance and increase negotiating space. Coalition partners often disagree on security, trade and regional priorities.</w:t>
      </w:r>
    </w:p>
    <w:p>
      <w:pPr>
        <w:pStyle w:val="Heading2"/>
      </w:pPr>
      <w:r>
        <w:rPr>
          <w:rFonts w:ascii="Arial" w:hAnsi="Arial"/>
          <w:b w:val="0"/>
          <w:i w:val="0"/>
          <w:color w:val="2C5F80"/>
          <w:sz w:val="27"/>
        </w:rPr>
        <w:t>7.2 United Nations</w:t>
      </w:r>
    </w:p>
    <w:p>
      <w:r>
        <w:rPr>
          <w:rFonts w:ascii="Arial" w:hAnsi="Arial"/>
          <w:b w:val="0"/>
          <w:i w:val="0"/>
          <w:color w:val="1E242A"/>
          <w:sz w:val="21"/>
        </w:rPr>
        <w:t xml:space="preserve">Brazil controls its vote, speech, candidacy and coalition strategy. Outcomes depend on other members and, in the Security Council, permanent-member vetoes. The campaign for a permanent Security Council seat is longstanding and pursued through G4, L.69, IBSA and wider negotiation; </w:t>
      </w:r>
      <w:hyperlink r:id="rId158">
        <w:r>
          <w:rPr>
            <w:color w:val="2C5F80"/>
            <w:u w:val="single"/>
            <w:rFonts w:ascii="Arial" w:hAnsi="Arial"/>
            <w:sz w:val="21"/>
          </w:rPr>
          <w:t>UN reform remains an intergovernmental process</w:t>
        </w:r>
      </w:hyperlink>
      <w:r>
        <w:rPr>
          <w:rFonts w:ascii="Arial" w:hAnsi="Arial"/>
          <w:b w:val="0"/>
          <w:i w:val="0"/>
          <w:color w:val="1E242A"/>
          <w:sz w:val="21"/>
        </w:rPr>
        <w:t>, not a Brazilian action.</w:t>
      </w:r>
    </w:p>
    <w:p>
      <w:r>
        <w:rPr>
          <w:rFonts w:ascii="Arial" w:hAnsi="Arial"/>
          <w:b w:val="0"/>
          <w:i w:val="0"/>
          <w:color w:val="1E242A"/>
          <w:sz w:val="21"/>
        </w:rPr>
        <w:t>Peacekeeping requires political invitation or mandate, Brazilian legal authority, force availability, budget and operational command. Major deployment can require congressional authorisation under the rules cross-checked in Pass 3. UN votes on wars, sanctions, human rights and climate can independently require a Brazilian position.</w:t>
      </w:r>
    </w:p>
    <w:p>
      <w:pPr>
        <w:pStyle w:val="Heading1"/>
      </w:pPr>
      <w:r>
        <w:rPr>
          <w:rFonts w:ascii="Arial" w:hAnsi="Arial"/>
          <w:b w:val="0"/>
          <w:i w:val="0"/>
          <w:color w:val="183752"/>
          <w:sz w:val="34"/>
        </w:rPr>
        <w:t>8 Strategic autonomy and ideology</w:t>
      </w:r>
    </w:p>
    <w:p>
      <w:r>
        <w:rPr>
          <w:rFonts w:ascii="Arial" w:hAnsi="Arial"/>
          <w:b w:val="0"/>
          <w:i w:val="0"/>
          <w:color w:val="1E242A"/>
          <w:sz w:val="21"/>
        </w:rPr>
        <w:t xml:space="preserve">“Strategic autonomy” is a family of scholarly descriptions, not a constitutional command. Labels include autonomy through distance, participation and diversification, alongside universalism and multipolarity. A durable tendency is to preserve decision space, diversify partners, value multilateral rules and avoid automatic alignment. Means vary and the </w:t>
      </w:r>
      <w:hyperlink r:id="rId159">
        <w:r>
          <w:rPr>
            <w:color w:val="2C5F80"/>
            <w:u w:val="single"/>
            <w:rFonts w:ascii="Arial" w:hAnsi="Arial"/>
            <w:sz w:val="21"/>
          </w:rPr>
          <w:t>FUNAG literature</w:t>
        </w:r>
      </w:hyperlink>
      <w:r>
        <w:rPr>
          <w:rFonts w:ascii="Arial" w:hAnsi="Arial"/>
          <w:b w:val="0"/>
          <w:i w:val="0"/>
          <w:color w:val="1E242A"/>
          <w:sz w:val="21"/>
        </w:rPr>
        <w:t xml:space="preserve"> warns against hiding different policies under one continuity narrative.</w:t>
      </w:r>
    </w:p>
    <w:p>
      <w:r>
        <w:rPr>
          <w:rFonts w:ascii="Arial" w:hAnsi="Arial"/>
          <w:b w:val="0"/>
          <w:i w:val="0"/>
          <w:color w:val="1E242A"/>
          <w:sz w:val="21"/>
        </w:rPr>
        <w:t>Ideology affects relations with the US and China, Venezuela, Israel and Palestine, human rights, environment, trade liberalisation and Global South rhetoric. Structural trade, borders, institutional memberships and professional bureaucracy constrain rupture. Bolsonaro-era diplomacy and Lula-era climate or multipolar emphasis are historically bounded scenario orientations, not permanent national personality.</w:t>
      </w:r>
    </w:p>
    <w:p>
      <w:pPr>
        <w:pStyle w:val="Heading1"/>
      </w:pPr>
      <w:r>
        <w:rPr>
          <w:rFonts w:ascii="Arial" w:hAnsi="Arial"/>
          <w:b w:val="0"/>
          <w:i w:val="0"/>
          <w:color w:val="183752"/>
          <w:sz w:val="34"/>
        </w:rPr>
        <w:t>9 International finance investment and external shocks</w:t>
      </w:r>
    </w:p>
    <w:p>
      <w:pPr>
        <w:pStyle w:val="Heading2"/>
      </w:pPr>
      <w:r>
        <w:rPr>
          <w:rFonts w:ascii="Arial" w:hAnsi="Arial"/>
          <w:b w:val="0"/>
          <w:i w:val="0"/>
          <w:color w:val="2C5F80"/>
          <w:sz w:val="27"/>
        </w:rPr>
        <w:t>9.1 Multilateral finance</w:t>
      </w:r>
    </w:p>
    <w:p>
      <w:r>
        <w:rPr>
          <w:rFonts w:ascii="Arial" w:hAnsi="Arial"/>
          <w:b w:val="0"/>
          <w:i w:val="0"/>
          <w:color w:val="1E242A"/>
          <w:sz w:val="21"/>
        </w:rPr>
        <w:t>IMF Article IV consultation produces surveillance, recommendations and market signals; it does not command Brazil. A loan programme would create negotiated conditionality but is scenario-specific. The World Bank, IDB, CAF and NDB can independently offer financing, attach project conditions, publish diagnostics or raise implementation concerns. Brazil chooses whether to seek or accept funding subject to domestic borrowing, guarantee and budget rules.</w:t>
      </w:r>
    </w:p>
    <w:p>
      <w:r>
        <w:rPr>
          <w:rFonts w:ascii="Arial" w:hAnsi="Arial"/>
          <w:b w:val="0"/>
          <w:i w:val="0"/>
          <w:color w:val="1E242A"/>
          <w:sz w:val="21"/>
        </w:rPr>
        <w:t>The G20 provides coordination and agenda-setting without binding every position. OECD accession or standards engagement can create reform incentives but depends on member procedures and domestic implementation.</w:t>
      </w:r>
    </w:p>
    <w:p>
      <w:pPr>
        <w:pStyle w:val="Heading2"/>
      </w:pPr>
      <w:r>
        <w:rPr>
          <w:rFonts w:ascii="Arial" w:hAnsi="Arial"/>
          <w:b w:val="0"/>
          <w:i w:val="0"/>
          <w:color w:val="2C5F80"/>
          <w:sz w:val="27"/>
        </w:rPr>
        <w:t>9.2 Foreign investment</w:t>
      </w:r>
    </w:p>
    <w:p>
      <w:r>
        <w:rPr>
          <w:rFonts w:ascii="Arial" w:hAnsi="Arial"/>
          <w:b w:val="0"/>
          <w:i w:val="0"/>
          <w:color w:val="1E242A"/>
          <w:sz w:val="21"/>
        </w:rPr>
        <w:t xml:space="preserve">Brazil can offer stable law, concessions, infrastructure, finance, facilitation, permits and sector policy; it cannot command an investor to commit capital. The </w:t>
      </w:r>
      <w:hyperlink r:id="rId160">
        <w:r>
          <w:rPr>
            <w:color w:val="2C5F80"/>
            <w:u w:val="single"/>
            <w:rFonts w:ascii="Arial" w:hAnsi="Arial"/>
            <w:sz w:val="21"/>
          </w:rPr>
          <w:t>BCB reporting framework</w:t>
        </w:r>
      </w:hyperlink>
      <w:r>
        <w:rPr>
          <w:rFonts w:ascii="Arial" w:hAnsi="Arial"/>
          <w:b w:val="0"/>
          <w:i w:val="0"/>
          <w:color w:val="1E242A"/>
          <w:sz w:val="21"/>
        </w:rPr>
        <w:t xml:space="preserve"> and sector regulation mediate entry and operation. Brazil's ACFI model emphasises facilitation, joint committees, an ombudsman and dispute prevention, generally preferring state-state dispute resolution to classic investor-state arbitration.</w:t>
      </w:r>
    </w:p>
    <w:p>
      <w:r>
        <w:rPr>
          <w:rFonts w:ascii="Arial" w:hAnsi="Arial"/>
          <w:b w:val="0"/>
          <w:i w:val="0"/>
          <w:color w:val="1E242A"/>
          <w:sz w:val="21"/>
        </w:rPr>
        <w:t>There is no single presidential economy-wide investment-screening switch established here. Foreign ownership limits and approval rules require live sector-by-sector validation. Strategic infrastructure, technology, defence or employment controversies may rise to presidential altitude; routine registration and licensing should not.</w:t>
      </w:r>
    </w:p>
    <w:p>
      <w:pPr>
        <w:pStyle w:val="Heading2"/>
      </w:pPr>
      <w:r>
        <w:rPr>
          <w:rFonts w:ascii="Arial" w:hAnsi="Arial"/>
          <w:b w:val="0"/>
          <w:i w:val="0"/>
          <w:color w:val="2C5F80"/>
          <w:sz w:val="27"/>
        </w:rPr>
        <w:t>9.3 Shock transmission</w:t>
      </w:r>
    </w:p>
    <w:p>
      <w:r>
        <w:rPr>
          <w:rFonts w:ascii="Arial" w:hAnsi="Arial"/>
          <w:b w:val="0"/>
          <w:i w:val="0"/>
          <w:color w:val="1E242A"/>
          <w:sz w:val="21"/>
        </w:rPr>
        <w:t>Commodity prices, Chinese demand, US monetary policy, global rates, oil prices, recessions, sanctions and supply chains move independently. BCB, Finance, MDIC, sector ministries, regulators and firms absorb the first signal. Presidential decisions arise when a shock requires fiscal distribution, diplomatic negotiation, strategic stock or trade action, multilateral finance or public coordination. Exact macroeconomic effects belong in Pass 2, not a diplomatic modifier.</w:t>
      </w:r>
    </w:p>
    <w:p>
      <w:pPr>
        <w:pStyle w:val="Heading1"/>
      </w:pPr>
      <w:r>
        <w:rPr>
          <w:rFonts w:ascii="Arial" w:hAnsi="Arial"/>
          <w:b w:val="0"/>
          <w:i w:val="0"/>
          <w:color w:val="183752"/>
          <w:sz w:val="34"/>
        </w:rPr>
        <w:t>10 Energy diplomacy and Itaipu</w:t>
      </w:r>
    </w:p>
    <w:p>
      <w:r>
        <w:rPr>
          <w:rFonts w:ascii="Arial" w:hAnsi="Arial"/>
          <w:b w:val="0"/>
          <w:i w:val="0"/>
          <w:color w:val="1E242A"/>
          <w:sz w:val="21"/>
        </w:rPr>
        <w:t>Oil and gas, Petrobras activity, electricity interconnection, Bolivian and Argentine gas, biofuels, critical minerals, renewables and nuclear cooperation connect foreign and domestic policy. Contracts, regulators, SOEs, infrastructure and counterpart governments mediate presidential preference.</w:t>
      </w:r>
    </w:p>
    <w:p>
      <w:pPr>
        <w:pStyle w:val="Heading2"/>
      </w:pPr>
      <w:r>
        <w:rPr>
          <w:rFonts w:ascii="Arial" w:hAnsi="Arial"/>
          <w:b w:val="0"/>
          <w:i w:val="0"/>
          <w:color w:val="2C5F80"/>
          <w:sz w:val="27"/>
        </w:rPr>
        <w:t>10.1 Itaipu</w:t>
      </w:r>
    </w:p>
    <w:p>
      <w:r>
        <w:rPr>
          <w:rFonts w:ascii="Arial" w:hAnsi="Arial"/>
          <w:b/>
          <w:i w:val="0"/>
          <w:color w:val="1E242A"/>
          <w:sz w:val="21"/>
        </w:rPr>
        <w:t>FORMAL RULE.</w:t>
      </w:r>
      <w:r>
        <w:rPr>
          <w:rFonts w:ascii="Arial" w:hAnsi="Arial"/>
          <w:b w:val="0"/>
          <w:i w:val="0"/>
          <w:color w:val="1E242A"/>
          <w:sz w:val="21"/>
        </w:rPr>
        <w:t xml:space="preserve"> The </w:t>
      </w:r>
      <w:hyperlink r:id="rId161">
        <w:r>
          <w:rPr>
            <w:color w:val="2C5F80"/>
            <w:u w:val="single"/>
            <w:rFonts w:ascii="Arial" w:hAnsi="Arial"/>
            <w:sz w:val="21"/>
          </w:rPr>
          <w:t>1973 Itaipu Treaty</w:t>
        </w:r>
      </w:hyperlink>
      <w:r>
        <w:rPr>
          <w:rFonts w:ascii="Arial" w:hAnsi="Arial"/>
          <w:b w:val="0"/>
          <w:i w:val="0"/>
          <w:color w:val="1E242A"/>
          <w:sz w:val="21"/>
        </w:rPr>
        <w:t xml:space="preserve"> creates a binational entity based on equal Brazilian and Paraguayan rights and obligations, equal Eletrobras and ANDE capital participation and equal-national representation in its Council and Executive Directorate. The Council sets fundamental direction and approves budget and accounts; the Directorate conducts operations.</w:t>
      </w:r>
    </w:p>
    <w:p>
      <w:r>
        <w:rPr>
          <w:rFonts w:ascii="Arial" w:hAnsi="Arial"/>
          <w:b w:val="0"/>
          <w:i w:val="0"/>
          <w:color w:val="1E242A"/>
          <w:sz w:val="21"/>
        </w:rPr>
        <w:t>Core treaty and annex rules change only by common agreement. The President can direct Brazil's negotiation, appoint or influence Brazil's side under the governing rules and coordinate Eletrobras and ministries, but cannot unilaterally set tariff, revenue or Paraguay's entitlement. Contemporary Annex C and tariff arrangements are scenario state requiring date-specific verification.</w:t>
      </w:r>
    </w:p>
    <w:p>
      <w:r>
        <w:rPr>
          <w:rFonts w:ascii="Arial" w:hAnsi="Arial"/>
          <w:b w:val="0"/>
          <w:i w:val="0"/>
          <w:color w:val="1E242A"/>
          <w:sz w:val="21"/>
        </w:rPr>
        <w:t>Neighbouring government, hydrology, infrastructure failure or energy demand can create a decision in Brasília without Brazilian initiation.</w:t>
      </w:r>
    </w:p>
    <w:p>
      <w:pPr>
        <w:pStyle w:val="Heading1"/>
      </w:pPr>
      <w:r>
        <w:rPr>
          <w:rFonts w:ascii="Arial" w:hAnsi="Arial"/>
          <w:b w:val="0"/>
          <w:i w:val="0"/>
          <w:color w:val="183752"/>
          <w:sz w:val="34"/>
        </w:rPr>
        <w:t>11 Climate Amazon and environmental diplomacy</w:t>
      </w:r>
    </w:p>
    <w:p>
      <w:pPr>
        <w:pStyle w:val="Heading2"/>
      </w:pPr>
      <w:r>
        <w:rPr>
          <w:rFonts w:ascii="Arial" w:hAnsi="Arial"/>
          <w:b w:val="0"/>
          <w:i w:val="0"/>
          <w:color w:val="2C5F80"/>
          <w:sz w:val="27"/>
        </w:rPr>
        <w:t>11.1 Paris commitments</w:t>
      </w:r>
    </w:p>
    <w:p>
      <w:r>
        <w:rPr>
          <w:rFonts w:ascii="Arial" w:hAnsi="Arial"/>
          <w:b w:val="0"/>
          <w:i w:val="0"/>
          <w:color w:val="1E242A"/>
          <w:sz w:val="21"/>
        </w:rPr>
        <w:t xml:space="preserve">Under the Paris framework, Brazil prepares, communicates and maintains successive NDCs, pursues domestic measures and reports progress. The </w:t>
      </w:r>
      <w:hyperlink r:id="rId162">
        <w:r>
          <w:rPr>
            <w:color w:val="2C5F80"/>
            <w:u w:val="single"/>
            <w:rFonts w:ascii="Arial" w:hAnsi="Arial"/>
            <w:sz w:val="21"/>
          </w:rPr>
          <w:t>2024 second NDC</w:t>
        </w:r>
      </w:hyperlink>
      <w:r>
        <w:rPr>
          <w:rFonts w:ascii="Arial" w:hAnsi="Arial"/>
          <w:b w:val="0"/>
          <w:i w:val="0"/>
          <w:color w:val="1E242A"/>
          <w:sz w:val="21"/>
        </w:rPr>
        <w:t xml:space="preserve"> sets a 2035 economy-wide objective, but it is not a self-executing domestic programme. Congress, ministries, regulators, states, firms and land-use enforcement determine implementation.</w:t>
      </w:r>
    </w:p>
    <w:p>
      <w:r>
        <w:rPr>
          <w:rFonts w:ascii="Arial" w:hAnsi="Arial"/>
          <w:b w:val="0"/>
          <w:i w:val="0"/>
          <w:color w:val="1E242A"/>
          <w:sz w:val="21"/>
        </w:rPr>
        <w:t>This distinction matters: the international procedural duties are binding, while the nationally determined target and domestic instruments must be represented with their own legal status.</w:t>
      </w:r>
    </w:p>
    <w:p>
      <w:pPr>
        <w:pStyle w:val="Heading2"/>
      </w:pPr>
      <w:r>
        <w:rPr>
          <w:rFonts w:ascii="Arial" w:hAnsi="Arial"/>
          <w:b w:val="0"/>
          <w:i w:val="0"/>
          <w:color w:val="2C5F80"/>
          <w:sz w:val="27"/>
        </w:rPr>
        <w:t>11.2 Amazon Fund and sovereignty</w:t>
      </w:r>
    </w:p>
    <w:p>
      <w:r>
        <w:rPr>
          <w:rFonts w:ascii="Arial" w:hAnsi="Arial"/>
          <w:b w:val="0"/>
          <w:i w:val="0"/>
          <w:color w:val="1E242A"/>
          <w:sz w:val="21"/>
        </w:rPr>
        <w:t xml:space="preserve">The Amazon Fund allows BNDES to receive results-based donations after emissions reductions are calculated by MMA and validated. BNDES appraises, contracts and monitors projects. COFA includes federal, all nine Legal Amazon state and civil-society representatives and sets guidelines. </w:t>
      </w:r>
      <w:hyperlink r:id="rId163">
        <w:r>
          <w:rPr>
            <w:color w:val="2C5F80"/>
            <w:u w:val="single"/>
            <w:rFonts w:ascii="Arial" w:hAnsi="Arial"/>
            <w:sz w:val="21"/>
          </w:rPr>
          <w:t>Fund governance</w:t>
        </w:r>
      </w:hyperlink>
      <w:r>
        <w:rPr>
          <w:rFonts w:ascii="Arial" w:hAnsi="Arial"/>
          <w:b w:val="0"/>
          <w:i w:val="0"/>
          <w:color w:val="1E242A"/>
          <w:sz w:val="21"/>
        </w:rPr>
        <w:t xml:space="preserve"> therefore is not solely presidential.</w:t>
      </w:r>
    </w:p>
    <w:p>
      <w:r>
        <w:rPr>
          <w:rFonts w:ascii="Arial" w:hAnsi="Arial"/>
          <w:b w:val="0"/>
          <w:i w:val="0"/>
          <w:color w:val="1E242A"/>
          <w:sz w:val="21"/>
        </w:rPr>
        <w:t>Foreign concern does not create ownership of the Amazon. Pressure operates through donor decisions, climate finance, market access, supply-chain rules, investment, diplomatic criticism, multilateral review and trade negotiation. Brazil retains territorial sovereignty and domestic legislative authority, while foreign actors control their money, markets and regulation. Amazon cooperation with neighbours proceeds through ACTO consensus rather than Brazilian command.</w:t>
      </w:r>
    </w:p>
    <w:p>
      <w:pPr>
        <w:pStyle w:val="Heading1"/>
      </w:pPr>
      <w:r>
        <w:rPr>
          <w:rFonts w:ascii="Arial" w:hAnsi="Arial"/>
          <w:b w:val="0"/>
          <w:i w:val="0"/>
          <w:color w:val="183752"/>
          <w:sz w:val="34"/>
        </w:rPr>
        <w:t>12 Defence and cross-border security diplomacy</w:t>
      </w:r>
    </w:p>
    <w:p>
      <w:r>
        <w:rPr>
          <w:rFonts w:ascii="Arial" w:hAnsi="Arial"/>
          <w:b w:val="0"/>
          <w:i w:val="0"/>
          <w:color w:val="1E242A"/>
          <w:sz w:val="21"/>
        </w:rPr>
        <w:t xml:space="preserve">The </w:t>
      </w:r>
      <w:hyperlink r:id="rId164">
        <w:r>
          <w:rPr>
            <w:color w:val="2C5F80"/>
            <w:u w:val="single"/>
            <w:rFonts w:ascii="Arial" w:hAnsi="Arial"/>
            <w:sz w:val="21"/>
          </w:rPr>
          <w:t>2024 National Defence Policy and Strategy</w:t>
        </w:r>
      </w:hyperlink>
      <w:r>
        <w:rPr>
          <w:rFonts w:ascii="Arial" w:hAnsi="Arial"/>
          <w:b w:val="0"/>
          <w:i w:val="0"/>
          <w:color w:val="1E242A"/>
          <w:sz w:val="21"/>
        </w:rPr>
        <w:t xml:space="preserve"> supports defence agreements, exchanges, exercises, international operations, South Atlantic cooperation and coordination with MRE. These are orientations, not alliance guarantees.</w:t>
      </w:r>
    </w:p>
    <w:p>
      <w:r>
        <w:rPr>
          <w:rFonts w:ascii="Arial" w:hAnsi="Arial"/>
          <w:b w:val="0"/>
          <w:i w:val="0"/>
          <w:color w:val="1E242A"/>
          <w:sz w:val="21"/>
        </w:rPr>
        <w:t>Major troop deployments, defence treaties and strategic procurements may require presidential and congressional decisions, appropriations and technical evaluation. Routine exercises, attaché work and staff exchanges remain with Defence, services and MRE.</w:t>
      </w:r>
    </w:p>
    <w:p>
      <w:r>
        <w:rPr>
          <w:rFonts w:ascii="Arial" w:hAnsi="Arial"/>
          <w:b w:val="0"/>
          <w:i w:val="0"/>
          <w:color w:val="1E242A"/>
          <w:sz w:val="21"/>
        </w:rPr>
        <w:t>Cross-border organised crime enters through PF, Receita, PRF, armed-forces border powers, COAF, prosecutors, liaison officers and foreign counterparts. Police and FIU cooperation, INTERPOL channels, controlled action, mutual assistance and extradition preserve the investigative, prosecutorial and judicial ownership established in Pass 3.</w:t>
      </w:r>
    </w:p>
    <w:p>
      <w:pPr>
        <w:pStyle w:val="Heading1"/>
      </w:pPr>
      <w:r>
        <w:rPr>
          <w:rFonts w:ascii="Arial" w:hAnsi="Arial"/>
          <w:b w:val="0"/>
          <w:i w:val="0"/>
          <w:color w:val="183752"/>
          <w:sz w:val="34"/>
        </w:rPr>
        <w:t>13 Extradition and mutual legal assistance</w:t>
      </w:r>
    </w:p>
    <w:p>
      <w:r>
        <w:rPr>
          <w:rFonts w:ascii="Arial" w:hAnsi="Arial"/>
          <w:b/>
          <w:i w:val="0"/>
          <w:color w:val="1E242A"/>
          <w:sz w:val="21"/>
        </w:rPr>
        <w:t>FORMAL RULE.</w:t>
      </w:r>
      <w:r>
        <w:rPr>
          <w:rFonts w:ascii="Arial" w:hAnsi="Arial"/>
          <w:b w:val="0"/>
          <w:i w:val="0"/>
          <w:color w:val="1E242A"/>
          <w:sz w:val="21"/>
        </w:rPr>
        <w:t xml:space="preserve"> Native-born Brazilians cannot be extradited. Naturalised citizens may be extradited for ordinary crime before naturalisation or proven drug-trafficking involvement; foreigners are protected against extradition for political or opinion crimes. The </w:t>
      </w:r>
      <w:hyperlink r:id="rId165">
        <w:r>
          <w:rPr>
            <w:color w:val="2C5F80"/>
            <w:u w:val="single"/>
            <w:rFonts w:ascii="Arial" w:hAnsi="Arial"/>
            <w:sz w:val="21"/>
          </w:rPr>
          <w:t>Migration Law</w:t>
        </w:r>
      </w:hyperlink>
      <w:r>
        <w:rPr>
          <w:rFonts w:ascii="Arial" w:hAnsi="Arial"/>
          <w:b w:val="0"/>
          <w:i w:val="0"/>
          <w:color w:val="1E242A"/>
          <w:sz w:val="21"/>
        </w:rPr>
        <w:t xml:space="preserve"> and treaties add double criminality, specialty, penalty and human-rights safeguards.</w:t>
      </w:r>
    </w:p>
    <w:p>
      <w:r>
        <w:rPr>
          <w:rFonts w:ascii="Arial" w:hAnsi="Arial"/>
          <w:b w:val="0"/>
          <w:i w:val="0"/>
          <w:color w:val="1E242A"/>
          <w:sz w:val="21"/>
        </w:rPr>
        <w:t>A passive request passes through executive admissibility and DRCI/Senajus as central authority; the STF must approve legality; the competent executive authorises delivery within law and treaty. The exact residual discretion after STF approval is case-sensitive. Extradition is not a presidential “hand over” command.</w:t>
      </w:r>
    </w:p>
    <w:p>
      <w:r>
        <w:rPr>
          <w:rFonts w:ascii="Arial" w:hAnsi="Arial"/>
          <w:b w:val="0"/>
          <w:i w:val="0"/>
          <w:color w:val="1E242A"/>
          <w:sz w:val="21"/>
        </w:rPr>
        <w:t>For active extradition, Brazilian judicial authorities generate the request and executive-diplomatic channels transmit it. Mutual legal assistance is similarly routed through DRCI for most instruments, with some treaties naming the PGR. Police, prosecutors and courts execute according to Brazilian law; coercive evidence remains judicially controlled.</w:t>
      </w:r>
    </w:p>
    <w:p>
      <w:pPr>
        <w:pStyle w:val="Heading1"/>
      </w:pPr>
      <w:r>
        <w:rPr>
          <w:rFonts w:ascii="Arial" w:hAnsi="Arial"/>
          <w:b w:val="0"/>
          <w:i w:val="0"/>
          <w:color w:val="183752"/>
          <w:sz w:val="34"/>
        </w:rPr>
        <w:t>14 Migration refugees and humanitarian crises</w:t>
      </w:r>
    </w:p>
    <w:p>
      <w:r>
        <w:rPr>
          <w:rFonts w:ascii="Arial" w:hAnsi="Arial"/>
          <w:b w:val="0"/>
          <w:i w:val="0"/>
          <w:color w:val="1E242A"/>
          <w:sz w:val="21"/>
        </w:rPr>
        <w:t xml:space="preserve">Refugee status is decided initially by CONARE, a collegial MJSP body under </w:t>
      </w:r>
      <w:hyperlink r:id="rId166">
        <w:r>
          <w:rPr>
            <w:color w:val="2C5F80"/>
            <w:u w:val="single"/>
            <w:rFonts w:ascii="Arial" w:hAnsi="Arial"/>
            <w:sz w:val="21"/>
          </w:rPr>
          <w:t>Law 9,474 of 1997</w:t>
        </w:r>
      </w:hyperlink>
      <w:r>
        <w:rPr>
          <w:rFonts w:ascii="Arial" w:hAnsi="Arial"/>
          <w:b w:val="0"/>
          <w:i w:val="0"/>
          <w:color w:val="1E242A"/>
          <w:sz w:val="21"/>
        </w:rPr>
        <w:t>, with statutory appeal to the Justice Minister. Humanitarian visas and residence are separate instruments.</w:t>
      </w:r>
    </w:p>
    <w:p>
      <w:r>
        <w:rPr>
          <w:rFonts w:ascii="Arial" w:hAnsi="Arial"/>
          <w:b/>
          <w:i w:val="0"/>
          <w:color w:val="1E242A"/>
          <w:sz w:val="21"/>
        </w:rPr>
        <w:t>HISTORICAL EXPERIENCE.</w:t>
      </w:r>
      <w:r>
        <w:rPr>
          <w:rFonts w:ascii="Arial" w:hAnsi="Arial"/>
          <w:b w:val="0"/>
          <w:i w:val="0"/>
          <w:color w:val="1E242A"/>
          <w:sz w:val="21"/>
        </w:rPr>
        <w:t xml:space="preserve"> Venezuelan displacement generated Operation Acolhida from 2018, combining federal emergency coordination, military logistics, state and municipal services, UN agencies and civil society. CONARE's 2019 prima-facie recognition of grave and generalised rights violations scaled administrative decisions but did not create an automatic rule for every nationality.</w:t>
      </w:r>
    </w:p>
    <w:p>
      <w:r>
        <w:rPr>
          <w:rFonts w:ascii="Arial" w:hAnsi="Arial"/>
          <w:b w:val="0"/>
          <w:i w:val="0"/>
          <w:color w:val="1E242A"/>
          <w:sz w:val="21"/>
        </w:rPr>
        <w:t>Presidential altitude arises for emergency resources, border diplomacy, national coordination and international assistance. Individual claims remain administrative and legally reviewable.</w:t>
      </w:r>
    </w:p>
    <w:p>
      <w:pPr>
        <w:pStyle w:val="Heading1"/>
      </w:pPr>
      <w:r>
        <w:rPr>
          <w:rFonts w:ascii="Arial" w:hAnsi="Arial"/>
          <w:b w:val="0"/>
          <w:i w:val="0"/>
          <w:color w:val="183752"/>
          <w:sz w:val="34"/>
        </w:rPr>
        <w:t>15 Recognition mediation and crises abroad</w:t>
      </w:r>
    </w:p>
    <w:p>
      <w:r>
        <w:rPr>
          <w:rFonts w:ascii="Arial" w:hAnsi="Arial"/>
          <w:b w:val="0"/>
          <w:i w:val="0"/>
          <w:color w:val="1E242A"/>
          <w:sz w:val="21"/>
        </w:rPr>
        <w:t>Brazilian practice does not yield a sufficiently clear fixed doctrine of recognising governments. Responses to coups, disputed elections and rival claims can include statements, continued or downgraded representation, ambassador recall, regional consultation, mediation, non-recognition of an asserted authority or engagement without endorsement. Each is case- and date-specific.</w:t>
      </w:r>
    </w:p>
    <w:p>
      <w:r>
        <w:rPr>
          <w:rFonts w:ascii="Arial" w:hAnsi="Arial"/>
          <w:b w:val="0"/>
          <w:i w:val="0"/>
          <w:color w:val="1E242A"/>
          <w:sz w:val="21"/>
        </w:rPr>
        <w:t>Mediation offers combine presidential prestige and Itamaraty preparation, but parties control acceptance. The Iran-Turkey nuclear initiative illustrates that even an agreed declaration can fail to secure wider-power acceptance. Venezuela crises illustrate how regional ideology, migration, sanctions and recognition can divide domestic actors and neighbours.</w:t>
      </w:r>
    </w:p>
    <w:p>
      <w:pPr>
        <w:pStyle w:val="Heading1"/>
      </w:pPr>
      <w:r>
        <w:rPr>
          <w:rFonts w:ascii="Arial" w:hAnsi="Arial"/>
          <w:b w:val="0"/>
          <w:i w:val="0"/>
          <w:color w:val="183752"/>
          <w:sz w:val="34"/>
        </w:rPr>
        <w:t>16 Domestic politics in foreign policy</w:t>
      </w:r>
    </w:p>
    <w:p>
      <w:r>
        <w:rPr>
          <w:rFonts w:ascii="Arial" w:hAnsi="Arial"/>
          <w:b w:val="0"/>
          <w:i w:val="0"/>
          <w:color w:val="1E242A"/>
          <w:sz w:val="21"/>
        </w:rPr>
        <w:t>Congress approves treaties, confirms ambassadors, holds hearings, summons ministers, legislates on trade and sanctions and mobilises sectoral interests. It can delay or reshape external commitments without initiating the negotiation. Agribusiness seeks market access and resists sanitary or environmental barriers; industry may seek protection and input access; finance watches global conditions; military institutions shape defence relations; environmental movements affect climate credibility; media and polarisation can raise the salience of wars or ideological partners.</w:t>
      </w:r>
    </w:p>
    <w:p>
      <w:r>
        <w:rPr>
          <w:rFonts w:ascii="Arial" w:hAnsi="Arial"/>
          <w:b w:val="0"/>
          <w:i w:val="0"/>
          <w:color w:val="1E242A"/>
          <w:sz w:val="21"/>
        </w:rPr>
        <w:t>Governors conduct paradiplomacy through investment missions, climate networks, trade promotion, development-bank engagement and non-binding cooperation. They cannot recognise governments or bind Brazil by treaty. State and municipal external borrowing requires Senate authorisation and applicable federal fiscal and guarantee review.</w:t>
      </w:r>
    </w:p>
    <w:p>
      <w:r>
        <w:rPr>
          <w:rFonts w:ascii="Arial" w:hAnsi="Arial"/>
          <w:b w:val="0"/>
          <w:i w:val="0"/>
          <w:color w:val="1E242A"/>
          <w:sz w:val="21"/>
        </w:rPr>
        <w:t>Most technical multilateral votes remain elite and bureaucratic. Major wars, Amazon disputes, relations with China or the US, Venezuela, sanctions and high-profile human-rights issues can become mass and coalition politics.</w:t>
      </w:r>
    </w:p>
    <w:p>
      <w:pPr>
        <w:pStyle w:val="Heading1"/>
      </w:pPr>
      <w:r>
        <w:rPr>
          <w:rFonts w:ascii="Arial" w:hAnsi="Arial"/>
          <w:b w:val="0"/>
          <w:i w:val="0"/>
          <w:color w:val="183752"/>
          <w:sz w:val="34"/>
        </w:rPr>
        <w:t>17 Foreign pressure retaliation and escalation</w:t>
      </w:r>
    </w:p>
    <w:p>
      <w:r>
        <w:rPr>
          <w:rFonts w:ascii="Arial" w:hAnsi="Arial"/>
          <w:b w:val="0"/>
          <w:i w:val="0"/>
          <w:color w:val="1E242A"/>
          <w:sz w:val="21"/>
        </w:rPr>
        <w:t>Foreign governments can impose tariffs, trade remedies, sanctions, export controls, visas, regulatory barriers, diplomatic protests or cooperation suspensions under their law. International bodies can issue reports, decisions or financing conditions. Brazil's response may proceed through private clarification, demarche, consultation, negotiation, coalition-building, WTO or treaty litigation, proportionate authorised countermeasure, domestic support or political escalation.</w:t>
      </w:r>
    </w:p>
    <w:p>
      <w:r>
        <w:rPr>
          <w:rFonts w:ascii="Arial" w:hAnsi="Arial"/>
          <w:b w:val="0"/>
          <w:i w:val="0"/>
          <w:color w:val="1E242A"/>
          <w:sz w:val="21"/>
        </w:rPr>
        <w:t>Not every disagreement climbs a ladder. Issue linkage can trade concessions across market access, environment, investment or security. Sequencing and face-saving can enable settlement. Walk-away options depend on alternatives and domestic approval. Retaliation may harm Brazilian consumers or downstream firms and remains legally constrained.</w:t>
      </w:r>
    </w:p>
    <w:p>
      <w:pPr>
        <w:pStyle w:val="Heading1"/>
      </w:pPr>
      <w:r>
        <w:rPr>
          <w:rFonts w:ascii="Arial" w:hAnsi="Arial"/>
          <w:b w:val="0"/>
          <w:i w:val="0"/>
          <w:color w:val="183752"/>
          <w:sz w:val="34"/>
        </w:rPr>
        <w:t>18 Independent international activity and agenda generation</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Originating actor</w:t>
            </w:r>
          </w:p>
        </w:tc>
        <w:tc>
          <w:tcPr>
            <w:tcW w:type="dxa" w:w="2376"/>
            <w:vAlign w:val="top"/>
            <w:shd w:fill="EAF1F5"/>
          </w:tcPr>
          <w:p>
            <w:r/>
            <w:r>
              <w:rPr>
                <w:rFonts w:ascii="Arial" w:hAnsi="Arial"/>
                <w:b w:val="0"/>
                <w:i w:val="0"/>
                <w:color w:val="183752"/>
                <w:sz w:val="16"/>
              </w:rPr>
              <w:t>Development reaching Brazil</w:t>
            </w:r>
          </w:p>
        </w:tc>
        <w:tc>
          <w:tcPr>
            <w:tcW w:type="dxa" w:w="3096"/>
            <w:vAlign w:val="top"/>
            <w:shd w:fill="EAF1F5"/>
          </w:tcPr>
          <w:p>
            <w:r/>
            <w:r>
              <w:rPr>
                <w:rFonts w:ascii="Arial" w:hAnsi="Arial"/>
                <w:b w:val="0"/>
                <w:i w:val="0"/>
                <w:color w:val="183752"/>
                <w:sz w:val="16"/>
              </w:rPr>
              <w:t>First receiver</w:t>
            </w:r>
          </w:p>
        </w:tc>
        <w:tc>
          <w:tcPr>
            <w:tcW w:type="dxa" w:w="2736"/>
            <w:vAlign w:val="top"/>
            <w:shd w:fill="EAF1F5"/>
          </w:tcPr>
          <w:p>
            <w:r/>
            <w:r>
              <w:rPr>
                <w:rFonts w:ascii="Arial" w:hAnsi="Arial"/>
                <w:b w:val="0"/>
                <w:i w:val="0"/>
                <w:color w:val="183752"/>
                <w:sz w:val="16"/>
              </w:rPr>
              <w:t>Presidential role</w:t>
            </w:r>
          </w:p>
        </w:tc>
      </w:tr>
      <w:tr>
        <w:trPr>
          <w:cantSplit/>
        </w:trPr>
        <w:tc>
          <w:tcPr>
            <w:tcW w:type="dxa" w:w="1152"/>
            <w:vAlign w:val="top"/>
          </w:tcPr>
          <w:p>
            <w:r/>
            <w:r>
              <w:rPr>
                <w:rFonts w:ascii="Arial" w:hAnsi="Arial"/>
                <w:b w:val="0"/>
                <w:i w:val="0"/>
                <w:color w:val="1E242A"/>
                <w:sz w:val="16"/>
              </w:rPr>
              <w:t>Foreign government</w:t>
            </w:r>
          </w:p>
        </w:tc>
        <w:tc>
          <w:tcPr>
            <w:tcW w:type="dxa" w:w="2376"/>
            <w:vAlign w:val="top"/>
          </w:tcPr>
          <w:p>
            <w:r/>
            <w:r>
              <w:rPr>
                <w:rFonts w:ascii="Arial" w:hAnsi="Arial"/>
                <w:b w:val="0"/>
                <w:i w:val="0"/>
                <w:color w:val="1E242A"/>
                <w:sz w:val="16"/>
              </w:rPr>
              <w:t>Summit request, tariff, protest, sanction, recognition request or mediation invitation</w:t>
            </w:r>
          </w:p>
        </w:tc>
        <w:tc>
          <w:tcPr>
            <w:tcW w:type="dxa" w:w="3096"/>
            <w:vAlign w:val="top"/>
          </w:tcPr>
          <w:p>
            <w:r/>
            <w:r>
              <w:rPr>
                <w:rFonts w:ascii="Arial" w:hAnsi="Arial"/>
                <w:b w:val="0"/>
                <w:i w:val="0"/>
                <w:color w:val="1E242A"/>
                <w:sz w:val="16"/>
              </w:rPr>
              <w:t>Embassy and MRE</w:t>
            </w:r>
          </w:p>
        </w:tc>
        <w:tc>
          <w:tcPr>
            <w:tcW w:type="dxa" w:w="2736"/>
            <w:vAlign w:val="top"/>
          </w:tcPr>
          <w:p>
            <w:r/>
            <w:r>
              <w:rPr>
                <w:rFonts w:ascii="Arial" w:hAnsi="Arial"/>
                <w:b w:val="0"/>
                <w:i w:val="0"/>
                <w:color w:val="1E242A"/>
                <w:sz w:val="16"/>
              </w:rPr>
              <w:t>Decide strategic response when salient; counterpart controls acceptance</w:t>
            </w:r>
          </w:p>
        </w:tc>
      </w:tr>
      <w:tr>
        <w:trPr>
          <w:cantSplit/>
        </w:trPr>
        <w:tc>
          <w:tcPr>
            <w:tcW w:type="dxa" w:w="1152"/>
            <w:vAlign w:val="top"/>
          </w:tcPr>
          <w:p>
            <w:r/>
            <w:r>
              <w:rPr>
                <w:rFonts w:ascii="Arial" w:hAnsi="Arial"/>
                <w:b w:val="0"/>
                <w:i w:val="0"/>
                <w:color w:val="1E242A"/>
                <w:sz w:val="16"/>
              </w:rPr>
              <w:t>Mercosur partner or organ</w:t>
            </w:r>
          </w:p>
        </w:tc>
        <w:tc>
          <w:tcPr>
            <w:tcW w:type="dxa" w:w="2376"/>
            <w:vAlign w:val="top"/>
          </w:tcPr>
          <w:p>
            <w:r/>
            <w:r>
              <w:rPr>
                <w:rFonts w:ascii="Arial" w:hAnsi="Arial"/>
                <w:b w:val="0"/>
                <w:i w:val="0"/>
                <w:color w:val="1E242A"/>
                <w:sz w:val="16"/>
              </w:rPr>
              <w:t>CET dispute, external-negotiation demand, accession or compliance conflict</w:t>
            </w:r>
          </w:p>
        </w:tc>
        <w:tc>
          <w:tcPr>
            <w:tcW w:type="dxa" w:w="3096"/>
            <w:vAlign w:val="top"/>
          </w:tcPr>
          <w:p>
            <w:r/>
            <w:r>
              <w:rPr>
                <w:rFonts w:ascii="Arial" w:hAnsi="Arial"/>
                <w:b w:val="0"/>
                <w:i w:val="0"/>
                <w:color w:val="1E242A"/>
                <w:sz w:val="16"/>
              </w:rPr>
              <w:t>MRE and MDIC</w:t>
            </w:r>
          </w:p>
        </w:tc>
        <w:tc>
          <w:tcPr>
            <w:tcW w:type="dxa" w:w="2736"/>
            <w:vAlign w:val="top"/>
          </w:tcPr>
          <w:p>
            <w:r/>
            <w:r>
              <w:rPr>
                <w:rFonts w:ascii="Arial" w:hAnsi="Arial"/>
                <w:b w:val="0"/>
                <w:i w:val="0"/>
                <w:color w:val="1E242A"/>
                <w:sz w:val="16"/>
              </w:rPr>
              <w:t>Negotiate political mandate; consensus prevents command</w:t>
            </w:r>
          </w:p>
        </w:tc>
      </w:tr>
      <w:tr>
        <w:trPr>
          <w:cantSplit/>
        </w:trPr>
        <w:tc>
          <w:tcPr>
            <w:tcW w:type="dxa" w:w="1152"/>
            <w:vAlign w:val="top"/>
          </w:tcPr>
          <w:p>
            <w:r/>
            <w:r>
              <w:rPr>
                <w:rFonts w:ascii="Arial" w:hAnsi="Arial"/>
                <w:b w:val="0"/>
                <w:i w:val="0"/>
                <w:color w:val="1E242A"/>
                <w:sz w:val="16"/>
              </w:rPr>
              <w:t>WTO member or body</w:t>
            </w:r>
          </w:p>
        </w:tc>
        <w:tc>
          <w:tcPr>
            <w:tcW w:type="dxa" w:w="2376"/>
            <w:vAlign w:val="top"/>
          </w:tcPr>
          <w:p>
            <w:r/>
            <w:r>
              <w:rPr>
                <w:rFonts w:ascii="Arial" w:hAnsi="Arial"/>
                <w:b w:val="0"/>
                <w:i w:val="0"/>
                <w:color w:val="1E242A"/>
                <w:sz w:val="16"/>
              </w:rPr>
              <w:t>Consultation, panel, adverse measure or retaliation authorisation</w:t>
            </w:r>
          </w:p>
        </w:tc>
        <w:tc>
          <w:tcPr>
            <w:tcW w:type="dxa" w:w="3096"/>
            <w:vAlign w:val="top"/>
          </w:tcPr>
          <w:p>
            <w:r/>
            <w:r>
              <w:rPr>
                <w:rFonts w:ascii="Arial" w:hAnsi="Arial"/>
                <w:b w:val="0"/>
                <w:i w:val="0"/>
                <w:color w:val="1E242A"/>
                <w:sz w:val="16"/>
              </w:rPr>
              <w:t>MRE, MDIC and AGU</w:t>
            </w:r>
          </w:p>
        </w:tc>
        <w:tc>
          <w:tcPr>
            <w:tcW w:type="dxa" w:w="2736"/>
            <w:vAlign w:val="top"/>
          </w:tcPr>
          <w:p>
            <w:r/>
            <w:r>
              <w:rPr>
                <w:rFonts w:ascii="Arial" w:hAnsi="Arial"/>
                <w:b w:val="0"/>
                <w:i w:val="0"/>
                <w:color w:val="1E242A"/>
                <w:sz w:val="16"/>
              </w:rPr>
              <w:t>Major settlement or retaliation strategy may rise; litigation delegated</w:t>
            </w:r>
          </w:p>
        </w:tc>
      </w:tr>
      <w:tr>
        <w:trPr>
          <w:cantSplit/>
        </w:trPr>
        <w:tc>
          <w:tcPr>
            <w:tcW w:type="dxa" w:w="1152"/>
            <w:vAlign w:val="top"/>
          </w:tcPr>
          <w:p>
            <w:r/>
            <w:r>
              <w:rPr>
                <w:rFonts w:ascii="Arial" w:hAnsi="Arial"/>
                <w:b w:val="0"/>
                <w:i w:val="0"/>
                <w:color w:val="1E242A"/>
                <w:sz w:val="16"/>
              </w:rPr>
              <w:t>UNSC or sanctions committee</w:t>
            </w:r>
          </w:p>
        </w:tc>
        <w:tc>
          <w:tcPr>
            <w:tcW w:type="dxa" w:w="2376"/>
            <w:vAlign w:val="top"/>
          </w:tcPr>
          <w:p>
            <w:r/>
            <w:r>
              <w:rPr>
                <w:rFonts w:ascii="Arial" w:hAnsi="Arial"/>
                <w:b w:val="0"/>
                <w:i w:val="0"/>
                <w:color w:val="1E242A"/>
                <w:sz w:val="16"/>
              </w:rPr>
              <w:t>Binding designation or sanctions change</w:t>
            </w:r>
          </w:p>
        </w:tc>
        <w:tc>
          <w:tcPr>
            <w:tcW w:type="dxa" w:w="3096"/>
            <w:vAlign w:val="top"/>
          </w:tcPr>
          <w:p>
            <w:r/>
            <w:r>
              <w:rPr>
                <w:rFonts w:ascii="Arial" w:hAnsi="Arial"/>
                <w:b w:val="0"/>
                <w:i w:val="0"/>
                <w:color w:val="1E242A"/>
                <w:sz w:val="16"/>
              </w:rPr>
              <w:t>MRE, MJSP, regulators and financial sector</w:t>
            </w:r>
          </w:p>
        </w:tc>
        <w:tc>
          <w:tcPr>
            <w:tcW w:type="dxa" w:w="2736"/>
            <w:vAlign w:val="top"/>
          </w:tcPr>
          <w:p>
            <w:r/>
            <w:r>
              <w:rPr>
                <w:rFonts w:ascii="Arial" w:hAnsi="Arial"/>
                <w:b w:val="0"/>
                <w:i w:val="0"/>
                <w:color w:val="1E242A"/>
                <w:sz w:val="16"/>
              </w:rPr>
              <w:t>Implementation largely automatic; diplomacy may rise</w:t>
            </w:r>
          </w:p>
        </w:tc>
      </w:tr>
      <w:tr>
        <w:trPr>
          <w:cantSplit/>
        </w:trPr>
        <w:tc>
          <w:tcPr>
            <w:tcW w:type="dxa" w:w="1152"/>
            <w:vAlign w:val="top"/>
          </w:tcPr>
          <w:p>
            <w:r/>
            <w:r>
              <w:rPr>
                <w:rFonts w:ascii="Arial" w:hAnsi="Arial"/>
                <w:b w:val="0"/>
                <w:i w:val="0"/>
                <w:color w:val="1E242A"/>
                <w:sz w:val="16"/>
              </w:rPr>
              <w:t>Foreign regulator</w:t>
            </w:r>
          </w:p>
        </w:tc>
        <w:tc>
          <w:tcPr>
            <w:tcW w:type="dxa" w:w="2376"/>
            <w:vAlign w:val="top"/>
          </w:tcPr>
          <w:p>
            <w:r/>
            <w:r>
              <w:rPr>
                <w:rFonts w:ascii="Arial" w:hAnsi="Arial"/>
                <w:b w:val="0"/>
                <w:i w:val="0"/>
                <w:color w:val="1E242A"/>
                <w:sz w:val="16"/>
              </w:rPr>
              <w:t>SPS, technical, sustainability, financial or technology rule</w:t>
            </w:r>
          </w:p>
        </w:tc>
        <w:tc>
          <w:tcPr>
            <w:tcW w:type="dxa" w:w="3096"/>
            <w:vAlign w:val="top"/>
          </w:tcPr>
          <w:p>
            <w:r/>
            <w:r>
              <w:rPr>
                <w:rFonts w:ascii="Arial" w:hAnsi="Arial"/>
                <w:b w:val="0"/>
                <w:i w:val="0"/>
                <w:color w:val="1E242A"/>
                <w:sz w:val="16"/>
              </w:rPr>
              <w:t>Exporter, regulator, MDIC and MRE</w:t>
            </w:r>
          </w:p>
        </w:tc>
        <w:tc>
          <w:tcPr>
            <w:tcW w:type="dxa" w:w="2736"/>
            <w:vAlign w:val="top"/>
          </w:tcPr>
          <w:p>
            <w:r/>
            <w:r>
              <w:rPr>
                <w:rFonts w:ascii="Arial" w:hAnsi="Arial"/>
                <w:b w:val="0"/>
                <w:i w:val="0"/>
                <w:color w:val="1E242A"/>
                <w:sz w:val="16"/>
              </w:rPr>
              <w:t>Coordinate adaptation or challenge if systemic</w:t>
            </w:r>
          </w:p>
        </w:tc>
      </w:tr>
      <w:tr>
        <w:trPr>
          <w:cantSplit/>
        </w:trPr>
        <w:tc>
          <w:tcPr>
            <w:tcW w:type="dxa" w:w="1152"/>
            <w:vAlign w:val="top"/>
          </w:tcPr>
          <w:p>
            <w:r/>
            <w:r>
              <w:rPr>
                <w:rFonts w:ascii="Arial" w:hAnsi="Arial"/>
                <w:b w:val="0"/>
                <w:i w:val="0"/>
                <w:color w:val="1E242A"/>
                <w:sz w:val="16"/>
              </w:rPr>
              <w:t>Foreign investor or lender</w:t>
            </w:r>
          </w:p>
        </w:tc>
        <w:tc>
          <w:tcPr>
            <w:tcW w:type="dxa" w:w="2376"/>
            <w:vAlign w:val="top"/>
          </w:tcPr>
          <w:p>
            <w:r/>
            <w:r>
              <w:rPr>
                <w:rFonts w:ascii="Arial" w:hAnsi="Arial"/>
                <w:b w:val="0"/>
                <w:i w:val="0"/>
                <w:color w:val="1E242A"/>
                <w:sz w:val="16"/>
              </w:rPr>
              <w:t>Project offer, withdrawal, condition or implementation dispute</w:t>
            </w:r>
          </w:p>
        </w:tc>
        <w:tc>
          <w:tcPr>
            <w:tcW w:type="dxa" w:w="3096"/>
            <w:vAlign w:val="top"/>
          </w:tcPr>
          <w:p>
            <w:r/>
            <w:r>
              <w:rPr>
                <w:rFonts w:ascii="Arial" w:hAnsi="Arial"/>
                <w:b w:val="0"/>
                <w:i w:val="0"/>
                <w:color w:val="1E242A"/>
                <w:sz w:val="16"/>
              </w:rPr>
              <w:t>MDIC, ministry, regulator, BCB or Finance</w:t>
            </w:r>
          </w:p>
        </w:tc>
        <w:tc>
          <w:tcPr>
            <w:tcW w:type="dxa" w:w="2736"/>
            <w:vAlign w:val="top"/>
          </w:tcPr>
          <w:p>
            <w:r/>
            <w:r>
              <w:rPr>
                <w:rFonts w:ascii="Arial" w:hAnsi="Arial"/>
                <w:b w:val="0"/>
                <w:i w:val="0"/>
                <w:color w:val="1E242A"/>
                <w:sz w:val="16"/>
              </w:rPr>
              <w:t>Major strategic package may require decision; cannot command capital</w:t>
            </w:r>
          </w:p>
        </w:tc>
      </w:tr>
      <w:tr>
        <w:trPr>
          <w:cantSplit/>
        </w:trPr>
        <w:tc>
          <w:tcPr>
            <w:tcW w:type="dxa" w:w="1152"/>
            <w:vAlign w:val="top"/>
          </w:tcPr>
          <w:p>
            <w:r/>
            <w:r>
              <w:rPr>
                <w:rFonts w:ascii="Arial" w:hAnsi="Arial"/>
                <w:b w:val="0"/>
                <w:i w:val="0"/>
                <w:color w:val="1E242A"/>
                <w:sz w:val="16"/>
              </w:rPr>
              <w:t>Commodity or financial market</w:t>
            </w:r>
          </w:p>
        </w:tc>
        <w:tc>
          <w:tcPr>
            <w:tcW w:type="dxa" w:w="2376"/>
            <w:vAlign w:val="top"/>
          </w:tcPr>
          <w:p>
            <w:r/>
            <w:r>
              <w:rPr>
                <w:rFonts w:ascii="Arial" w:hAnsi="Arial"/>
                <w:b w:val="0"/>
                <w:i w:val="0"/>
                <w:color w:val="1E242A"/>
                <w:sz w:val="16"/>
              </w:rPr>
              <w:t>Price, rate, exchange or supply-chain shock</w:t>
            </w:r>
          </w:p>
        </w:tc>
        <w:tc>
          <w:tcPr>
            <w:tcW w:type="dxa" w:w="3096"/>
            <w:vAlign w:val="top"/>
          </w:tcPr>
          <w:p>
            <w:r/>
            <w:r>
              <w:rPr>
                <w:rFonts w:ascii="Arial" w:hAnsi="Arial"/>
                <w:b w:val="0"/>
                <w:i w:val="0"/>
                <w:color w:val="1E242A"/>
                <w:sz w:val="16"/>
              </w:rPr>
              <w:t>BCB, Finance and sectors</w:t>
            </w:r>
          </w:p>
        </w:tc>
        <w:tc>
          <w:tcPr>
            <w:tcW w:type="dxa" w:w="2736"/>
            <w:vAlign w:val="top"/>
          </w:tcPr>
          <w:p>
            <w:r/>
            <w:r>
              <w:rPr>
                <w:rFonts w:ascii="Arial" w:hAnsi="Arial"/>
                <w:b w:val="0"/>
                <w:i w:val="0"/>
                <w:color w:val="1E242A"/>
                <w:sz w:val="16"/>
              </w:rPr>
              <w:t>Decide strategic distribution or diplomacy; technical response first</w:t>
            </w:r>
          </w:p>
        </w:tc>
      </w:tr>
      <w:tr>
        <w:trPr>
          <w:cantSplit/>
        </w:trPr>
        <w:tc>
          <w:tcPr>
            <w:tcW w:type="dxa" w:w="1152"/>
            <w:vAlign w:val="top"/>
          </w:tcPr>
          <w:p>
            <w:r/>
            <w:r>
              <w:rPr>
                <w:rFonts w:ascii="Arial" w:hAnsi="Arial"/>
                <w:b w:val="0"/>
                <w:i w:val="0"/>
                <w:color w:val="1E242A"/>
                <w:sz w:val="16"/>
              </w:rPr>
              <w:t>Neighbouring energy authority</w:t>
            </w:r>
          </w:p>
        </w:tc>
        <w:tc>
          <w:tcPr>
            <w:tcW w:type="dxa" w:w="2376"/>
            <w:vAlign w:val="top"/>
          </w:tcPr>
          <w:p>
            <w:r/>
            <w:r>
              <w:rPr>
                <w:rFonts w:ascii="Arial" w:hAnsi="Arial"/>
                <w:b w:val="0"/>
                <w:i w:val="0"/>
                <w:color w:val="1E242A"/>
                <w:sz w:val="16"/>
              </w:rPr>
              <w:t>Itaipu, gas, electricity or infrastructure proposal/disruption</w:t>
            </w:r>
          </w:p>
        </w:tc>
        <w:tc>
          <w:tcPr>
            <w:tcW w:type="dxa" w:w="3096"/>
            <w:vAlign w:val="top"/>
          </w:tcPr>
          <w:p>
            <w:r/>
            <w:r>
              <w:rPr>
                <w:rFonts w:ascii="Arial" w:hAnsi="Arial"/>
                <w:b w:val="0"/>
                <w:i w:val="0"/>
                <w:color w:val="1E242A"/>
                <w:sz w:val="16"/>
              </w:rPr>
              <w:t>MME, MRE and operators</w:t>
            </w:r>
          </w:p>
        </w:tc>
        <w:tc>
          <w:tcPr>
            <w:tcW w:type="dxa" w:w="2736"/>
            <w:vAlign w:val="top"/>
          </w:tcPr>
          <w:p>
            <w:r/>
            <w:r>
              <w:rPr>
                <w:rFonts w:ascii="Arial" w:hAnsi="Arial"/>
                <w:b w:val="0"/>
                <w:i w:val="0"/>
                <w:color w:val="1E242A"/>
                <w:sz w:val="16"/>
              </w:rPr>
              <w:t>Bilateral strategic bargain; no unilateral solution</w:t>
            </w:r>
          </w:p>
        </w:tc>
      </w:tr>
      <w:tr>
        <w:trPr>
          <w:cantSplit/>
        </w:trPr>
        <w:tc>
          <w:tcPr>
            <w:tcW w:type="dxa" w:w="1152"/>
            <w:vAlign w:val="top"/>
          </w:tcPr>
          <w:p>
            <w:r/>
            <w:r>
              <w:rPr>
                <w:rFonts w:ascii="Arial" w:hAnsi="Arial"/>
                <w:b w:val="0"/>
                <w:i w:val="0"/>
                <w:color w:val="1E242A"/>
                <w:sz w:val="16"/>
              </w:rPr>
              <w:t>Foreign police prosecutor or court</w:t>
            </w:r>
          </w:p>
        </w:tc>
        <w:tc>
          <w:tcPr>
            <w:tcW w:type="dxa" w:w="2376"/>
            <w:vAlign w:val="top"/>
          </w:tcPr>
          <w:p>
            <w:r/>
            <w:r>
              <w:rPr>
                <w:rFonts w:ascii="Arial" w:hAnsi="Arial"/>
                <w:b w:val="0"/>
                <w:i w:val="0"/>
                <w:color w:val="1E242A"/>
                <w:sz w:val="16"/>
              </w:rPr>
              <w:t>Extradition, evidence, asset or joint-investigation request</w:t>
            </w:r>
          </w:p>
        </w:tc>
        <w:tc>
          <w:tcPr>
            <w:tcW w:type="dxa" w:w="3096"/>
            <w:vAlign w:val="top"/>
          </w:tcPr>
          <w:p>
            <w:r/>
            <w:r>
              <w:rPr>
                <w:rFonts w:ascii="Arial" w:hAnsi="Arial"/>
                <w:b w:val="0"/>
                <w:i w:val="0"/>
                <w:color w:val="1E242A"/>
                <w:sz w:val="16"/>
              </w:rPr>
              <w:t>DRCI, PF, MP and courts</w:t>
            </w:r>
          </w:p>
        </w:tc>
        <w:tc>
          <w:tcPr>
            <w:tcW w:type="dxa" w:w="2736"/>
            <w:vAlign w:val="top"/>
          </w:tcPr>
          <w:p>
            <w:r/>
            <w:r>
              <w:rPr>
                <w:rFonts w:ascii="Arial" w:hAnsi="Arial"/>
                <w:b w:val="0"/>
                <w:i w:val="0"/>
                <w:color w:val="1E242A"/>
                <w:sz w:val="16"/>
              </w:rPr>
              <w:t>Routine process independent; acute dispute may rise</w:t>
            </w:r>
          </w:p>
        </w:tc>
      </w:tr>
      <w:tr>
        <w:trPr>
          <w:cantSplit/>
        </w:trPr>
        <w:tc>
          <w:tcPr>
            <w:tcW w:type="dxa" w:w="1152"/>
            <w:vAlign w:val="top"/>
          </w:tcPr>
          <w:p>
            <w:r/>
            <w:r>
              <w:rPr>
                <w:rFonts w:ascii="Arial" w:hAnsi="Arial"/>
                <w:b w:val="0"/>
                <w:i w:val="0"/>
                <w:color w:val="1E242A"/>
                <w:sz w:val="16"/>
              </w:rPr>
              <w:t>Cross-border criminal actor</w:t>
            </w:r>
          </w:p>
        </w:tc>
        <w:tc>
          <w:tcPr>
            <w:tcW w:type="dxa" w:w="2376"/>
            <w:vAlign w:val="top"/>
          </w:tcPr>
          <w:p>
            <w:r/>
            <w:r>
              <w:rPr>
                <w:rFonts w:ascii="Arial" w:hAnsi="Arial"/>
                <w:b w:val="0"/>
                <w:i w:val="0"/>
                <w:color w:val="1E242A"/>
                <w:sz w:val="16"/>
              </w:rPr>
              <w:t>Route shift, attack, laundering or cyber operation</w:t>
            </w:r>
          </w:p>
        </w:tc>
        <w:tc>
          <w:tcPr>
            <w:tcW w:type="dxa" w:w="3096"/>
            <w:vAlign w:val="top"/>
          </w:tcPr>
          <w:p>
            <w:r/>
            <w:r>
              <w:rPr>
                <w:rFonts w:ascii="Arial" w:hAnsi="Arial"/>
                <w:b w:val="0"/>
                <w:i w:val="0"/>
                <w:color w:val="1E242A"/>
                <w:sz w:val="16"/>
              </w:rPr>
              <w:t>Security and intelligence bodies</w:t>
            </w:r>
          </w:p>
        </w:tc>
        <w:tc>
          <w:tcPr>
            <w:tcW w:type="dxa" w:w="2736"/>
            <w:vAlign w:val="top"/>
          </w:tcPr>
          <w:p>
            <w:r/>
            <w:r>
              <w:rPr>
                <w:rFonts w:ascii="Arial" w:hAnsi="Arial"/>
                <w:b w:val="0"/>
                <w:i w:val="0"/>
                <w:color w:val="1E242A"/>
                <w:sz w:val="16"/>
              </w:rPr>
              <w:t>Strategic coordination only; cases remain institutional</w:t>
            </w:r>
          </w:p>
        </w:tc>
      </w:tr>
      <w:tr>
        <w:trPr>
          <w:cantSplit/>
        </w:trPr>
        <w:tc>
          <w:tcPr>
            <w:tcW w:type="dxa" w:w="1152"/>
            <w:vAlign w:val="top"/>
          </w:tcPr>
          <w:p>
            <w:r/>
            <w:r>
              <w:rPr>
                <w:rFonts w:ascii="Arial" w:hAnsi="Arial"/>
                <w:b w:val="0"/>
                <w:i w:val="0"/>
                <w:color w:val="1E242A"/>
                <w:sz w:val="16"/>
              </w:rPr>
              <w:t>UN or regional organisation</w:t>
            </w:r>
          </w:p>
        </w:tc>
        <w:tc>
          <w:tcPr>
            <w:tcW w:type="dxa" w:w="2376"/>
            <w:vAlign w:val="top"/>
          </w:tcPr>
          <w:p>
            <w:r/>
            <w:r>
              <w:rPr>
                <w:rFonts w:ascii="Arial" w:hAnsi="Arial"/>
                <w:b w:val="0"/>
                <w:i w:val="0"/>
                <w:color w:val="1E242A"/>
                <w:sz w:val="16"/>
              </w:rPr>
              <w:t>Vote, peacekeeping request, report, election or crisis initiative</w:t>
            </w:r>
          </w:p>
        </w:tc>
        <w:tc>
          <w:tcPr>
            <w:tcW w:type="dxa" w:w="3096"/>
            <w:vAlign w:val="top"/>
          </w:tcPr>
          <w:p>
            <w:r/>
            <w:r>
              <w:rPr>
                <w:rFonts w:ascii="Arial" w:hAnsi="Arial"/>
                <w:b w:val="0"/>
                <w:i w:val="0"/>
                <w:color w:val="1E242A"/>
                <w:sz w:val="16"/>
              </w:rPr>
              <w:t>Permanent mission and MRE</w:t>
            </w:r>
          </w:p>
        </w:tc>
        <w:tc>
          <w:tcPr>
            <w:tcW w:type="dxa" w:w="2736"/>
            <w:vAlign w:val="top"/>
          </w:tcPr>
          <w:p>
            <w:r/>
            <w:r>
              <w:rPr>
                <w:rFonts w:ascii="Arial" w:hAnsi="Arial"/>
                <w:b w:val="0"/>
                <w:i w:val="0"/>
                <w:color w:val="1E242A"/>
                <w:sz w:val="16"/>
              </w:rPr>
              <w:t>High-salience position or deployment rises</w:t>
            </w:r>
          </w:p>
        </w:tc>
      </w:tr>
      <w:tr>
        <w:trPr>
          <w:cantSplit/>
        </w:trPr>
        <w:tc>
          <w:tcPr>
            <w:tcW w:type="dxa" w:w="1152"/>
            <w:vAlign w:val="top"/>
          </w:tcPr>
          <w:p>
            <w:r/>
            <w:r>
              <w:rPr>
                <w:rFonts w:ascii="Arial" w:hAnsi="Arial"/>
                <w:b w:val="0"/>
                <w:i w:val="0"/>
                <w:color w:val="1E242A"/>
                <w:sz w:val="16"/>
              </w:rPr>
              <w:t>Migrant or refugee flow</w:t>
            </w:r>
          </w:p>
        </w:tc>
        <w:tc>
          <w:tcPr>
            <w:tcW w:type="dxa" w:w="2376"/>
            <w:vAlign w:val="top"/>
          </w:tcPr>
          <w:p>
            <w:r/>
            <w:r>
              <w:rPr>
                <w:rFonts w:ascii="Arial" w:hAnsi="Arial"/>
                <w:b w:val="0"/>
                <w:i w:val="0"/>
                <w:color w:val="1E242A"/>
                <w:sz w:val="16"/>
              </w:rPr>
              <w:t>Border pressure and humanitarian demand</w:t>
            </w:r>
          </w:p>
        </w:tc>
        <w:tc>
          <w:tcPr>
            <w:tcW w:type="dxa" w:w="3096"/>
            <w:vAlign w:val="top"/>
          </w:tcPr>
          <w:p>
            <w:r/>
            <w:r>
              <w:rPr>
                <w:rFonts w:ascii="Arial" w:hAnsi="Arial"/>
                <w:b w:val="0"/>
                <w:i w:val="0"/>
                <w:color w:val="1E242A"/>
                <w:sz w:val="16"/>
              </w:rPr>
              <w:t>PF, CONARE, ministries, states and municipalities</w:t>
            </w:r>
          </w:p>
        </w:tc>
        <w:tc>
          <w:tcPr>
            <w:tcW w:type="dxa" w:w="2736"/>
            <w:vAlign w:val="top"/>
          </w:tcPr>
          <w:p>
            <w:r/>
            <w:r>
              <w:rPr>
                <w:rFonts w:ascii="Arial" w:hAnsi="Arial"/>
                <w:b w:val="0"/>
                <w:i w:val="0"/>
                <w:color w:val="1E242A"/>
                <w:sz w:val="16"/>
              </w:rPr>
              <w:t>National resources and diplomacy may rise; individual claims do not</w:t>
            </w:r>
          </w:p>
        </w:tc>
      </w:tr>
      <w:tr>
        <w:trPr>
          <w:cantSplit/>
        </w:trPr>
        <w:tc>
          <w:tcPr>
            <w:tcW w:type="dxa" w:w="1152"/>
            <w:vAlign w:val="top"/>
          </w:tcPr>
          <w:p>
            <w:r/>
            <w:r>
              <w:rPr>
                <w:rFonts w:ascii="Arial" w:hAnsi="Arial"/>
                <w:b w:val="0"/>
                <w:i w:val="0"/>
                <w:color w:val="1E242A"/>
                <w:sz w:val="16"/>
              </w:rPr>
              <w:t>Donor or climate institution</w:t>
            </w:r>
          </w:p>
        </w:tc>
        <w:tc>
          <w:tcPr>
            <w:tcW w:type="dxa" w:w="2376"/>
            <w:vAlign w:val="top"/>
          </w:tcPr>
          <w:p>
            <w:r/>
            <w:r>
              <w:rPr>
                <w:rFonts w:ascii="Arial" w:hAnsi="Arial"/>
                <w:b w:val="0"/>
                <w:i w:val="0"/>
                <w:color w:val="1E242A"/>
                <w:sz w:val="16"/>
              </w:rPr>
              <w:t>Funding offer, suspension or performance review</w:t>
            </w:r>
          </w:p>
        </w:tc>
        <w:tc>
          <w:tcPr>
            <w:tcW w:type="dxa" w:w="3096"/>
            <w:vAlign w:val="top"/>
          </w:tcPr>
          <w:p>
            <w:r/>
            <w:r>
              <w:rPr>
                <w:rFonts w:ascii="Arial" w:hAnsi="Arial"/>
                <w:b w:val="0"/>
                <w:i w:val="0"/>
                <w:color w:val="1E242A"/>
                <w:sz w:val="16"/>
              </w:rPr>
              <w:t>MMA, BNDES, MRE and Finance</w:t>
            </w:r>
          </w:p>
        </w:tc>
        <w:tc>
          <w:tcPr>
            <w:tcW w:type="dxa" w:w="2736"/>
            <w:vAlign w:val="top"/>
          </w:tcPr>
          <w:p>
            <w:r/>
            <w:r>
              <w:rPr>
                <w:rFonts w:ascii="Arial" w:hAnsi="Arial"/>
                <w:b w:val="0"/>
                <w:i w:val="0"/>
                <w:color w:val="1E242A"/>
                <w:sz w:val="16"/>
              </w:rPr>
              <w:t>Major package or dispute may rise; donor retains decision</w:t>
            </w:r>
          </w:p>
        </w:tc>
      </w:tr>
    </w:tbl>
    <w:p>
      <w:pPr>
        <w:spacing w:after="40"/>
      </w:pPr>
    </w:p>
    <w:p>
      <w:pPr>
        <w:pStyle w:val="Heading1"/>
      </w:pPr>
      <w:r>
        <w:rPr>
          <w:rFonts w:ascii="Arial" w:hAnsi="Arial"/>
          <w:b w:val="0"/>
          <w:i w:val="0"/>
          <w:color w:val="183752"/>
          <w:sz w:val="34"/>
        </w:rPr>
        <w:t>19 Counterpart objectives and constraints</w:t>
      </w:r>
    </w:p>
    <w:p>
      <w:pPr>
        <w:pStyle w:val="ListBullet"/>
        <w:numPr>
          <w:ilvl w:val="0"/>
          <w:numId w:val="8"/>
        </w:numPr>
      </w:pPr>
      <w:r>
        <w:rPr>
          <w:rFonts w:ascii="Arial" w:hAnsi="Arial"/>
          <w:b/>
          <w:i w:val="0"/>
          <w:color w:val="1E242A"/>
          <w:sz w:val="20"/>
        </w:rPr>
        <w:t>Neighbouring governments</w:t>
      </w:r>
      <w:r>
        <w:rPr>
          <w:rFonts w:ascii="Arial" w:hAnsi="Arial"/>
          <w:b w:val="0"/>
          <w:i w:val="0"/>
          <w:color w:val="1E242A"/>
          <w:sz w:val="20"/>
        </w:rPr>
        <w:t xml:space="preserve"> may seek market access, energy reliability, border security, migration management, infrastructure finance, domestic credit and regional standing. Their legislatures, provinces, industries and elections constrain concessions.</w:t>
      </w:r>
    </w:p>
    <w:p>
      <w:pPr>
        <w:pStyle w:val="ListBullet"/>
        <w:numPr>
          <w:ilvl w:val="0"/>
          <w:numId w:val="8"/>
        </w:numPr>
      </w:pPr>
      <w:r>
        <w:rPr>
          <w:rFonts w:ascii="Arial" w:hAnsi="Arial"/>
          <w:b/>
          <w:i w:val="0"/>
          <w:color w:val="1E242A"/>
          <w:sz w:val="20"/>
        </w:rPr>
        <w:t>Mercosur partners</w:t>
      </w:r>
      <w:r>
        <w:rPr>
          <w:rFonts w:ascii="Arial" w:hAnsi="Arial"/>
          <w:b w:val="0"/>
          <w:i w:val="0"/>
          <w:color w:val="1E242A"/>
          <w:sz w:val="20"/>
        </w:rPr>
        <w:t xml:space="preserve"> seek tariff protection or liberalisation, negotiating flexibility, access to Brazil's market, policy autonomy and institutional influence. Consensus gives smaller members veto leverage.</w:t>
      </w:r>
    </w:p>
    <w:p>
      <w:pPr>
        <w:pStyle w:val="ListBullet"/>
        <w:numPr>
          <w:ilvl w:val="0"/>
          <w:numId w:val="8"/>
        </w:numPr>
      </w:pPr>
      <w:r>
        <w:rPr>
          <w:rFonts w:ascii="Arial" w:hAnsi="Arial"/>
          <w:b/>
          <w:i w:val="0"/>
          <w:color w:val="1E242A"/>
          <w:sz w:val="20"/>
        </w:rPr>
        <w:t>United States</w:t>
      </w:r>
      <w:r>
        <w:rPr>
          <w:rFonts w:ascii="Arial" w:hAnsi="Arial"/>
          <w:b w:val="0"/>
          <w:i w:val="0"/>
          <w:color w:val="1E242A"/>
          <w:sz w:val="20"/>
        </w:rPr>
        <w:t xml:space="preserve"> objectives can include market access, technology and IP rules, security, climate, democratic diplomacy and strategic alignment. Congress, agencies, courts, firms and elections divide authority.</w:t>
      </w:r>
    </w:p>
    <w:p>
      <w:pPr>
        <w:pStyle w:val="ListBullet"/>
        <w:numPr>
          <w:ilvl w:val="0"/>
          <w:numId w:val="8"/>
        </w:numPr>
      </w:pPr>
      <w:r>
        <w:rPr>
          <w:rFonts w:ascii="Arial" w:hAnsi="Arial"/>
          <w:b/>
          <w:i w:val="0"/>
          <w:color w:val="1E242A"/>
          <w:sz w:val="20"/>
        </w:rPr>
        <w:t>China</w:t>
      </w:r>
      <w:r>
        <w:rPr>
          <w:rFonts w:ascii="Arial" w:hAnsi="Arial"/>
          <w:b w:val="0"/>
          <w:i w:val="0"/>
          <w:color w:val="1E242A"/>
          <w:sz w:val="20"/>
        </w:rPr>
        <w:t xml:space="preserve"> seeks commodities, food and energy security, infrastructure and technology markets, diplomatic support and investment opportunity. Domestic industrial and financial policy constrains offers.</w:t>
      </w:r>
    </w:p>
    <w:p>
      <w:pPr>
        <w:pStyle w:val="ListBullet"/>
        <w:numPr>
          <w:ilvl w:val="0"/>
          <w:numId w:val="8"/>
        </w:numPr>
      </w:pPr>
      <w:r>
        <w:rPr>
          <w:rFonts w:ascii="Arial" w:hAnsi="Arial"/>
          <w:b/>
          <w:i w:val="0"/>
          <w:color w:val="1E242A"/>
          <w:sz w:val="20"/>
        </w:rPr>
        <w:t>European Union and member states</w:t>
      </w:r>
      <w:r>
        <w:rPr>
          <w:rFonts w:ascii="Arial" w:hAnsi="Arial"/>
          <w:b w:val="0"/>
          <w:i w:val="0"/>
          <w:color w:val="1E242A"/>
          <w:sz w:val="20"/>
        </w:rPr>
        <w:t xml:space="preserve"> combine trade, agriculture, environment, regulation, investment and geopolitical objectives; EU institutions and national ratification create multiple veto points.</w:t>
      </w:r>
    </w:p>
    <w:p>
      <w:pPr>
        <w:pStyle w:val="ListBullet"/>
        <w:numPr>
          <w:ilvl w:val="0"/>
          <w:numId w:val="8"/>
        </w:numPr>
      </w:pPr>
      <w:r>
        <w:rPr>
          <w:rFonts w:ascii="Arial" w:hAnsi="Arial"/>
          <w:b/>
          <w:i w:val="0"/>
          <w:color w:val="1E242A"/>
          <w:sz w:val="20"/>
        </w:rPr>
        <w:t>MDBs and investors</w:t>
      </w:r>
      <w:r>
        <w:rPr>
          <w:rFonts w:ascii="Arial" w:hAnsi="Arial"/>
          <w:b w:val="0"/>
          <w:i w:val="0"/>
          <w:color w:val="1E242A"/>
          <w:sz w:val="20"/>
        </w:rPr>
        <w:t xml:space="preserve"> seek repayment, project quality, return, regulatory predictability, safeguards and institutional mandates. Boards, shareholders and risk committees constrain acceptance.</w:t>
      </w:r>
    </w:p>
    <w:p>
      <w:pPr>
        <w:pStyle w:val="ListBullet"/>
        <w:numPr>
          <w:ilvl w:val="0"/>
          <w:numId w:val="8"/>
        </w:numPr>
      </w:pPr>
      <w:r>
        <w:rPr>
          <w:rFonts w:ascii="Arial" w:hAnsi="Arial"/>
          <w:b/>
          <w:i w:val="0"/>
          <w:color w:val="1E242A"/>
          <w:sz w:val="20"/>
        </w:rPr>
        <w:t>International organisations</w:t>
      </w:r>
      <w:r>
        <w:rPr>
          <w:rFonts w:ascii="Arial" w:hAnsi="Arial"/>
          <w:b w:val="0"/>
          <w:i w:val="0"/>
          <w:color w:val="1E242A"/>
          <w:sz w:val="20"/>
        </w:rPr>
        <w:t xml:space="preserve"> pursue member-defined mandates and procedures; secretariats do not possess every power attributed to the collective membership.</w:t>
      </w:r>
    </w:p>
    <w:p>
      <w:r>
        <w:rPr>
          <w:rFonts w:ascii="Arial" w:hAnsi="Arial"/>
          <w:b w:val="0"/>
          <w:i w:val="0"/>
          <w:color w:val="1E242A"/>
          <w:sz w:val="21"/>
        </w:rPr>
        <w:t>These objectives are evidence-supported categories, not numerical utilities. Brazil proposes; counterpart accepts, rejects, delays or counteroffers under its own constraints.</w:t>
      </w:r>
    </w:p>
    <w:p>
      <w:pPr>
        <w:pStyle w:val="Heading1"/>
      </w:pPr>
      <w:r>
        <w:rPr>
          <w:rFonts w:ascii="Arial" w:hAnsi="Arial"/>
          <w:b w:val="0"/>
          <w:i w:val="0"/>
          <w:color w:val="183752"/>
          <w:sz w:val="34"/>
        </w:rPr>
        <w:t>20 Presidential altitude</w:t>
      </w:r>
    </w:p>
    <w:p>
      <w:r>
        <w:rPr>
          <w:rFonts w:ascii="Arial" w:hAnsi="Arial"/>
          <w:b w:val="0"/>
          <w:i w:val="0"/>
          <w:color w:val="1E242A"/>
          <w:sz w:val="21"/>
        </w:rPr>
        <w:t>Presidential-level decisions include strategic alignment; summit and state-visit priorities; major bilateral package; treaty signature and ratification; major Mercosur compromise; serious trade-dispute settlement or retaliation; sanctions response; diplomatic representation in a foreign rupture; major UN vote; mediation; large strategic investment; Itaipu or energy-security bargain; national migration emergency; defence deployment; and major climate commitment.</w:t>
      </w:r>
    </w:p>
    <w:p>
      <w:r>
        <w:rPr>
          <w:rFonts w:ascii="Arial" w:hAnsi="Arial"/>
          <w:b w:val="0"/>
          <w:i w:val="0"/>
          <w:color w:val="1E242A"/>
          <w:sz w:val="21"/>
        </w:rPr>
        <w:t>Normally delegated: diplomatic drafting, embassy and consular work, routine multilateral votes, technical negotiations, customs administration, trade-remedy investigations, regulatory implementation, ordinary project lending, investment registration, police liaison, individual refugee claims and routine treaty administration. Delegation does not remove reporting or ministerial accountability.</w:t>
      </w:r>
    </w:p>
    <w:p>
      <w:pPr>
        <w:pStyle w:val="Heading1"/>
      </w:pPr>
      <w:r>
        <w:rPr>
          <w:rFonts w:ascii="Arial" w:hAnsi="Arial"/>
          <w:b w:val="0"/>
          <w:i w:val="0"/>
          <w:color w:val="183752"/>
          <w:sz w:val="34"/>
        </w:rPr>
        <w:t>A Simulation Relevant Findings</w:t>
      </w:r>
    </w:p>
    <w:p>
      <w:pPr>
        <w:pStyle w:val="ListNumber"/>
        <w:numPr>
          <w:ilvl w:val="0"/>
          <w:numId w:val="9"/>
        </w:numPr>
      </w:pPr>
      <w:r>
        <w:rPr>
          <w:rFonts w:ascii="Arial" w:hAnsi="Arial"/>
          <w:b w:val="0"/>
          <w:i w:val="0"/>
          <w:color w:val="1E242A"/>
          <w:sz w:val="20"/>
        </w:rPr>
        <w:t>Presidential foreign-policy authority is real but international legal effect commonly requires Congress, ratification, promulgation and implementation.</w:t>
      </w:r>
    </w:p>
    <w:p>
      <w:pPr>
        <w:pStyle w:val="ListNumber"/>
        <w:numPr>
          <w:ilvl w:val="0"/>
          <w:numId w:val="9"/>
        </w:numPr>
      </w:pPr>
      <w:r>
        <w:rPr>
          <w:rFonts w:ascii="Arial" w:hAnsi="Arial"/>
          <w:b w:val="0"/>
          <w:i w:val="0"/>
          <w:color w:val="1E242A"/>
          <w:sz w:val="20"/>
        </w:rPr>
        <w:t>Treaty labels do not determine legal force; commitments cannot evade Congress merely by being called an MOU.</w:t>
      </w:r>
    </w:p>
    <w:p>
      <w:pPr>
        <w:pStyle w:val="ListNumber"/>
        <w:numPr>
          <w:ilvl w:val="0"/>
          <w:numId w:val="9"/>
        </w:numPr>
      </w:pPr>
      <w:r>
        <w:rPr>
          <w:rFonts w:ascii="Arial" w:hAnsi="Arial"/>
          <w:b w:val="0"/>
          <w:i w:val="0"/>
          <w:color w:val="1E242A"/>
          <w:sz w:val="20"/>
        </w:rPr>
        <w:t>Treaty withdrawal now requires congressional assent prospectively under the 2023 STF rule.</w:t>
      </w:r>
    </w:p>
    <w:p>
      <w:pPr>
        <w:pStyle w:val="ListNumber"/>
        <w:numPr>
          <w:ilvl w:val="0"/>
          <w:numId w:val="9"/>
        </w:numPr>
      </w:pPr>
      <w:r>
        <w:rPr>
          <w:rFonts w:ascii="Arial" w:hAnsi="Arial"/>
          <w:b w:val="0"/>
          <w:i w:val="0"/>
          <w:color w:val="1E242A"/>
          <w:sz w:val="20"/>
        </w:rPr>
        <w:t>Itamaraty is a professional negotiating and implementation institution with meaningful latitude, not an autonomous foreign-policy sovereign.</w:t>
      </w:r>
    </w:p>
    <w:p>
      <w:pPr>
        <w:pStyle w:val="ListNumber"/>
        <w:numPr>
          <w:ilvl w:val="0"/>
          <w:numId w:val="9"/>
        </w:numPr>
      </w:pPr>
      <w:r>
        <w:rPr>
          <w:rFonts w:ascii="Arial" w:hAnsi="Arial"/>
          <w:b w:val="0"/>
          <w:i w:val="0"/>
          <w:color w:val="1E242A"/>
          <w:sz w:val="20"/>
        </w:rPr>
        <w:t>Presidential diplomacy can unblock or signal but cannot substitute for counterpart consent and domestic gates.</w:t>
      </w:r>
    </w:p>
    <w:p>
      <w:pPr>
        <w:pStyle w:val="ListNumber"/>
        <w:numPr>
          <w:ilvl w:val="0"/>
          <w:numId w:val="9"/>
        </w:numPr>
      </w:pPr>
      <w:r>
        <w:rPr>
          <w:rFonts w:ascii="Arial" w:hAnsi="Arial"/>
          <w:b w:val="0"/>
          <w:i w:val="0"/>
          <w:color w:val="1E242A"/>
          <w:sz w:val="20"/>
        </w:rPr>
        <w:t>Mercosur works by intergovernmental consensus; Brazil has veto and influence, not command.</w:t>
      </w:r>
    </w:p>
    <w:p>
      <w:pPr>
        <w:pStyle w:val="ListNumber"/>
        <w:numPr>
          <w:ilvl w:val="0"/>
          <w:numId w:val="9"/>
        </w:numPr>
      </w:pPr>
      <w:r>
        <w:rPr>
          <w:rFonts w:ascii="Arial" w:hAnsi="Arial"/>
          <w:b w:val="0"/>
          <w:i w:val="0"/>
          <w:color w:val="1E242A"/>
          <w:sz w:val="20"/>
        </w:rPr>
        <w:t>Mercosur norms may require national incorporation; the customs union contains exceptions.</w:t>
      </w:r>
    </w:p>
    <w:p>
      <w:pPr>
        <w:pStyle w:val="ListNumber"/>
        <w:numPr>
          <w:ilvl w:val="0"/>
          <w:numId w:val="9"/>
        </w:numPr>
      </w:pPr>
      <w:r>
        <w:rPr>
          <w:rFonts w:ascii="Arial" w:hAnsi="Arial"/>
          <w:b w:val="0"/>
          <w:i w:val="0"/>
          <w:color w:val="1E242A"/>
          <w:sz w:val="20"/>
        </w:rPr>
        <w:t>A unilateral Brazil-only preferential FTA conflicts with the joint-negotiation baseline, while Decision 32/00 remains politically contested.</w:t>
      </w:r>
    </w:p>
    <w:p>
      <w:pPr>
        <w:pStyle w:val="ListNumber"/>
        <w:numPr>
          <w:ilvl w:val="0"/>
          <w:numId w:val="9"/>
        </w:numPr>
      </w:pPr>
      <w:r>
        <w:rPr>
          <w:rFonts w:ascii="Arial" w:hAnsi="Arial"/>
          <w:b w:val="0"/>
          <w:i w:val="0"/>
          <w:color w:val="1E242A"/>
          <w:sz w:val="20"/>
        </w:rPr>
        <w:t>Tariffs and trade remedies are institutionally and internationally constrained; the President cannot impose a legally valid remedy without process.</w:t>
      </w:r>
    </w:p>
    <w:p>
      <w:pPr>
        <w:pStyle w:val="ListNumber"/>
        <w:numPr>
          <w:ilvl w:val="0"/>
          <w:numId w:val="9"/>
        </w:numPr>
      </w:pPr>
      <w:r>
        <w:rPr>
          <w:rFonts w:ascii="Arial" w:hAnsi="Arial"/>
          <w:b w:val="0"/>
          <w:i w:val="0"/>
          <w:color w:val="1E242A"/>
          <w:sz w:val="20"/>
        </w:rPr>
        <w:t>Brazil has clear UNSC sanctions implementation but no verified general US/EU-style autonomous sanctions regime.</w:t>
      </w:r>
    </w:p>
    <w:p>
      <w:pPr>
        <w:pStyle w:val="ListNumber"/>
        <w:numPr>
          <w:ilvl w:val="0"/>
          <w:numId w:val="9"/>
        </w:numPr>
      </w:pPr>
      <w:r>
        <w:rPr>
          <w:rFonts w:ascii="Arial" w:hAnsi="Arial"/>
          <w:b w:val="0"/>
          <w:i w:val="0"/>
          <w:color w:val="1E242A"/>
          <w:sz w:val="20"/>
        </w:rPr>
        <w:t>Argentina, China, the US and EU are multidimensional relationships whose interests and vulnerabilities vary by sector.</w:t>
      </w:r>
    </w:p>
    <w:p>
      <w:pPr>
        <w:pStyle w:val="ListNumber"/>
        <w:numPr>
          <w:ilvl w:val="0"/>
          <w:numId w:val="9"/>
        </w:numPr>
      </w:pPr>
      <w:r>
        <w:rPr>
          <w:rFonts w:ascii="Arial" w:hAnsi="Arial"/>
          <w:b w:val="0"/>
          <w:i w:val="0"/>
          <w:color w:val="1E242A"/>
          <w:sz w:val="20"/>
        </w:rPr>
        <w:t>BRICS is not an alliance or treaty organisation; NDB is a separate bank.</w:t>
      </w:r>
    </w:p>
    <w:p>
      <w:pPr>
        <w:pStyle w:val="ListNumber"/>
        <w:numPr>
          <w:ilvl w:val="0"/>
          <w:numId w:val="9"/>
        </w:numPr>
      </w:pPr>
      <w:r>
        <w:rPr>
          <w:rFonts w:ascii="Arial" w:hAnsi="Arial"/>
          <w:b w:val="0"/>
          <w:i w:val="0"/>
          <w:color w:val="1E242A"/>
          <w:sz w:val="20"/>
        </w:rPr>
        <w:t>Strategic autonomy is an interpretive tradition, not an immutable doctrine.</w:t>
      </w:r>
    </w:p>
    <w:p>
      <w:pPr>
        <w:pStyle w:val="ListNumber"/>
        <w:numPr>
          <w:ilvl w:val="0"/>
          <w:numId w:val="9"/>
        </w:numPr>
      </w:pPr>
      <w:r>
        <w:rPr>
          <w:rFonts w:ascii="Arial" w:hAnsi="Arial"/>
          <w:b w:val="0"/>
          <w:i w:val="0"/>
          <w:color w:val="1E242A"/>
          <w:sz w:val="20"/>
        </w:rPr>
        <w:t>Itaipu is a binational institution requiring Paraguayan agreement.</w:t>
      </w:r>
    </w:p>
    <w:p>
      <w:pPr>
        <w:pStyle w:val="ListNumber"/>
        <w:numPr>
          <w:ilvl w:val="0"/>
          <w:numId w:val="9"/>
        </w:numPr>
      </w:pPr>
      <w:r>
        <w:rPr>
          <w:rFonts w:ascii="Arial" w:hAnsi="Arial"/>
          <w:b w:val="0"/>
          <w:i w:val="0"/>
          <w:color w:val="1E242A"/>
          <w:sz w:val="20"/>
        </w:rPr>
        <w:t>Paris commitments, Amazon Fund governance and foreign climate pressure have different legal forms.</w:t>
      </w:r>
    </w:p>
    <w:p>
      <w:pPr>
        <w:pStyle w:val="ListNumber"/>
        <w:numPr>
          <w:ilvl w:val="0"/>
          <w:numId w:val="9"/>
        </w:numPr>
      </w:pPr>
      <w:r>
        <w:rPr>
          <w:rFonts w:ascii="Arial" w:hAnsi="Arial"/>
          <w:b w:val="0"/>
          <w:i w:val="0"/>
          <w:color w:val="1E242A"/>
          <w:sz w:val="20"/>
        </w:rPr>
        <w:t>Extradition requires executive, judicial and treaty/legal stages; native-born Brazilians cannot be extradited.</w:t>
      </w:r>
    </w:p>
    <w:p>
      <w:pPr>
        <w:pStyle w:val="ListNumber"/>
        <w:numPr>
          <w:ilvl w:val="0"/>
          <w:numId w:val="9"/>
        </w:numPr>
      </w:pPr>
      <w:r>
        <w:rPr>
          <w:rFonts w:ascii="Arial" w:hAnsi="Arial"/>
          <w:b w:val="0"/>
          <w:i w:val="0"/>
          <w:color w:val="1E242A"/>
          <w:sz w:val="20"/>
        </w:rPr>
        <w:t>Foreign governments, regulators, markets, courts and organisations independently generate Brazilian agenda items.</w:t>
      </w:r>
    </w:p>
    <w:p>
      <w:pPr>
        <w:pStyle w:val="ListNumber"/>
        <w:numPr>
          <w:ilvl w:val="0"/>
          <w:numId w:val="9"/>
        </w:numPr>
      </w:pPr>
      <w:r>
        <w:rPr>
          <w:rFonts w:ascii="Arial" w:hAnsi="Arial"/>
          <w:b w:val="0"/>
          <w:i w:val="0"/>
          <w:color w:val="1E242A"/>
          <w:sz w:val="20"/>
        </w:rPr>
        <w:t>Brazil can choose what it attempts internationally, not how the world responds.</w:t>
      </w:r>
    </w:p>
    <w:p>
      <w:pPr>
        <w:pStyle w:val="Heading1"/>
      </w:pPr>
      <w:r>
        <w:rPr>
          <w:rFonts w:ascii="Arial" w:hAnsi="Arial"/>
          <w:b w:val="0"/>
          <w:i w:val="0"/>
          <w:color w:val="183752"/>
          <w:sz w:val="34"/>
        </w:rPr>
        <w:t>B Candidate Structured Knowledge</w:t>
      </w:r>
    </w:p>
    <w:p>
      <w:pPr>
        <w:pStyle w:val="ListBullet"/>
        <w:numPr>
          <w:ilvl w:val="0"/>
          <w:numId w:val="8"/>
        </w:numPr>
      </w:pPr>
      <w:r>
        <w:rPr>
          <w:rFonts w:ascii="Arial" w:hAnsi="Arial"/>
          <w:b w:val="0"/>
          <w:i w:val="0"/>
          <w:color w:val="1E242A"/>
          <w:sz w:val="20"/>
        </w:rPr>
        <w:t>Foreign-policy institutions and roles: President, MRE, missions, ABC, Congress, Senate, CAMEX, MDIC, Receita, Defence, DRCI, courts, BCB, BNDES and sector regulators.</w:t>
      </w:r>
    </w:p>
    <w:p>
      <w:pPr>
        <w:pStyle w:val="ListBullet"/>
        <w:numPr>
          <w:ilvl w:val="0"/>
          <w:numId w:val="8"/>
        </w:numPr>
      </w:pPr>
      <w:r>
        <w:rPr>
          <w:rFonts w:ascii="Arial" w:hAnsi="Arial"/>
          <w:b w:val="0"/>
          <w:i w:val="0"/>
          <w:color w:val="1E242A"/>
          <w:sz w:val="20"/>
        </w:rPr>
        <w:t>International-act records containing legal form, negotiating authority, signature, congressional gate, ratification, entry into force, promulgation, implementation and withdrawal.</w:t>
      </w:r>
    </w:p>
    <w:p>
      <w:pPr>
        <w:pStyle w:val="ListBullet"/>
        <w:numPr>
          <w:ilvl w:val="0"/>
          <w:numId w:val="8"/>
        </w:numPr>
      </w:pPr>
      <w:r>
        <w:rPr>
          <w:rFonts w:ascii="Arial" w:hAnsi="Arial"/>
          <w:b w:val="0"/>
          <w:i w:val="0"/>
          <w:color w:val="1E242A"/>
          <w:sz w:val="20"/>
        </w:rPr>
        <w:t>Mercosur organs, consensus rule, incorporation state, CET exception, dispute path, accession and suspension status.</w:t>
      </w:r>
    </w:p>
    <w:p>
      <w:pPr>
        <w:pStyle w:val="ListBullet"/>
        <w:numPr>
          <w:ilvl w:val="0"/>
          <w:numId w:val="8"/>
        </w:numPr>
      </w:pPr>
      <w:r>
        <w:rPr>
          <w:rFonts w:ascii="Arial" w:hAnsi="Arial"/>
          <w:b w:val="0"/>
          <w:i w:val="0"/>
          <w:color w:val="1E242A"/>
          <w:sz w:val="20"/>
        </w:rPr>
        <w:t>Trade instruments with domestic authority, evidential procedure, WTO rule, Mercosur constraint, implementing body and foreign response path.</w:t>
      </w:r>
    </w:p>
    <w:p>
      <w:pPr>
        <w:pStyle w:val="ListBullet"/>
        <w:numPr>
          <w:ilvl w:val="0"/>
          <w:numId w:val="8"/>
        </w:numPr>
      </w:pPr>
      <w:r>
        <w:rPr>
          <w:rFonts w:ascii="Arial" w:hAnsi="Arial"/>
          <w:b w:val="0"/>
          <w:i w:val="0"/>
          <w:color w:val="1E242A"/>
          <w:sz w:val="20"/>
        </w:rPr>
        <w:t>Sanctions records distinguishing UNSC implementation, terrorism designation, autonomous sector restriction, diplomatic action and asset status.</w:t>
      </w:r>
    </w:p>
    <w:p>
      <w:pPr>
        <w:pStyle w:val="ListBullet"/>
        <w:numPr>
          <w:ilvl w:val="0"/>
          <w:numId w:val="8"/>
        </w:numPr>
      </w:pPr>
      <w:r>
        <w:rPr>
          <w:rFonts w:ascii="Arial" w:hAnsi="Arial"/>
          <w:b w:val="0"/>
          <w:i w:val="0"/>
          <w:color w:val="1E242A"/>
          <w:sz w:val="20"/>
        </w:rPr>
        <w:t>Bilateral relationship domains rather than a single relation score: trade, investment, security, energy, environment, technology, ideology and institutional forum.</w:t>
      </w:r>
    </w:p>
    <w:p>
      <w:pPr>
        <w:pStyle w:val="ListBullet"/>
        <w:numPr>
          <w:ilvl w:val="0"/>
          <w:numId w:val="8"/>
        </w:numPr>
      </w:pPr>
      <w:r>
        <w:rPr>
          <w:rFonts w:ascii="Arial" w:hAnsi="Arial"/>
          <w:b w:val="0"/>
          <w:i w:val="0"/>
          <w:color w:val="1E242A"/>
          <w:sz w:val="20"/>
        </w:rPr>
        <w:t>International organisation membership, legal status, vote, obligation, financing and temporal membership.</w:t>
      </w:r>
    </w:p>
    <w:p>
      <w:pPr>
        <w:pStyle w:val="ListBullet"/>
        <w:numPr>
          <w:ilvl w:val="0"/>
          <w:numId w:val="8"/>
        </w:numPr>
      </w:pPr>
      <w:r>
        <w:rPr>
          <w:rFonts w:ascii="Arial" w:hAnsi="Arial"/>
          <w:b w:val="0"/>
          <w:i w:val="0"/>
          <w:color w:val="1E242A"/>
          <w:sz w:val="20"/>
        </w:rPr>
        <w:t>Negotiation records containing objectives, counterpart, authority, concessions, sequencing, domestic ratification, deadline and walk-away option.</w:t>
      </w:r>
    </w:p>
    <w:p>
      <w:pPr>
        <w:pStyle w:val="ListBullet"/>
        <w:numPr>
          <w:ilvl w:val="0"/>
          <w:numId w:val="8"/>
        </w:numPr>
      </w:pPr>
      <w:r>
        <w:rPr>
          <w:rFonts w:ascii="Arial" w:hAnsi="Arial"/>
          <w:b w:val="0"/>
          <w:i w:val="0"/>
          <w:color w:val="1E242A"/>
          <w:sz w:val="20"/>
        </w:rPr>
        <w:t>Autonomous external actors: governments, regulators, MDBs, investors, markets, courts, organisations, criminal networks and migrant flows.</w:t>
      </w:r>
    </w:p>
    <w:p>
      <w:pPr>
        <w:pStyle w:val="ListBullet"/>
        <w:numPr>
          <w:ilvl w:val="0"/>
          <w:numId w:val="8"/>
        </w:numPr>
      </w:pPr>
      <w:r>
        <w:rPr>
          <w:rFonts w:ascii="Arial" w:hAnsi="Arial"/>
          <w:b w:val="0"/>
          <w:i w:val="0"/>
          <w:color w:val="1E242A"/>
          <w:sz w:val="20"/>
        </w:rPr>
        <w:t>Temporal fields for treaty status, accession, provisional application, sanctions, negotiations, current government orientation and crises.</w:t>
      </w:r>
    </w:p>
    <w:p>
      <w:pPr>
        <w:pStyle w:val="ListBullet"/>
        <w:numPr>
          <w:ilvl w:val="0"/>
          <w:numId w:val="8"/>
        </w:numPr>
      </w:pPr>
      <w:r>
        <w:rPr>
          <w:rFonts w:ascii="Arial" w:hAnsi="Arial"/>
          <w:b w:val="0"/>
          <w:i w:val="0"/>
          <w:color w:val="1E242A"/>
          <w:sz w:val="20"/>
        </w:rPr>
        <w:t>Provenance: source, provision, date, confidence, contradiction and structural/scenario label.</w:t>
      </w:r>
    </w:p>
    <w:p>
      <w:pPr>
        <w:pStyle w:val="Heading1"/>
      </w:pPr>
      <w:r>
        <w:rPr>
          <w:rFonts w:ascii="Arial" w:hAnsi="Arial"/>
          <w:b w:val="0"/>
          <w:i w:val="0"/>
          <w:color w:val="183752"/>
          <w:sz w:val="34"/>
        </w:rPr>
        <w:t>C Independent Actor World Activity Findings</w:t>
      </w:r>
    </w:p>
    <w:p>
      <w:pPr>
        <w:pStyle w:val="ListBullet"/>
        <w:numPr>
          <w:ilvl w:val="0"/>
          <w:numId w:val="8"/>
        </w:numPr>
      </w:pPr>
      <w:r>
        <w:rPr>
          <w:rFonts w:ascii="Arial" w:hAnsi="Arial"/>
          <w:b w:val="0"/>
          <w:i w:val="0"/>
          <w:color w:val="1E242A"/>
          <w:sz w:val="20"/>
        </w:rPr>
        <w:t>Foreign governments can request summits, alter tariffs, impose restrictions, recall diplomats, change recognition or seek mediation.</w:t>
      </w:r>
    </w:p>
    <w:p>
      <w:pPr>
        <w:pStyle w:val="ListBullet"/>
        <w:numPr>
          <w:ilvl w:val="0"/>
          <w:numId w:val="8"/>
        </w:numPr>
      </w:pPr>
      <w:r>
        <w:rPr>
          <w:rFonts w:ascii="Arial" w:hAnsi="Arial"/>
          <w:b w:val="0"/>
          <w:i w:val="0"/>
          <w:color w:val="1E242A"/>
          <w:sz w:val="20"/>
        </w:rPr>
        <w:t>Mercosur partners and organs can block consensus, demand flexibility, initiate disputes and delay incorporation.</w:t>
      </w:r>
    </w:p>
    <w:p>
      <w:pPr>
        <w:pStyle w:val="ListBullet"/>
        <w:numPr>
          <w:ilvl w:val="0"/>
          <w:numId w:val="8"/>
        </w:numPr>
      </w:pPr>
      <w:r>
        <w:rPr>
          <w:rFonts w:ascii="Arial" w:hAnsi="Arial"/>
          <w:b w:val="0"/>
          <w:i w:val="0"/>
          <w:color w:val="1E242A"/>
          <w:sz w:val="20"/>
        </w:rPr>
        <w:t>WTO members and bodies can initiate consultations, adjudication and authorised retaliation.</w:t>
      </w:r>
    </w:p>
    <w:p>
      <w:pPr>
        <w:pStyle w:val="ListBullet"/>
        <w:numPr>
          <w:ilvl w:val="0"/>
          <w:numId w:val="8"/>
        </w:numPr>
      </w:pPr>
      <w:r>
        <w:rPr>
          <w:rFonts w:ascii="Arial" w:hAnsi="Arial"/>
          <w:b w:val="0"/>
          <w:i w:val="0"/>
          <w:color w:val="1E242A"/>
          <w:sz w:val="20"/>
        </w:rPr>
        <w:t>UNSC and sanctions committees can create immediately executable obligations.</w:t>
      </w:r>
    </w:p>
    <w:p>
      <w:pPr>
        <w:pStyle w:val="ListBullet"/>
        <w:numPr>
          <w:ilvl w:val="0"/>
          <w:numId w:val="8"/>
        </w:numPr>
      </w:pPr>
      <w:r>
        <w:rPr>
          <w:rFonts w:ascii="Arial" w:hAnsi="Arial"/>
          <w:b w:val="0"/>
          <w:i w:val="0"/>
          <w:color w:val="1E242A"/>
          <w:sz w:val="20"/>
        </w:rPr>
        <w:t>Foreign regulators can alter market access through standards, due diligence, export controls and financial rules.</w:t>
      </w:r>
    </w:p>
    <w:p>
      <w:pPr>
        <w:pStyle w:val="ListBullet"/>
        <w:numPr>
          <w:ilvl w:val="0"/>
          <w:numId w:val="8"/>
        </w:numPr>
      </w:pPr>
      <w:r>
        <w:rPr>
          <w:rFonts w:ascii="Arial" w:hAnsi="Arial"/>
          <w:b w:val="0"/>
          <w:i w:val="0"/>
          <w:color w:val="1E242A"/>
          <w:sz w:val="20"/>
        </w:rPr>
        <w:t>Investors, banks and MDB boards can offer, condition, delay or withdraw capital.</w:t>
      </w:r>
    </w:p>
    <w:p>
      <w:pPr>
        <w:pStyle w:val="ListBullet"/>
        <w:numPr>
          <w:ilvl w:val="0"/>
          <w:numId w:val="8"/>
        </w:numPr>
      </w:pPr>
      <w:r>
        <w:rPr>
          <w:rFonts w:ascii="Arial" w:hAnsi="Arial"/>
          <w:b w:val="0"/>
          <w:i w:val="0"/>
          <w:color w:val="1E242A"/>
          <w:sz w:val="20"/>
        </w:rPr>
        <w:t>Commodity and financial markets can create price, rate and exchange shocks.</w:t>
      </w:r>
    </w:p>
    <w:p>
      <w:pPr>
        <w:pStyle w:val="ListBullet"/>
        <w:numPr>
          <w:ilvl w:val="0"/>
          <w:numId w:val="8"/>
        </w:numPr>
      </w:pPr>
      <w:r>
        <w:rPr>
          <w:rFonts w:ascii="Arial" w:hAnsi="Arial"/>
          <w:b w:val="0"/>
          <w:i w:val="0"/>
          <w:color w:val="1E242A"/>
          <w:sz w:val="20"/>
        </w:rPr>
        <w:t>Neighbouring energy bodies can change supply, tariff and infrastructure bargains.</w:t>
      </w:r>
    </w:p>
    <w:p>
      <w:pPr>
        <w:pStyle w:val="ListBullet"/>
        <w:numPr>
          <w:ilvl w:val="0"/>
          <w:numId w:val="8"/>
        </w:numPr>
      </w:pPr>
      <w:r>
        <w:rPr>
          <w:rFonts w:ascii="Arial" w:hAnsi="Arial"/>
          <w:b w:val="0"/>
          <w:i w:val="0"/>
          <w:color w:val="1E242A"/>
          <w:sz w:val="20"/>
        </w:rPr>
        <w:t>Foreign police, prosecutors and courts can request extradition, evidence and assets.</w:t>
      </w:r>
    </w:p>
    <w:p>
      <w:pPr>
        <w:pStyle w:val="ListBullet"/>
        <w:numPr>
          <w:ilvl w:val="0"/>
          <w:numId w:val="8"/>
        </w:numPr>
      </w:pPr>
      <w:r>
        <w:rPr>
          <w:rFonts w:ascii="Arial" w:hAnsi="Arial"/>
          <w:b w:val="0"/>
          <w:i w:val="0"/>
          <w:color w:val="1E242A"/>
          <w:sz w:val="20"/>
        </w:rPr>
        <w:t>Cross-border criminal networks can change routes and trigger cooperation.</w:t>
      </w:r>
    </w:p>
    <w:p>
      <w:pPr>
        <w:pStyle w:val="ListBullet"/>
        <w:numPr>
          <w:ilvl w:val="0"/>
          <w:numId w:val="8"/>
        </w:numPr>
      </w:pPr>
      <w:r>
        <w:rPr>
          <w:rFonts w:ascii="Arial" w:hAnsi="Arial"/>
          <w:b w:val="0"/>
          <w:i w:val="0"/>
          <w:color w:val="1E242A"/>
          <w:sz w:val="20"/>
        </w:rPr>
        <w:t>UN and regional bodies can demand votes, reports, candidacies or peacekeeping decisions.</w:t>
      </w:r>
    </w:p>
    <w:p>
      <w:pPr>
        <w:pStyle w:val="ListBullet"/>
        <w:numPr>
          <w:ilvl w:val="0"/>
          <w:numId w:val="8"/>
        </w:numPr>
      </w:pPr>
      <w:r>
        <w:rPr>
          <w:rFonts w:ascii="Arial" w:hAnsi="Arial"/>
          <w:b w:val="0"/>
          <w:i w:val="0"/>
          <w:color w:val="1E242A"/>
          <w:sz w:val="20"/>
        </w:rPr>
        <w:t>Migrant and refugee flows can create administrative and humanitarian pressure.</w:t>
      </w:r>
    </w:p>
    <w:p>
      <w:pPr>
        <w:pStyle w:val="ListBullet"/>
        <w:numPr>
          <w:ilvl w:val="0"/>
          <w:numId w:val="8"/>
        </w:numPr>
      </w:pPr>
      <w:r>
        <w:rPr>
          <w:rFonts w:ascii="Arial" w:hAnsi="Arial"/>
          <w:b w:val="0"/>
          <w:i w:val="0"/>
          <w:color w:val="1E242A"/>
          <w:sz w:val="20"/>
        </w:rPr>
        <w:t>Donors and climate institutions can offer, suspend or condition finance under agreements.</w:t>
      </w:r>
    </w:p>
    <w:p>
      <w:pPr>
        <w:pStyle w:val="Heading1"/>
      </w:pPr>
      <w:r>
        <w:rPr>
          <w:rFonts w:ascii="Arial" w:hAnsi="Arial"/>
          <w:b w:val="0"/>
          <w:i w:val="0"/>
          <w:color w:val="183752"/>
          <w:sz w:val="34"/>
        </w:rPr>
        <w:t>D Presidential Decision Surface Findings</w:t>
      </w:r>
    </w:p>
    <w:p>
      <w:r>
        <w:rPr>
          <w:rFonts w:ascii="Arial" w:hAnsi="Arial"/>
          <w:b w:val="0"/>
          <w:i w:val="0"/>
          <w:color w:val="1E242A"/>
          <w:sz w:val="21"/>
        </w:rPr>
        <w:t>Likely presidential decisions include a major summit or state visit; strategic alignment; signature or ratification; significant Mercosur bargain; serious tariff or sanctions response; WTO settlement or authorised retaliation; recognition and representation in a foreign crisis; mediation; major UN vote; strategic FDI package; Itaipu bargain; migration emergency; defence deployment; and headline climate commitment.</w:t>
      </w:r>
    </w:p>
    <w:p>
      <w:r>
        <w:rPr>
          <w:rFonts w:ascii="Arial" w:hAnsi="Arial"/>
          <w:b w:val="0"/>
          <w:i w:val="0"/>
          <w:color w:val="1E242A"/>
          <w:sz w:val="21"/>
        </w:rPr>
        <w:t>Routine drafting, embassy work, consular services, technical trade talks, customs, remedy investigations, ordinary regulatory compliance, small cooperation projects, police liaison, refugee cases and non-salient multilateral votes normally remain delegated.</w:t>
      </w:r>
    </w:p>
    <w:p>
      <w:pPr>
        <w:pStyle w:val="Heading1"/>
      </w:pPr>
      <w:r>
        <w:rPr>
          <w:rFonts w:ascii="Arial" w:hAnsi="Arial"/>
          <w:b w:val="0"/>
          <w:i w:val="0"/>
          <w:color w:val="183752"/>
          <w:sz w:val="34"/>
        </w:rPr>
        <w:t>E Uncertainty and Validation Register</w:t>
      </w:r>
    </w:p>
    <w:p>
      <w:pPr>
        <w:pStyle w:val="ListNumber"/>
        <w:numPr>
          <w:ilvl w:val="0"/>
          <w:numId w:val="9"/>
        </w:numPr>
      </w:pPr>
      <w:r>
        <w:rPr>
          <w:rFonts w:ascii="Arial" w:hAnsi="Arial"/>
          <w:b/>
          <w:i w:val="0"/>
          <w:color w:val="1E242A"/>
          <w:sz w:val="20"/>
        </w:rPr>
        <w:t>Simplified agreements.</w:t>
      </w:r>
      <w:r>
        <w:rPr>
          <w:rFonts w:ascii="Arial" w:hAnsi="Arial"/>
          <w:b w:val="0"/>
          <w:i w:val="0"/>
          <w:color w:val="1E242A"/>
          <w:sz w:val="20"/>
        </w:rPr>
        <w:t xml:space="preserve"> The boundary between permissible executive/interinstitutional instruments and commitments requiring Congress is fact-sensitive.</w:t>
      </w:r>
    </w:p>
    <w:p>
      <w:pPr>
        <w:pStyle w:val="ListNumber"/>
        <w:numPr>
          <w:ilvl w:val="0"/>
          <w:numId w:val="9"/>
        </w:numPr>
      </w:pPr>
      <w:r>
        <w:rPr>
          <w:rFonts w:ascii="Arial" w:hAnsi="Arial"/>
          <w:b/>
          <w:i w:val="0"/>
          <w:color w:val="1E242A"/>
          <w:sz w:val="20"/>
        </w:rPr>
        <w:t>Treaty withdrawal.</w:t>
      </w:r>
      <w:r>
        <w:rPr>
          <w:rFonts w:ascii="Arial" w:hAnsi="Arial"/>
          <w:b w:val="0"/>
          <w:i w:val="0"/>
          <w:color w:val="1E242A"/>
          <w:sz w:val="20"/>
        </w:rPr>
        <w:t xml:space="preserve"> The prospective 2023 rule is clear at high level; instrument-specific application and transition may require case-law review.</w:t>
      </w:r>
    </w:p>
    <w:p>
      <w:pPr>
        <w:pStyle w:val="ListNumber"/>
        <w:numPr>
          <w:ilvl w:val="0"/>
          <w:numId w:val="9"/>
        </w:numPr>
      </w:pPr>
      <w:r>
        <w:rPr>
          <w:rFonts w:ascii="Arial" w:hAnsi="Arial"/>
          <w:b/>
          <w:i w:val="0"/>
          <w:color w:val="1E242A"/>
          <w:sz w:val="20"/>
        </w:rPr>
        <w:t>Mercosur Decision 32/00.</w:t>
      </w:r>
      <w:r>
        <w:rPr>
          <w:rFonts w:ascii="Arial" w:hAnsi="Arial"/>
          <w:b w:val="0"/>
          <w:i w:val="0"/>
          <w:color w:val="1E242A"/>
          <w:sz w:val="20"/>
        </w:rPr>
        <w:t xml:space="preserve"> Brazil treats joint negotiation as operative; Uruguay disputes legal force. Do not encode a frictionless binary.</w:t>
      </w:r>
    </w:p>
    <w:p>
      <w:pPr>
        <w:pStyle w:val="ListNumber"/>
        <w:numPr>
          <w:ilvl w:val="0"/>
          <w:numId w:val="9"/>
        </w:numPr>
      </w:pPr>
      <w:r>
        <w:rPr>
          <w:rFonts w:ascii="Arial" w:hAnsi="Arial"/>
          <w:b/>
          <w:i w:val="0"/>
          <w:color w:val="1E242A"/>
          <w:sz w:val="20"/>
        </w:rPr>
        <w:t>CET flexibility.</w:t>
      </w:r>
      <w:r>
        <w:rPr>
          <w:rFonts w:ascii="Arial" w:hAnsi="Arial"/>
          <w:b w:val="0"/>
          <w:i w:val="0"/>
          <w:color w:val="1E242A"/>
          <w:sz w:val="20"/>
        </w:rPr>
        <w:t xml:space="preserve"> Exceptions and temporary lists change. Validate product and date before allowing a tariff action.</w:t>
      </w:r>
    </w:p>
    <w:p>
      <w:pPr>
        <w:pStyle w:val="ListNumber"/>
        <w:numPr>
          <w:ilvl w:val="0"/>
          <w:numId w:val="9"/>
        </w:numPr>
      </w:pPr>
      <w:r>
        <w:rPr>
          <w:rFonts w:ascii="Arial" w:hAnsi="Arial"/>
          <w:b/>
          <w:i w:val="0"/>
          <w:color w:val="1E242A"/>
          <w:sz w:val="20"/>
        </w:rPr>
        <w:t>Mercosur-EU status.</w:t>
      </w:r>
      <w:r>
        <w:rPr>
          <w:rFonts w:ascii="Arial" w:hAnsi="Arial"/>
          <w:b w:val="0"/>
          <w:i w:val="0"/>
          <w:color w:val="1E242A"/>
          <w:sz w:val="20"/>
        </w:rPr>
        <w:t xml:space="preserve"> Signature and provisional application are 2026 scenario facts; final ratification must be refreshed.</w:t>
      </w:r>
    </w:p>
    <w:p>
      <w:pPr>
        <w:pStyle w:val="ListNumber"/>
        <w:numPr>
          <w:ilvl w:val="0"/>
          <w:numId w:val="9"/>
        </w:numPr>
      </w:pPr>
      <w:r>
        <w:rPr>
          <w:rFonts w:ascii="Arial" w:hAnsi="Arial"/>
          <w:b/>
          <w:i w:val="0"/>
          <w:color w:val="1E242A"/>
          <w:sz w:val="20"/>
        </w:rPr>
        <w:t>Autonomous sanctions.</w:t>
      </w:r>
      <w:r>
        <w:rPr>
          <w:rFonts w:ascii="Arial" w:hAnsi="Arial"/>
          <w:b w:val="0"/>
          <w:i w:val="0"/>
          <w:color w:val="1E242A"/>
          <w:sz w:val="20"/>
        </w:rPr>
        <w:t xml:space="preserve"> No general framework was identified, but instrument-specific powers exist. Validate each proposed restriction.</w:t>
      </w:r>
    </w:p>
    <w:p>
      <w:pPr>
        <w:pStyle w:val="ListNumber"/>
        <w:numPr>
          <w:ilvl w:val="0"/>
          <w:numId w:val="9"/>
        </w:numPr>
      </w:pPr>
      <w:r>
        <w:rPr>
          <w:rFonts w:ascii="Arial" w:hAnsi="Arial"/>
          <w:b/>
          <w:i w:val="0"/>
          <w:color w:val="1E242A"/>
          <w:sz w:val="20"/>
        </w:rPr>
        <w:t>Extradition discretion.</w:t>
      </w:r>
      <w:r>
        <w:rPr>
          <w:rFonts w:ascii="Arial" w:hAnsi="Arial"/>
          <w:b w:val="0"/>
          <w:i w:val="0"/>
          <w:color w:val="1E242A"/>
          <w:sz w:val="20"/>
        </w:rPr>
        <w:t xml:space="preserve"> Executive latitude after STF approval is constrained by treaty and law and remains case-sensitive.</w:t>
      </w:r>
    </w:p>
    <w:p>
      <w:pPr>
        <w:pStyle w:val="ListNumber"/>
        <w:numPr>
          <w:ilvl w:val="0"/>
          <w:numId w:val="9"/>
        </w:numPr>
      </w:pPr>
      <w:r>
        <w:rPr>
          <w:rFonts w:ascii="Arial" w:hAnsi="Arial"/>
          <w:b/>
          <w:i w:val="0"/>
          <w:color w:val="1E242A"/>
          <w:sz w:val="20"/>
        </w:rPr>
        <w:t>Recognition doctrine.</w:t>
      </w:r>
      <w:r>
        <w:rPr>
          <w:rFonts w:ascii="Arial" w:hAnsi="Arial"/>
          <w:b w:val="0"/>
          <w:i w:val="0"/>
          <w:color w:val="1E242A"/>
          <w:sz w:val="20"/>
        </w:rPr>
        <w:t xml:space="preserve"> No sufficiently clear fixed contemporary doctrine was found. Treat practice as case-specific.</w:t>
      </w:r>
    </w:p>
    <w:p>
      <w:pPr>
        <w:pStyle w:val="ListNumber"/>
        <w:numPr>
          <w:ilvl w:val="0"/>
          <w:numId w:val="9"/>
        </w:numPr>
      </w:pPr>
      <w:r>
        <w:rPr>
          <w:rFonts w:ascii="Arial" w:hAnsi="Arial"/>
          <w:b/>
          <w:i w:val="0"/>
          <w:color w:val="1E242A"/>
          <w:sz w:val="20"/>
        </w:rPr>
        <w:t>Strategic autonomy.</w:t>
      </w:r>
      <w:r>
        <w:rPr>
          <w:rFonts w:ascii="Arial" w:hAnsi="Arial"/>
          <w:b w:val="0"/>
          <w:i w:val="0"/>
          <w:color w:val="1E242A"/>
          <w:sz w:val="20"/>
        </w:rPr>
        <w:t xml:space="preserve"> Academic labels hide materially different policies; never encode as one permanent preference.</w:t>
      </w:r>
    </w:p>
    <w:p>
      <w:pPr>
        <w:pStyle w:val="ListNumber"/>
        <w:numPr>
          <w:ilvl w:val="0"/>
          <w:numId w:val="9"/>
        </w:numPr>
      </w:pPr>
      <w:r>
        <w:rPr>
          <w:rFonts w:ascii="Arial" w:hAnsi="Arial"/>
          <w:b/>
          <w:i w:val="0"/>
          <w:color w:val="1E242A"/>
          <w:sz w:val="20"/>
        </w:rPr>
        <w:t>Regional leadership.</w:t>
      </w:r>
      <w:r>
        <w:rPr>
          <w:rFonts w:ascii="Arial" w:hAnsi="Arial"/>
          <w:b w:val="0"/>
          <w:i w:val="0"/>
          <w:color w:val="1E242A"/>
          <w:sz w:val="20"/>
        </w:rPr>
        <w:t xml:space="preserve"> It depends on neighbour consent and can produce balancing or resistance.</w:t>
      </w:r>
    </w:p>
    <w:p>
      <w:pPr>
        <w:pStyle w:val="ListNumber"/>
        <w:numPr>
          <w:ilvl w:val="0"/>
          <w:numId w:val="9"/>
        </w:numPr>
      </w:pPr>
      <w:r>
        <w:rPr>
          <w:rFonts w:ascii="Arial" w:hAnsi="Arial"/>
          <w:b/>
          <w:i w:val="0"/>
          <w:color w:val="1E242A"/>
          <w:sz w:val="20"/>
        </w:rPr>
        <w:t>Partnership and alliance.</w:t>
      </w:r>
      <w:r>
        <w:rPr>
          <w:rFonts w:ascii="Arial" w:hAnsi="Arial"/>
          <w:b w:val="0"/>
          <w:i w:val="0"/>
          <w:color w:val="1E242A"/>
          <w:sz w:val="20"/>
        </w:rPr>
        <w:t xml:space="preserve"> Political “strategic partnership” language does not create mutual-defence obligations.</w:t>
      </w:r>
    </w:p>
    <w:p>
      <w:pPr>
        <w:pStyle w:val="ListNumber"/>
        <w:numPr>
          <w:ilvl w:val="0"/>
          <w:numId w:val="9"/>
        </w:numPr>
      </w:pPr>
      <w:r>
        <w:rPr>
          <w:rFonts w:ascii="Arial" w:hAnsi="Arial"/>
          <w:b/>
          <w:i w:val="0"/>
          <w:color w:val="1E242A"/>
          <w:sz w:val="20"/>
        </w:rPr>
        <w:t>China dependence.</w:t>
      </w:r>
      <w:r>
        <w:rPr>
          <w:rFonts w:ascii="Arial" w:hAnsi="Arial"/>
          <w:b w:val="0"/>
          <w:i w:val="0"/>
          <w:color w:val="1E242A"/>
          <w:sz w:val="20"/>
        </w:rPr>
        <w:t xml:space="preserve"> Exposure is concentrated by commodity and sector; mutual leverage and alternatives matter.</w:t>
      </w:r>
    </w:p>
    <w:p>
      <w:pPr>
        <w:pStyle w:val="ListNumber"/>
        <w:numPr>
          <w:ilvl w:val="0"/>
          <w:numId w:val="9"/>
        </w:numPr>
      </w:pPr>
      <w:r>
        <w:rPr>
          <w:rFonts w:ascii="Arial" w:hAnsi="Arial"/>
          <w:b/>
          <w:i w:val="0"/>
          <w:color w:val="1E242A"/>
          <w:sz w:val="20"/>
        </w:rPr>
        <w:t>Foreign investment restrictions.</w:t>
      </w:r>
      <w:r>
        <w:rPr>
          <w:rFonts w:ascii="Arial" w:hAnsi="Arial"/>
          <w:b w:val="0"/>
          <w:i w:val="0"/>
          <w:color w:val="1E242A"/>
          <w:sz w:val="20"/>
        </w:rPr>
        <w:t xml:space="preserve"> Require current sector-by-sector legal review.</w:t>
      </w:r>
    </w:p>
    <w:p>
      <w:pPr>
        <w:pStyle w:val="ListNumber"/>
        <w:numPr>
          <w:ilvl w:val="0"/>
          <w:numId w:val="9"/>
        </w:numPr>
      </w:pPr>
      <w:r>
        <w:rPr>
          <w:rFonts w:ascii="Arial" w:hAnsi="Arial"/>
          <w:b/>
          <w:i w:val="0"/>
          <w:color w:val="1E242A"/>
          <w:sz w:val="20"/>
        </w:rPr>
        <w:t>Itaipu.</w:t>
      </w:r>
      <w:r>
        <w:rPr>
          <w:rFonts w:ascii="Arial" w:hAnsi="Arial"/>
          <w:b w:val="0"/>
          <w:i w:val="0"/>
          <w:color w:val="1E242A"/>
          <w:sz w:val="20"/>
        </w:rPr>
        <w:t xml:space="preserve"> Contemporary Annex C, tariff and governance details require current bilateral validation.</w:t>
      </w:r>
    </w:p>
    <w:p>
      <w:pPr>
        <w:pStyle w:val="ListNumber"/>
        <w:numPr>
          <w:ilvl w:val="0"/>
          <w:numId w:val="9"/>
        </w:numPr>
      </w:pPr>
      <w:r>
        <w:rPr>
          <w:rFonts w:ascii="Arial" w:hAnsi="Arial"/>
          <w:b/>
          <w:i w:val="0"/>
          <w:color w:val="1E242A"/>
          <w:sz w:val="20"/>
        </w:rPr>
        <w:t>Climate commitments.</w:t>
      </w:r>
      <w:r>
        <w:rPr>
          <w:rFonts w:ascii="Arial" w:hAnsi="Arial"/>
          <w:b w:val="0"/>
          <w:i w:val="0"/>
          <w:color w:val="1E242A"/>
          <w:sz w:val="20"/>
        </w:rPr>
        <w:t xml:space="preserve"> Distinguish treaty procedure, NDC target, domestic law, donor condition and trade rule.</w:t>
      </w:r>
    </w:p>
    <w:p>
      <w:pPr>
        <w:pStyle w:val="ListNumber"/>
        <w:numPr>
          <w:ilvl w:val="0"/>
          <w:numId w:val="9"/>
        </w:numPr>
      </w:pPr>
      <w:r>
        <w:rPr>
          <w:rFonts w:ascii="Arial" w:hAnsi="Arial"/>
          <w:b/>
          <w:i w:val="0"/>
          <w:color w:val="1E242A"/>
          <w:sz w:val="20"/>
        </w:rPr>
        <w:t>International finance.</w:t>
      </w:r>
      <w:r>
        <w:rPr>
          <w:rFonts w:ascii="Arial" w:hAnsi="Arial"/>
          <w:b w:val="0"/>
          <w:i w:val="0"/>
          <w:color w:val="1E242A"/>
          <w:sz w:val="20"/>
        </w:rPr>
        <w:t xml:space="preserve"> Surveillance, project lending and programme conditionality are different relationships.</w:t>
      </w:r>
    </w:p>
    <w:p>
      <w:pPr>
        <w:pStyle w:val="ListNumber"/>
        <w:numPr>
          <w:ilvl w:val="0"/>
          <w:numId w:val="9"/>
        </w:numPr>
      </w:pPr>
      <w:r>
        <w:rPr>
          <w:rFonts w:ascii="Arial" w:hAnsi="Arial"/>
          <w:b/>
          <w:i w:val="0"/>
          <w:color w:val="1E242A"/>
          <w:sz w:val="20"/>
        </w:rPr>
        <w:t>Organisation status.</w:t>
      </w:r>
      <w:r>
        <w:rPr>
          <w:rFonts w:ascii="Arial" w:hAnsi="Arial"/>
          <w:b w:val="0"/>
          <w:i w:val="0"/>
          <w:color w:val="1E242A"/>
          <w:sz w:val="20"/>
        </w:rPr>
        <w:t xml:space="preserve"> BRICS expansion, UN bodies, regional activity and accession states change over time.</w:t>
      </w:r>
    </w:p>
    <w:p>
      <w:pPr>
        <w:pStyle w:val="ListNumber"/>
        <w:numPr>
          <w:ilvl w:val="0"/>
          <w:numId w:val="9"/>
        </w:numPr>
      </w:pPr>
      <w:r>
        <w:rPr>
          <w:rFonts w:ascii="Arial" w:hAnsi="Arial"/>
          <w:b/>
          <w:i w:val="0"/>
          <w:color w:val="1E242A"/>
          <w:sz w:val="20"/>
        </w:rPr>
        <w:t>External-shock causation.</w:t>
      </w:r>
      <w:r>
        <w:rPr>
          <w:rFonts w:ascii="Arial" w:hAnsi="Arial"/>
          <w:b w:val="0"/>
          <w:i w:val="0"/>
          <w:color w:val="1E242A"/>
          <w:sz w:val="20"/>
        </w:rPr>
        <w:t xml:space="preserve"> Market movement and domestic political outcome are mediated; do not assign universal effects.</w:t>
      </w:r>
    </w:p>
    <w:p>
      <w:pPr>
        <w:pStyle w:val="ListNumber"/>
        <w:numPr>
          <w:ilvl w:val="0"/>
          <w:numId w:val="9"/>
        </w:numPr>
      </w:pPr>
      <w:r>
        <w:rPr>
          <w:rFonts w:ascii="Arial" w:hAnsi="Arial"/>
          <w:b/>
          <w:i w:val="0"/>
          <w:color w:val="1E242A"/>
          <w:sz w:val="20"/>
        </w:rPr>
        <w:t>Pass 2.</w:t>
      </w:r>
      <w:r>
        <w:rPr>
          <w:rFonts w:ascii="Arial" w:hAnsi="Arial"/>
          <w:b w:val="0"/>
          <w:i w:val="0"/>
          <w:color w:val="1E242A"/>
          <w:sz w:val="20"/>
        </w:rPr>
        <w:t xml:space="preserve"> The empty file prevents full contradiction testing on tariffs, debt, SOEs and finance.</w:t>
      </w:r>
    </w:p>
    <w:p>
      <w:pPr>
        <w:pStyle w:val="Heading1"/>
      </w:pPr>
      <w:r>
        <w:rPr>
          <w:rFonts w:ascii="Arial" w:hAnsi="Arial"/>
          <w:b w:val="0"/>
          <w:i w:val="0"/>
          <w:color w:val="183752"/>
          <w:sz w:val="34"/>
        </w:rPr>
        <w:t>Source and validation notes</w:t>
      </w:r>
    </w:p>
    <w:p>
      <w:r>
        <w:rPr>
          <w:rFonts w:ascii="Arial" w:hAnsi="Arial"/>
          <w:b w:val="0"/>
          <w:i w:val="0"/>
          <w:color w:val="1E242A"/>
          <w:sz w:val="21"/>
        </w:rPr>
        <w:t>Mechanically consequential authority claims were checked against the Constitution, Planalto statutes and decrees, STF decisions, Mercosur foundational texts, WTO materials and official ministry guidance. Behavioural claims used peer-reviewed international-relations scholarship, FUNAG, IPEA and authoritative international institutions. Contrary evidence was sought on treaty withdrawal, simplified agreements, Itamaraty autonomy, Mercosur unilateral negotiation, sanctions, strategic autonomy and regional leadership.</w:t>
      </w:r>
    </w:p>
    <w:p>
      <w:r>
        <w:rPr>
          <w:rFonts w:ascii="Arial" w:hAnsi="Arial"/>
          <w:b w:val="0"/>
          <w:i w:val="0"/>
          <w:color w:val="1E242A"/>
          <w:sz w:val="21"/>
        </w:rPr>
        <w:t>Research stopped when all requested institutional pathways had primary support, the most important disputes were bounded and remaining gaps concerned instrument-specific application or changing scenario state.</w:t>
      </w:r>
    </w:p>
    <w:p>
      <w:r>
        <w:rPr>
          <w:rFonts w:ascii="Arial" w:hAnsi="Arial"/>
          <w:b w:val="0"/>
          <w:i w:val="0"/>
          <w:color w:val="1E242A"/>
          <w:sz w:val="21"/>
        </w:rPr>
        <w:t xml:space="preserve">The governing conclusion is: </w:t>
      </w:r>
      <w:r>
        <w:rPr>
          <w:rFonts w:ascii="Arial" w:hAnsi="Arial"/>
          <w:b/>
          <w:i w:val="0"/>
          <w:color w:val="1E242A"/>
          <w:sz w:val="21"/>
        </w:rPr>
        <w:t>Brazil can choose what it attempts internationally. It cannot choose how the world responds. Foreign governments must be capable of creating history that reaches Brasília without waiting for the Brazilian President to act first.</w:t>
      </w:r>
    </w:p>
    <w:sectPr>
      <w:headerReference r:id="rId13" w:type="default"/>
      <w:footerReference r:id="rId14"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center"/>
      <w:rPr>
        <w:color w:val="999999"/>
        <w:sz w:val="18"/>
        <w:szCs w:val="18"/>
      </w:rPr>
    </w:pPr>
    <w:r>
      <w:rPr>
        <w:rFonts w:ascii="Arial" w:hAnsi="Arial"/>
        <w:b w:val="0"/>
        <w:i w:val="0"/>
        <w:color w:val="5A636B"/>
        <w:sz w:val="16"/>
      </w:rPr>
      <w:t>Research Pass 5  |  Foreign Policy, Diplomacy, Trade and External Strategic Behaviour  |  3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left"/>
      <w:rPr>
        <w:color w:val="999999"/>
        <w:sz w:val="24"/>
        <w:szCs w:val="24"/>
      </w:rPr>
    </w:pPr>
    <w:r>
      <w:rPr>
        <w:rFonts w:ascii="Arial" w:hAnsi="Arial"/>
        <w:b/>
        <w:i w:val="0"/>
        <w:color w:val="5A636B"/>
        <w:sz w:val="17"/>
      </w:rPr>
      <w:t>SOVEREIGN  |  BRAZIL COUNTRY RESEARCH PROGRAMME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abstractNum w:abstractNumId="2">
    <w:multiLevelType w:val="singleLevel"/>
    <w:lvl w:ilvl="0">
      <w:start w:val="1"/>
      <w:numFmt w:val="bullet"/>
      <w:lvlText w:val="•"/>
      <w:lvlJc w:val="left"/>
      <w:pPr>
        <w:tabs>
          <w:tab w:val="num" w:pos="720"/>
        </w:tabs>
        <w:ind w:left="720" w:hanging="360"/>
      </w:pPr>
    </w:lvl>
  </w:abstractNum>
  <w:num w:numId="2">
    <w:abstractNumId w:val="2"/>
  </w:num>
  <w:abstractNum w:abstractNumId="3">
    <w:multiLevelType w:val="singleLevel"/>
    <w:lvl w:ilvl="0">
      <w:start w:val="1"/>
      <w:numFmt w:val="decimal"/>
      <w:lvlText w:val="%1."/>
      <w:lvlJc w:val="left"/>
      <w:pPr>
        <w:tabs>
          <w:tab w:val="num" w:pos="720"/>
        </w:tabs>
        <w:ind w:left="720" w:hanging="360"/>
      </w:pPr>
    </w:lvl>
  </w:abstractNum>
  <w:num w:numId="3">
    <w:abstractNumId w:val="3"/>
  </w:num>
  <w:abstractNum w:abstractNumId="4">
    <w:multiLevelType w:val="singleLevel"/>
    <w:lvl w:ilvl="0">
      <w:start w:val="1"/>
      <w:numFmt w:val="bullet"/>
      <w:lvlText w:val="•"/>
      <w:lvlJc w:val="left"/>
      <w:pPr>
        <w:tabs>
          <w:tab w:val="num" w:pos="720"/>
        </w:tabs>
        <w:ind w:left="720" w:hanging="360"/>
      </w:pPr>
    </w:lvl>
  </w:abstractNum>
  <w:num w:numId="4">
    <w:abstractNumId w:val="4"/>
  </w:num>
  <w:abstractNum w:abstractNumId="5">
    <w:multiLevelType w:val="singleLevel"/>
    <w:lvl w:ilvl="0">
      <w:start w:val="1"/>
      <w:numFmt w:val="decimal"/>
      <w:lvlText w:val="%1."/>
      <w:lvlJc w:val="left"/>
      <w:pPr>
        <w:tabs>
          <w:tab w:val="num" w:pos="720"/>
        </w:tabs>
        <w:ind w:left="720" w:hanging="360"/>
      </w:pPr>
    </w:lvl>
  </w:abstractNum>
  <w:num w:numId="5">
    <w:abstractNumId w:val="5"/>
  </w:num>
  <w:abstractNum w:abstractNumId="6">
    <w:multiLevelType w:val="singleLevel"/>
    <w:lvl w:ilvl="0">
      <w:start w:val="1"/>
      <w:numFmt w:val="bullet"/>
      <w:lvlText w:val="•"/>
      <w:lvlJc w:val="left"/>
      <w:pPr>
        <w:tabs>
          <w:tab w:val="num" w:pos="720"/>
        </w:tabs>
        <w:ind w:left="720" w:hanging="360"/>
      </w:pPr>
    </w:lvl>
  </w:abstractNum>
  <w:num w:numId="6">
    <w:abstractNumId w:val="6"/>
  </w:num>
  <w:abstractNum w:abstractNumId="7">
    <w:multiLevelType w:val="singleLevel"/>
    <w:lvl w:ilvl="0">
      <w:start w:val="1"/>
      <w:numFmt w:val="decimal"/>
      <w:lvlText w:val="%1."/>
      <w:lvlJc w:val="left"/>
      <w:pPr>
        <w:tabs>
          <w:tab w:val="num" w:pos="720"/>
        </w:tabs>
        <w:ind w:left="720" w:hanging="360"/>
      </w:pPr>
    </w:lvl>
  </w:abstractNum>
  <w:num w:numId="7">
    <w:abstractNumId w:val="7"/>
  </w:num>
  <w:abstractNum w:abstractNumId="8">
    <w:multiLevelType w:val="singleLevel"/>
    <w:lvl w:ilvl="0">
      <w:start w:val="1"/>
      <w:numFmt w:val="bullet"/>
      <w:lvlText w:val="•"/>
      <w:lvlJc w:val="left"/>
      <w:pPr>
        <w:tabs>
          <w:tab w:val="num" w:pos="720"/>
        </w:tabs>
        <w:ind w:left="720" w:hanging="360"/>
      </w:pPr>
    </w:lvl>
  </w:abstractNum>
  <w:num w:numId="8">
    <w:abstractNumId w:val="8"/>
  </w:num>
  <w:abstractNum w:abstractNumId="9">
    <w:multiLevelType w:val="singleLevel"/>
    <w:lvl w:ilvl="0">
      <w:start w:val="1"/>
      <w:numFmt w:val="decimal"/>
      <w:lvlText w:val="%1."/>
      <w:lvlJc w:val="left"/>
      <w:pPr>
        <w:tabs>
          <w:tab w:val="num" w:pos="720"/>
        </w:tabs>
        <w:ind w:left="720" w:hanging="360"/>
      </w:pPr>
    </w:lvl>
  </w:abstract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updateFields w:val="true"/>
  <w:updateField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w:hAnsi="Arial"/>
      <w:color w:val="1E242A"/>
      <w:sz w:val="21"/>
    </w:rPr>
  </w:style>
  <w:style w:type="paragraph" w:styleId="Heading1">
    <w:name w:val="heading 1"/>
    <w:basedOn w:val="Normal"/>
    <w:next w:val="Normal"/>
    <w:pPr>
      <w:keepNext/>
      <w:keepLines w:val="1"/>
      <w:spacing w:after="140" w:before="320" w:lineRule="auto"/>
    </w:pPr>
    <w:rPr>
      <w:rFonts w:ascii="Arial" w:hAnsi="Arial"/>
      <w:b/>
      <w:color w:val="183752"/>
      <w:sz w:val="34"/>
      <w:szCs w:val="40"/>
    </w:rPr>
  </w:style>
  <w:style w:type="paragraph" w:styleId="Heading2">
    <w:name w:val="heading 2"/>
    <w:basedOn w:val="Normal"/>
    <w:next w:val="Normal"/>
    <w:pPr>
      <w:keepNext/>
      <w:keepLines w:val="1"/>
      <w:spacing w:after="100" w:before="240" w:lineRule="auto"/>
    </w:pPr>
    <w:rPr>
      <w:rFonts w:ascii="Arial" w:hAnsi="Arial"/>
      <w:b/>
      <w:color w:val="2C5F80"/>
      <w:sz w:val="27"/>
      <w:szCs w:val="32"/>
    </w:rPr>
  </w:style>
  <w:style w:type="paragraph" w:styleId="Heading3">
    <w:name w:val="heading 3"/>
    <w:basedOn w:val="Normal"/>
    <w:next w:val="Normal"/>
    <w:pPr>
      <w:keepNext/>
      <w:keepLines w:val="1"/>
      <w:spacing w:after="60" w:before="160" w:lineRule="auto"/>
    </w:pPr>
    <w:rPr>
      <w:rFonts w:ascii="Arial" w:hAnsi="Arial"/>
      <w:b/>
      <w:color w:val="183752"/>
      <w:sz w:val="23"/>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200" w:lineRule="auto" w:before="0"/>
    </w:pPr>
    <w:rPr>
      <w:rFonts w:ascii="Arial" w:hAnsi="Arial"/>
      <w:b/>
      <w:color w:val="183752"/>
      <w:sz w:val="56"/>
      <w:szCs w:val="52"/>
    </w:rPr>
  </w:style>
  <w:style w:type="paragraph" w:styleId="Subtitle">
    <w:name w:val="Subtitle"/>
    <w:basedOn w:val="Normal"/>
    <w:next w:val="Normal"/>
    <w:pPr>
      <w:keepNext/>
      <w:keepLines w:val="1"/>
      <w:spacing w:after="240" w:lineRule="auto" w:before="0"/>
    </w:pPr>
    <w:rPr>
      <w:rFonts w:ascii="Arial" w:hAnsi="Arial"/>
      <w:b w:val="0"/>
      <w:color w:val="5A636B"/>
      <w:sz w:val="26"/>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basedOn w:val="Normal"/>
    <w:pPr>
      <w:spacing w:after="60" w:line="269" w:lineRule="auto"/>
    </w:pPr>
    <w:rPr>
      <w:rFonts w:ascii="Arial" w:hAnsi="Arial"/>
      <w:sz w:val="20"/>
    </w:rPr>
  </w:style>
  <w:style w:type="paragraph" w:customStyle="1" w:styleId="ListNumber">
    <w:name w:val="List Number"/>
    <w:basedOn w:val="Normal"/>
    <w:pPr>
      <w:spacing w:after="60" w:line="269" w:lineRule="auto"/>
    </w:pPr>
    <w:rPr>
      <w:rFonts w:ascii="Arial" w:hAnsi="Arial"/>
      <w:sz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www2.camara.leg.br/legin/fed/consti/1988/constituicao-1988-5-outubro-1988-322142-normaatualizada-pl.html" TargetMode="External"/><Relationship Id="rId15" Type="http://schemas.openxmlformats.org/officeDocument/2006/relationships/hyperlink" Target="https://doi.org/10.1590/S0102-64451998000200005" TargetMode="External"/><Relationship Id="rId16" Type="http://schemas.openxmlformats.org/officeDocument/2006/relationships/hyperlink" Target="https://www12.senado.leg.br/ril/edicoes/61/242/ril_v61_n242_p11" TargetMode="External"/><Relationship Id="rId17" Type="http://schemas.openxmlformats.org/officeDocument/2006/relationships/hyperlink" Target="https://www.scielo.br/j/bpsr/a/rwXz4YfqcJmSsZ8zyxgG8hd/" TargetMode="External"/><Relationship Id="rId18" Type="http://schemas.openxmlformats.org/officeDocument/2006/relationships/hyperlink" Target="https://www.planalto.gov.br/ccivil_03/constituicao/constituicao.htm" TargetMode="External"/><Relationship Id="rId19" Type="http://schemas.openxmlformats.org/officeDocument/2006/relationships/hyperlink" Target="https://portal.stf.jus.br/constituicao-supremo/artigo.asp?abrirArtigo=84&amp;abrirBase=CF" TargetMode="External"/><Relationship Id="rId20" Type="http://schemas.openxmlformats.org/officeDocument/2006/relationships/hyperlink" Target="https://www.scielo.br/j/rinc/a/w6HH7Z8CjKyQnZqGtxqCXry/?lang=en" TargetMode="External"/><Relationship Id="rId21" Type="http://schemas.openxmlformats.org/officeDocument/2006/relationships/hyperlink" Target="https://portal.stf.jus.br/noticias/verNoticiaDetalhe.asp?idConteudo=506827&amp;ori=1" TargetMode="External"/><Relationship Id="rId22" Type="http://schemas.openxmlformats.org/officeDocument/2006/relationships/hyperlink" Target="https://legis.senado.leg.br/norma/561120/publicacao/15678176" TargetMode="External"/><Relationship Id="rId23" Type="http://schemas.openxmlformats.org/officeDocument/2006/relationships/hyperlink" Target="https://doi.org/10.1093/slr/hmv011" TargetMode="External"/><Relationship Id="rId24" Type="http://schemas.openxmlformats.org/officeDocument/2006/relationships/hyperlink" Target="https://www.planalto.gov.br/ccivil_03/_ato2023-2026/2024/decreto/d12002.htm" TargetMode="External"/><Relationship Id="rId25" Type="http://schemas.openxmlformats.org/officeDocument/2006/relationships/hyperlink" Target="https://www12.senado.leg.br/orcamento/legislacao-orcamentaria" TargetMode="External"/><Relationship Id="rId26" Type="http://schemas.openxmlformats.org/officeDocument/2006/relationships/hyperlink" Target="https://legis.senado.leg.br/norma/39857130/publicacao/39857348" TargetMode="External"/><Relationship Id="rId27" Type="http://schemas.openxmlformats.org/officeDocument/2006/relationships/hyperlink" Target="https://portal.stf.jus.br/noticias/verNoticiaDetalhe.asp?idConteudo=499330" TargetMode="External"/><Relationship Id="rId28" Type="http://schemas.openxmlformats.org/officeDocument/2006/relationships/hyperlink" Target="https://www.planalto.gov.br/ccivil_03/leis/lcp/lcp97compilado.htm" TargetMode="External"/><Relationship Id="rId29" Type="http://schemas.openxmlformats.org/officeDocument/2006/relationships/hyperlink" Target="https://portal.stf.jus.br/noticias/verNoticiaDetalhe.asp?idConteudo=531731&amp;ori=1" TargetMode="External"/><Relationship Id="rId30" Type="http://schemas.openxmlformats.org/officeDocument/2006/relationships/hyperlink" Target="https://www2.camara.leg.br/atividade-legislativa/legislacao/Constituicoes_Brasileiras/constituicao-cidada/constituicao-federal/index.html/CF1988.html" TargetMode="External"/><Relationship Id="rId31" Type="http://schemas.openxmlformats.org/officeDocument/2006/relationships/hyperlink" Target="https://planalto.gov.br/ccivil_03/_ato2015-2018/2018/decreto/d9288.htm" TargetMode="External"/><Relationship Id="rId32" Type="http://schemas.openxmlformats.org/officeDocument/2006/relationships/hyperlink" Target="https://noticias.stf.jus.br/postsnoticias/stf-confirma-manutencao-de-numero-de-deputados-federais-para-2026/" TargetMode="External"/><Relationship Id="rId33" Type="http://schemas.openxmlformats.org/officeDocument/2006/relationships/hyperlink" Target="https://www2.camara.leg.br/a-camara/presidencia/atribuicoes" TargetMode="External"/><Relationship Id="rId34" Type="http://schemas.openxmlformats.org/officeDocument/2006/relationships/hyperlink" Target="https://www2.camara.leg.br/atividade-legislativa/legislacao/regimento-interno-da-camara-dos-deputados/arquivos-1/RICDatualizadoatRCD342026.pdf/view" TargetMode="External"/><Relationship Id="rId35" Type="http://schemas.openxmlformats.org/officeDocument/2006/relationships/hyperlink" Target="https://portal.stf.jus.br/noticias/verNoticiaDetalhe.asp?idConteudo=435436&amp;ori=" TargetMode="External"/><Relationship Id="rId36" Type="http://schemas.openxmlformats.org/officeDocument/2006/relationships/hyperlink" Target="https://www.planalto.gov.br/ccivil_03/leis/l9882.htm" TargetMode="External"/><Relationship Id="rId37" Type="http://schemas.openxmlformats.org/officeDocument/2006/relationships/hyperlink" Target="https://www.planalto.gov.br/ccivil_03/leis/l9868.htm" TargetMode="External"/><Relationship Id="rId38" Type="http://schemas.openxmlformats.org/officeDocument/2006/relationships/hyperlink" Target="https://portal.stf.jus.br/noticias/verNoticiaDetalhe.asp?idConteudo=441447" TargetMode="External"/><Relationship Id="rId39" Type="http://schemas.openxmlformats.org/officeDocument/2006/relationships/hyperlink" Target="https://portal.stf.jus.br/noticias/verNoticiaDetalhe.asp?idConteudo=489997&amp;ori=" TargetMode="External"/><Relationship Id="rId40" Type="http://schemas.openxmlformats.org/officeDocument/2006/relationships/hyperlink" Target="https://portal.stf.jus.br/processos/detalhe.asp?incidente=6996131" TargetMode="External"/><Relationship Id="rId41" Type="http://schemas.openxmlformats.org/officeDocument/2006/relationships/hyperlink" Target="https://portal.stf.jus.br/noticias/verNoticiaDetalhe.asp?idConteudo=515220" TargetMode="External"/><Relationship Id="rId42" Type="http://schemas.openxmlformats.org/officeDocument/2006/relationships/hyperlink" Target="https://portal.stf.jus.br/noticias/verNoticiaDetalhe.asp?idConteudo=447103" TargetMode="External"/><Relationship Id="rId43" Type="http://schemas.openxmlformats.org/officeDocument/2006/relationships/hyperlink" Target="https://planalto.gov.br/ccivil_03/leis/lcp/lcp141.htm" TargetMode="External"/><Relationship Id="rId44" Type="http://schemas.openxmlformats.org/officeDocument/2006/relationships/hyperlink" Target="https://planalto.gov.br/ccivil_03/_ato2019-2022/2020/lei/l14113.htm" TargetMode="External"/><Relationship Id="rId45" Type="http://schemas.openxmlformats.org/officeDocument/2006/relationships/hyperlink" Target="https://www.planalto.gov.br/ccivil_03/constituicao/constituicaocompilado.htm" TargetMode="External"/><Relationship Id="rId46" Type="http://schemas.openxmlformats.org/officeDocument/2006/relationships/hyperlink" Target="https://www.planalto.gov.br/ccivil_03/leis/lcp/lcp214.htm" TargetMode="External"/><Relationship Id="rId47" Type="http://schemas.openxmlformats.org/officeDocument/2006/relationships/hyperlink" Target="https://www.planalto.gov.br/ccivil_03/leis/lcp/lcp140.htm" TargetMode="External"/><Relationship Id="rId48" Type="http://schemas.openxmlformats.org/officeDocument/2006/relationships/hyperlink" Target="https://www.gov.br/tesouronacional/pt-br/estados-e-municipios/transferencias-a-estados-e-municipios/transferencias-constitucionais-e-legais" TargetMode="External"/><Relationship Id="rId49" Type="http://schemas.openxmlformats.org/officeDocument/2006/relationships/hyperlink" Target="https://www.gov.br/igualdaderacial/pt-br/acesso-a-informacao/convenios-e-transferencias/transferencias-voluntarias" TargetMode="External"/><Relationship Id="rId50" Type="http://schemas.openxmlformats.org/officeDocument/2006/relationships/hyperlink" Target="https://www.planalto.gov.br/ccivil_03/_ato2004-2006/2005/lei/l11107.htm" TargetMode="External"/><Relationship Id="rId51" Type="http://schemas.openxmlformats.org/officeDocument/2006/relationships/hyperlink" Target="https://www.oecd.org/en/publications/auditing-decentralised-policies-in-brazil_30023307-en/full-report/auditing-decentralised-policies-the-challenges-for-brazil_a9470cda.html" TargetMode="External"/><Relationship Id="rId52" Type="http://schemas.openxmlformats.org/officeDocument/2006/relationships/hyperlink" Target="https://www.oecd.org/content/dam/oecd/en/publications/reports/2022/06/centre-of-government-review-of-brazil_c0cd0766/33d996b2-en.pdf" TargetMode="External"/><Relationship Id="rId53" Type="http://schemas.openxmlformats.org/officeDocument/2006/relationships/hyperlink" Target="https://planalto.gov.br/ccivil_03/decreto-lei/del0200.htm" TargetMode="External"/><Relationship Id="rId54" Type="http://schemas.openxmlformats.org/officeDocument/2006/relationships/hyperlink" Target="https://www.planalto.gov.br/ccivil_03/_ato2023-2026/2023/lei/l14600.htm" TargetMode="External"/><Relationship Id="rId55" Type="http://schemas.openxmlformats.org/officeDocument/2006/relationships/hyperlink" Target="https://www.planalto.gov.br/ccivil_03/_ato2019-2022/2019/lei/l13848.htm" TargetMode="External"/><Relationship Id="rId56" Type="http://schemas.openxmlformats.org/officeDocument/2006/relationships/hyperlink" Target="https://portal.tcu.gov.br/imprensa/noticias/secao-das-sessoes-2026-02-11" TargetMode="External"/><Relationship Id="rId57" Type="http://schemas.openxmlformats.org/officeDocument/2006/relationships/hyperlink" Target="https://www.planalto.gov.br/ccivil_03/leis/lcp/lcp179.htm" TargetMode="External"/><Relationship Id="rId58" Type="http://schemas.openxmlformats.org/officeDocument/2006/relationships/hyperlink" Target="https://www.planalto.gov.br/ccivil_03/_ato2015-2018/2016/lei/l13303.htm" TargetMode="External"/><Relationship Id="rId59" Type="http://schemas.openxmlformats.org/officeDocument/2006/relationships/hyperlink" Target="https://www.planalto.gov.br/ccivil_03/leis/l9504compilado.htm" TargetMode="External"/><Relationship Id="rId60" Type="http://schemas.openxmlformats.org/officeDocument/2006/relationships/hyperlink" Target="https://www.tse.jus.br/comunicacao/noticias/2026/Abril/por-dentro-das-eleicoes-brasil-utiliza-sistemas-eleitorais-majoritario-e-proporcional" TargetMode="External"/><Relationship Id="rId61" Type="http://schemas.openxmlformats.org/officeDocument/2006/relationships/hyperlink" Target="https://www.tse.jus.br/legislacao/codigo-eleitoral/codigo-eleitoral-1/codigo-eleitoral-lei-nb0-4.737-de-15-de-julho-de-1965" TargetMode="External"/><Relationship Id="rId62" Type="http://schemas.openxmlformats.org/officeDocument/2006/relationships/hyperlink" Target="https://www.tse.jus.br/comunicacao/noticias/2022/Fevereiro/eleicoes-2022-resolucao-do-tse-regulamenta-federacoes-partidarias" TargetMode="External"/><Relationship Id="rId63" Type="http://schemas.openxmlformats.org/officeDocument/2006/relationships/hyperlink" Target="https://www.tse.jus.br/comunicacao/noticias/2026/Junho/clausula-de-desempenho-deve-influenciar-cenario-partidario-nas-eleicoes-2026" TargetMode="External"/><Relationship Id="rId64" Type="http://schemas.openxmlformats.org/officeDocument/2006/relationships/hyperlink" Target="https://www.tse.jus.br/legislacao/codigo-eleitoral/lei-dos-partidos-politicos/lei-dos-partidos-politicos-lei-nb0-9.096-de-19-de-setembro-de-1995" TargetMode="External"/><Relationship Id="rId65" Type="http://schemas.openxmlformats.org/officeDocument/2006/relationships/hyperlink" Target="https://planalto.gov.br/ccivil_03/_ato2023-2026/2026/lei/l15358.htm" TargetMode="External"/><Relationship Id="rId66" Type="http://schemas.openxmlformats.org/officeDocument/2006/relationships/hyperlink" Target="https://www.planalto.gov.br/ccivil_03/leis/2002/l10446.htm" TargetMode="External"/><Relationship Id="rId67" Type="http://schemas.openxmlformats.org/officeDocument/2006/relationships/hyperlink" Target="https://www.planalto.gov.br/ccivil_03/_ato2015-2018/2018/lei/l13675.htm" TargetMode="External"/><Relationship Id="rId68" Type="http://schemas.openxmlformats.org/officeDocument/2006/relationships/hyperlink" Target="https://planalto.gov.br/ccivil_03/leis/l9266.htm" TargetMode="External"/><Relationship Id="rId69" Type="http://schemas.openxmlformats.org/officeDocument/2006/relationships/hyperlink" Target="https://www.planalto.gov.br/ccivil_03/_ato2023-2026/2023/decreto/d11348.htm" TargetMode="External"/><Relationship Id="rId70" Type="http://schemas.openxmlformats.org/officeDocument/2006/relationships/hyperlink" Target="https://www.gov.br/pf/pt-br/acesso-a-informacao/institucional/competencias" TargetMode="External"/><Relationship Id="rId71" Type="http://schemas.openxmlformats.org/officeDocument/2006/relationships/hyperlink" Target="https://portal.stf.jus.br/constituicao-supremo/artigo.asp?abrirArtigo=144&amp;abrirBase=CF" TargetMode="External"/><Relationship Id="rId72" Type="http://schemas.openxmlformats.org/officeDocument/2006/relationships/hyperlink" Target="https://portal.stf.jus.br/jurisprudenciaRepercussao/verAndamentoProcesso.asp?classeProcesso=RE&amp;incidente=2641697&amp;numeroProcesso=593727&amp;numeroTema=184.+" TargetMode="External"/><Relationship Id="rId73" Type="http://schemas.openxmlformats.org/officeDocument/2006/relationships/hyperlink" Target="https://www.planalto.gov.br/ccivil_03/decreto-lei/del3689compilado.htm" TargetMode="External"/><Relationship Id="rId74" Type="http://schemas.openxmlformats.org/officeDocument/2006/relationships/hyperlink" Target="https://planalto.gov.br/ccivil_03/leis/l9296.htm" TargetMode="External"/><Relationship Id="rId75" Type="http://schemas.openxmlformats.org/officeDocument/2006/relationships/hyperlink" Target="https://noticias.stf.jus.br/postsnoticias/adpf-das-favelas-stf-homologa-parcialmente-plano-do-estado-do-rio-de-janeiro-para-reduzir-letalidade-policial/" TargetMode="External"/><Relationship Id="rId76" Type="http://schemas.openxmlformats.org/officeDocument/2006/relationships/hyperlink" Target="https://planalto.gov.br/ccivil_03/_ato2011-2014/2013/lei/l12850.htm" TargetMode="External"/><Relationship Id="rId77" Type="http://schemas.openxmlformats.org/officeDocument/2006/relationships/hyperlink" Target="https://www.gov.br/senappen/pt-br/assuntos/noticias/lei-antifaccao-e-tema-de-audiencia-publica-no-supremo-tribunal-federal" TargetMode="External"/><Relationship Id="rId78" Type="http://schemas.openxmlformats.org/officeDocument/2006/relationships/hyperlink" Target="https://planalto.gov.br/ccivil_03/leis/l9613compilado.htm" TargetMode="External"/><Relationship Id="rId79" Type="http://schemas.openxmlformats.org/officeDocument/2006/relationships/hyperlink" Target="https://planalto.gov.br/ccivil_03/_ato2004-2006/2006/lei/l11343.htm" TargetMode="External"/><Relationship Id="rId80" Type="http://schemas.openxmlformats.org/officeDocument/2006/relationships/hyperlink" Target="https://www.planalto.gov.br/ccivil_03/leis/l7560compilado.htm" TargetMode="External"/><Relationship Id="rId81" Type="http://schemas.openxmlformats.org/officeDocument/2006/relationships/hyperlink" Target="https://www.planalto.gov.br/ccivil_03/_ato2015-2018/2018/lei/l13756compilado.htm" TargetMode="External"/><Relationship Id="rId82" Type="http://schemas.openxmlformats.org/officeDocument/2006/relationships/hyperlink" Target="https://www.planalto.gov.br/ccivil_03/_ato2019-2022/2020/lei/l13974.htm" TargetMode="External"/><Relationship Id="rId83" Type="http://schemas.openxmlformats.org/officeDocument/2006/relationships/hyperlink" Target="https://www.gov.br/coaf/pt-br/assuntos/noticias/ultimas-noticias/atencao-o-coaf-nao-bloqueia-libera-ou-retem-dinheiro-bens-ou-qualquer-outro-tipo-de-recurso-financeiro" TargetMode="External"/><Relationship Id="rId84" Type="http://schemas.openxmlformats.org/officeDocument/2006/relationships/hyperlink" Target="https://portal.stf.jus.br/jurisprudenciaRepercussao/verPronunciamento.asp?pronunciamento=9176586" TargetMode="External"/><Relationship Id="rId85" Type="http://schemas.openxmlformats.org/officeDocument/2006/relationships/hyperlink" Target="https://portal.stf.jus.br/jurisprudenciaRepercussao/tema.asp?num=1404" TargetMode="External"/><Relationship Id="rId86" Type="http://schemas.openxmlformats.org/officeDocument/2006/relationships/hyperlink" Target="https://noticias.stf.jus.br/postsnoticias/stf-fixa-regras-para-uso-de-relatorios-do-coaf-e-proibe-pesca-probatoria/" TargetMode="External"/><Relationship Id="rId87" Type="http://schemas.openxmlformats.org/officeDocument/2006/relationships/hyperlink" Target="https://www.fatf-gafi.org/en/publications/Mutualevaluations/Brazil-mer-2023.html" TargetMode="External"/><Relationship Id="rId88" Type="http://schemas.openxmlformats.org/officeDocument/2006/relationships/hyperlink" Target="https://planalto.gov.br/ccivil_03/leis/l9883.htm" TargetMode="External"/><Relationship Id="rId89" Type="http://schemas.openxmlformats.org/officeDocument/2006/relationships/hyperlink" Target="https://www.planalto.gov.br/ccivil_03/_ato2023-2026/2023/decreto/d11816.htm" TargetMode="External"/><Relationship Id="rId90" Type="http://schemas.openxmlformats.org/officeDocument/2006/relationships/hyperlink" Target="https://www.planalto.gov.br/ccivil_03/_ato2023-2026/2023/decreto/d11693.htm" TargetMode="External"/><Relationship Id="rId91" Type="http://schemas.openxmlformats.org/officeDocument/2006/relationships/hyperlink" Target="https://legis.senado.gov.br/norma/561150/publicacao/15611900" TargetMode="External"/><Relationship Id="rId92" Type="http://schemas.openxmlformats.org/officeDocument/2006/relationships/hyperlink" Target="https://portal.stf.jus.br/noticias/verNoticiaDetalhe.asp?idConteudo=449549&amp;ori=1" TargetMode="External"/><Relationship Id="rId93" Type="http://schemas.openxmlformats.org/officeDocument/2006/relationships/hyperlink" Target="https://noticias.stf.jus.br/postsnoticias/a-pedido-da-pf-stf-autoriza-prisoes-afastamentos-e-buscas-para-apurar-monitoramento-ilegal-de-pessoas-e-autoridades-publicas/" TargetMode="External"/><Relationship Id="rId94" Type="http://schemas.openxmlformats.org/officeDocument/2006/relationships/hyperlink" Target="https://planalto.gov.br/ccivil_03/_ato2015-2018/2017/lei/l13445.htm" TargetMode="External"/><Relationship Id="rId95" Type="http://schemas.openxmlformats.org/officeDocument/2006/relationships/hyperlink" Target="https://www.planalto.gov.br/ccivil_03/_ato2007-2010/2009/decreto/d6759.htm" TargetMode="External"/><Relationship Id="rId96" Type="http://schemas.openxmlformats.org/officeDocument/2006/relationships/hyperlink" Target="https://www.gov.br/defesa/pt-br/assuntos/exercicios-e-operacoes/operacoes-conjuntas/operacao-agata-1" TargetMode="External"/><Relationship Id="rId97" Type="http://schemas.openxmlformats.org/officeDocument/2006/relationships/hyperlink" Target="https://www.gov.br/senappen/pt-br/acesso-a-informacao/institucional" TargetMode="External"/><Relationship Id="rId98" Type="http://schemas.openxmlformats.org/officeDocument/2006/relationships/hyperlink" Target="https://www.planalto.gov.br/ccivil_03/_ato2007-2010/2008/lei/l11671.htm" TargetMode="External"/><Relationship Id="rId99" Type="http://schemas.openxmlformats.org/officeDocument/2006/relationships/hyperlink" Target="https://planalto.gov.br/ccivil_03/_ato2007-2010/2009/decreto/d6877.htm" TargetMode="External"/><Relationship Id="rId100" Type="http://schemas.openxmlformats.org/officeDocument/2006/relationships/hyperlink" Target="https://www.planalto.gov.br/ccivil_03/leis/l7210compilado.htm" TargetMode="External"/><Relationship Id="rId101" Type="http://schemas.openxmlformats.org/officeDocument/2006/relationships/hyperlink" Target="https://www.cambridge.org/core/journals/american-political-science-review/article/legitimacy-in-criminal-governance-managing-a-drug-empire-from-behind-bars/15AA260804337B58B4A75EAF469457F6" TargetMode="External"/><Relationship Id="rId102" Type="http://schemas.openxmlformats.org/officeDocument/2006/relationships/hyperlink" Target="https://www.planalto.gov.br/ccivil_03/_ato2004-2006/2004/lei/l10.937.htm" TargetMode="External"/><Relationship Id="rId103" Type="http://schemas.openxmlformats.org/officeDocument/2006/relationships/hyperlink" Target="https://www.planalto.gov.br/ccivil_03/_ato2007-2010/2007/lei/l11631.htm" TargetMode="External"/><Relationship Id="rId104" Type="http://schemas.openxmlformats.org/officeDocument/2006/relationships/hyperlink" Target="https://www.planalto.gov.br/ccivil_03/_ato2015-2018/2016/lei/l13260.htm" TargetMode="External"/><Relationship Id="rId105" Type="http://schemas.openxmlformats.org/officeDocument/2006/relationships/hyperlink" Target="https://www.planalto.gov.br/ccivil_03/_ato2019-2022/2021/lei/l14197.htm" TargetMode="External"/><Relationship Id="rId106" Type="http://schemas.openxmlformats.org/officeDocument/2006/relationships/hyperlink" Target="https://www.planalto.gov.br/ccivil_03/_ato2011-2014/2014/lei/l13060.htm" TargetMode="External"/><Relationship Id="rId107" Type="http://schemas.openxmlformats.org/officeDocument/2006/relationships/hyperlink" Target="https://planalto.gov.br/ccivil_03/_ato2023-2026/2024/decreto/d12341.htm" TargetMode="External"/><Relationship Id="rId108" Type="http://schemas.openxmlformats.org/officeDocument/2006/relationships/hyperlink" Target="https://www.planalto.gov.br/ccivil_03/_ato2004-2006/2004/decreto/d5289compilado.htm" TargetMode="External"/><Relationship Id="rId109" Type="http://schemas.openxmlformats.org/officeDocument/2006/relationships/hyperlink" Target="https://www.unodc.org/cofrb/uploads/documents/CDESC/Boletim_Amazonia_EN_WEB.pdf" TargetMode="External"/><Relationship Id="rId110" Type="http://schemas.openxmlformats.org/officeDocument/2006/relationships/hyperlink" Target="https://jied.lse.ac.uk/articles/291" TargetMode="External"/><Relationship Id="rId111" Type="http://schemas.openxmlformats.org/officeDocument/2006/relationships/hyperlink" Target="https://www.unodc.org/documents/data-and-analysis/cocaine/Global_cocaine_report_2023.pdf" TargetMode="External"/><Relationship Id="rId112" Type="http://schemas.openxmlformats.org/officeDocument/2006/relationships/hyperlink" Target="https://publicacoes.forumseguranca.org.br/items/c86febd3-e26f-487f-a561-623ac825863a" TargetMode="External"/><Relationship Id="rId113" Type="http://schemas.openxmlformats.org/officeDocument/2006/relationships/hyperlink" Target="https://www.columbia.edu/~gjw10/CheibubLimongi.pdf" TargetMode="External"/><Relationship Id="rId114" Type="http://schemas.openxmlformats.org/officeDocument/2006/relationships/hyperlink" Target="https://brazilianpoliticalsciencereview.org/article/informal-coalitions-in-action-party-legislative-performance-in-brazilian-presidentialism/" TargetMode="External"/><Relationship Id="rId115" Type="http://schemas.openxmlformats.org/officeDocument/2006/relationships/hyperlink" Target="https://journals.sagepub.com/doi/10.1177/1866802X1801000304" TargetMode="External"/><Relationship Id="rId116" Type="http://schemas.openxmlformats.org/officeDocument/2006/relationships/hyperlink" Target="https://doaj.org/article/014db81a742a457584f76f82b8ef612c" TargetMode="External"/><Relationship Id="rId117" Type="http://schemas.openxmlformats.org/officeDocument/2006/relationships/hyperlink" Target="https://doi.org/10.1177/13540688231168603" TargetMode="External"/><Relationship Id="rId118" Type="http://schemas.openxmlformats.org/officeDocument/2006/relationships/hyperlink" Target="https://journals.sagepub.com/doi/abs/10.1177/13540688261466129" TargetMode="External"/><Relationship Id="rId119" Type="http://schemas.openxmlformats.org/officeDocument/2006/relationships/hyperlink" Target="https://www2.camara.leg.br/legin/fed/rescad/1989/resolucaodacamaradosdeputados-17-21-setembro-1989-320110-normaatualizada-pl.html" TargetMode="External"/><Relationship Id="rId120" Type="http://schemas.openxmlformats.org/officeDocument/2006/relationships/hyperlink" Target="https://socialsciences.scielo.org/scielo.php?pid=S0011-52582006000200008&amp;script=sci_arttext" TargetMode="External"/><Relationship Id="rId121" Type="http://schemas.openxmlformats.org/officeDocument/2006/relationships/hyperlink" Target="http://www.fgv.br/cpdoc/acervo/dicionarios/verbete-tematico/centrao" TargetMode="External"/><Relationship Id="rId122" Type="http://schemas.openxmlformats.org/officeDocument/2006/relationships/hyperlink" Target="https://www2.camara.leg.br/atividade-legislativa/comissoes/comissoes-temporarias/parlamentar-de-inquerito/o-papel" TargetMode="External"/><Relationship Id="rId123" Type="http://schemas.openxmlformats.org/officeDocument/2006/relationships/hyperlink" Target="https://doi.org/10.1590/S0102-69092013000100007" TargetMode="External"/><Relationship Id="rId124" Type="http://schemas.openxmlformats.org/officeDocument/2006/relationships/hyperlink" Target="https://www.tse.jus.br/legislacao/compilada/res/2021/resolucao-no-23-677-de-16-de-dezembro-de-2021" TargetMode="External"/><Relationship Id="rId125" Type="http://schemas.openxmlformats.org/officeDocument/2006/relationships/hyperlink" Target="https://www.tse.jus.br/comunicacao/noticias/2024/Junho/se-liga-coligacoes-partidarias-so-podem-ser-feitas-para-as-eleicoes-majoritarias" TargetMode="External"/><Relationship Id="rId126" Type="http://schemas.openxmlformats.org/officeDocument/2006/relationships/hyperlink" Target="https://www.tse.jus.br/comunicacao/noticias/2026/Marco/eleicoes-2026-confira-as-principais-datas-do-calendario-eleitoral" TargetMode="External"/><Relationship Id="rId127" Type="http://schemas.openxmlformats.org/officeDocument/2006/relationships/hyperlink" Target="https://doi.org/10.1111/0022-3816.00012" TargetMode="External"/><Relationship Id="rId128" Type="http://schemas.openxmlformats.org/officeDocument/2006/relationships/hyperlink" Target="https://www.sciencedirect.com/science/article/abs/pii/S0261379420301219" TargetMode="External"/><Relationship Id="rId129" Type="http://schemas.openxmlformats.org/officeDocument/2006/relationships/hyperlink" Target="https://www.scielo.br/j/dados/a/LvPXMNgKZHkDYdjyVYS6Bmm/?lang=pt" TargetMode="External"/><Relationship Id="rId130" Type="http://schemas.openxmlformats.org/officeDocument/2006/relationships/hyperlink" Target="https://agenciadenoticias.ibge.gov.br/media/com_mediaibge/arquivos/855a3629fa899131c4a14da82bbda8b0.pdf" TargetMode="External"/><Relationship Id="rId131" Type="http://schemas.openxmlformats.org/officeDocument/2006/relationships/hyperlink" Target="https://www.scielo.br/j/dados/a/s9mYZz4LxXt5D4Rrkks9mMp/" TargetMode="External"/><Relationship Id="rId132" Type="http://schemas.openxmlformats.org/officeDocument/2006/relationships/hyperlink" Target="https://www.scielo.br/j/bpsr/a/7p4F9jKtMjmx9w8QQmCSv3c/" TargetMode="External"/><Relationship Id="rId133" Type="http://schemas.openxmlformats.org/officeDocument/2006/relationships/hyperlink" Target="https://www.scielo.br/j/rbcpol/a/NCBGGc5zkj5LrLcHRDVkPtP/" TargetMode="External"/><Relationship Id="rId134" Type="http://schemas.openxmlformats.org/officeDocument/2006/relationships/hyperlink" Target="https://reutersinstitute.politics.ox.ac.uk/digital-news-report/2025/brazil" TargetMode="External"/><Relationship Id="rId135" Type="http://schemas.openxmlformats.org/officeDocument/2006/relationships/hyperlink" Target="https://www.scielo.br/j/interc/a/JB3zHccN7KnHJXTwsRj8WjF/?format=html&amp;lang=pt" TargetMode="External"/><Relationship Id="rId136" Type="http://schemas.openxmlformats.org/officeDocument/2006/relationships/hyperlink" Target="https://www.tse.jus.br/legislacao/compilada/res/2024/resolucao-no-23-732-de-27-de-fevereiro-de-2024" TargetMode="External"/><Relationship Id="rId137" Type="http://schemas.openxmlformats.org/officeDocument/2006/relationships/hyperlink" Target="https://www.oecd.org/en/publications/2025/10/oecd-integrity-review-of-brazil-2025_4ccf6d1f.html" TargetMode="External"/><Relationship Id="rId138" Type="http://schemas.openxmlformats.org/officeDocument/2006/relationships/hyperlink" Target="https://www.gov.br/cgu/pt-br/assuntos/prevencao-da-corrupcao/transparencia-de-agendas/transparencia-de-agendas" TargetMode="External"/><Relationship Id="rId139" Type="http://schemas.openxmlformats.org/officeDocument/2006/relationships/hyperlink" Target="https://doi.org/10.1111/lsq.12372" TargetMode="External"/><Relationship Id="rId140" Type="http://schemas.openxmlformats.org/officeDocument/2006/relationships/hyperlink" Target="https://www.planalto.gov.br/ccivil_03/leis/l1079.htm" TargetMode="External"/><Relationship Id="rId141" Type="http://schemas.openxmlformats.org/officeDocument/2006/relationships/hyperlink" Target="https://www2.senado.leg.br/bdsf/handle/id/598842" TargetMode="External"/><Relationship Id="rId142" Type="http://schemas.openxmlformats.org/officeDocument/2006/relationships/hyperlink" Target="https://www4.planalto.gov.br/legislacao/legis-federal/constituicao" TargetMode="External"/><Relationship Id="rId143" Type="http://schemas.openxmlformats.org/officeDocument/2006/relationships/hyperlink" Target="https://www.gov.br/mdic/pt-br/acesso-a-informacao/perguntas-frequentes-faq/secretaria-de-comercio-exterior/negociacoes-internacionais-quais-sao-as" TargetMode="External"/><Relationship Id="rId144" Type="http://schemas.openxmlformats.org/officeDocument/2006/relationships/hyperlink" Target="https://portal.stf.jus.br/noticias/verNoticiaDetalhe.asp?idConteudo=509163&amp;tip=UN" TargetMode="External"/><Relationship Id="rId145" Type="http://schemas.openxmlformats.org/officeDocument/2006/relationships/hyperlink" Target="https://www.planalto.gov.br/ccivil_03/_ato2004-2006/2006/lei/l11440.htm" TargetMode="External"/><Relationship Id="rId146" Type="http://schemas.openxmlformats.org/officeDocument/2006/relationships/hyperlink" Target="https://www.planalto.gov.br/ccivil_03/_ato2023-2026/2023/decreto/d11357.htm" TargetMode="External"/><Relationship Id="rId147" Type="http://schemas.openxmlformats.org/officeDocument/2006/relationships/hyperlink" Target="https://journals.sagepub.com/doi/10.1177/0192512109102432" TargetMode="External"/><Relationship Id="rId148" Type="http://schemas.openxmlformats.org/officeDocument/2006/relationships/hyperlink" Target="https://www.planalto.gov.br/ccivil_03/decreto/1990-1994/d0350.htm" TargetMode="External"/><Relationship Id="rId149" Type="http://schemas.openxmlformats.org/officeDocument/2006/relationships/hyperlink" Target="https://www.planalto.gov.br/ccivil_03/decreto/d1901.htm" TargetMode="External"/><Relationship Id="rId150" Type="http://schemas.openxmlformats.org/officeDocument/2006/relationships/hyperlink" Target="https://www.planalto.gov.br/ccivil_03/_ato2004-2006/2004/decreto/d4982.htm" TargetMode="External"/><Relationship Id="rId151" Type="http://schemas.openxmlformats.org/officeDocument/2006/relationships/hyperlink" Target="https://www.gov.br/mdic/pt-br/assuntos/camex/a-camex" TargetMode="External"/><Relationship Id="rId152" Type="http://schemas.openxmlformats.org/officeDocument/2006/relationships/hyperlink" Target="https://www.wto.org/english/tratop_e/tpr_e/s432_e.pdf" TargetMode="External"/><Relationship Id="rId153" Type="http://schemas.openxmlformats.org/officeDocument/2006/relationships/hyperlink" Target="https://www.planalto.gov.br/ccivil_03/_ato2019-2022/2019/lei/l13810.htm" TargetMode="External"/><Relationship Id="rId154" Type="http://schemas.openxmlformats.org/officeDocument/2006/relationships/hyperlink" Target="https://repositorio.ipea.gov.br/bitstreams/42a597ab-622e-41f0-8440-057d2b81035f/download" TargetMode="External"/><Relationship Id="rId155" Type="http://schemas.openxmlformats.org/officeDocument/2006/relationships/hyperlink" Target="https://www.gov.br/siscomex/pt-br/acordos-comerciais/mercosul-uniao-europeia" TargetMode="External"/><Relationship Id="rId156" Type="http://schemas.openxmlformats.org/officeDocument/2006/relationships/hyperlink" Target="https://brics.br/en/about-the-brics/frequently-asked-questions-about-the-brics" TargetMode="External"/><Relationship Id="rId157" Type="http://schemas.openxmlformats.org/officeDocument/2006/relationships/hyperlink" Target="https://www.ndb.int/about-ndb/members/" TargetMode="External"/><Relationship Id="rId158" Type="http://schemas.openxmlformats.org/officeDocument/2006/relationships/hyperlink" Target="https://www.un.org/en/ga/screform/" TargetMode="External"/><Relationship Id="rId159" Type="http://schemas.openxmlformats.org/officeDocument/2006/relationships/hyperlink" Target="https://funag.gov.br/biblioteca-nova/pdf/mostraPdf/1/92/cadernos_de_politica_exterior_-_ano_3_._numero_6_._segundo_semestre_de_2017" TargetMode="External"/><Relationship Id="rId160" Type="http://schemas.openxmlformats.org/officeDocument/2006/relationships/hyperlink" Target="https://www.bcb.gov.br/meubc/faqs/s/investimento" TargetMode="External"/><Relationship Id="rId161" Type="http://schemas.openxmlformats.org/officeDocument/2006/relationships/hyperlink" Target="https://www.planalto.gov.br/ccivil_03/decreto/antigos/d72707.htm" TargetMode="External"/><Relationship Id="rId162" Type="http://schemas.openxmlformats.org/officeDocument/2006/relationships/hyperlink" Target="https://unfccc.int/sites/default/files/2024-11/Brazil_Second%20Nationally%20Determined%20Contribution%20%28NDC%29_November2024.pdf" TargetMode="External"/><Relationship Id="rId163" Type="http://schemas.openxmlformats.org/officeDocument/2006/relationships/hyperlink" Target="https://www.amazonfund.gov.br/en/amazon-fund/Governance/COFA/" TargetMode="External"/><Relationship Id="rId164" Type="http://schemas.openxmlformats.org/officeDocument/2006/relationships/hyperlink" Target="https://www.gov.br/defesa/pt-br/acesso-a-informacao/publicacoes/publicacoes-de-politica-e-estrategia-nacional-de-defesa/politica-nacional-de-defesa-e-estrategia-nacional-de-defesa-v6-1.pdf" TargetMode="External"/><Relationship Id="rId165" Type="http://schemas.openxmlformats.org/officeDocument/2006/relationships/hyperlink" Target="https://www.planalto.gov.br/ccivil_03/_ato2015-2018/2017/lei/l13445.htm" TargetMode="External"/><Relationship Id="rId166" Type="http://schemas.openxmlformats.org/officeDocument/2006/relationships/hyperlink" Target="https://www.gov.br/mj/pt-br/acesso-a-informacao/atuacao-internacional/legislacao-traduzida/lei_n__9-474__de_22_de_julho_de_1997_ingles_final-doc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Sovereign Brazil Research Pass 5</dc:title>
  <cp:lastModifiedBy>python-docx</cp:lastModifiedBy>
  <cp:revision>1</cp:revision>
  <dcterms:modified xsi:type="dcterms:W3CDTF">2026-09-03T19:36:22Z</dcterms:modified>
  <dc:subject>Foreign Policy, Diplomacy, Trade, International Institutions and External Strategic Behaviour</dc:subject>
  <dc:creator>Sovereign Country Research Programme</dc:creator>
  <cp:keywords>Brazil, foreign policy, diplomacy, trade, Mercosur, international institutions, strategic autonomy</cp:keywords>
</cp:coreProperties>
</file>