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left"/>
      </w:pPr>
      <w:r>
        <w:rPr>
          <w:rFonts w:ascii="Arial" w:hAnsi="Arial"/>
          <w:b w:val="0"/>
          <w:i w:val="0"/>
          <w:color w:val="183752"/>
          <w:sz w:val="56"/>
        </w:rPr>
        <w:t>Sovereign Brazil — Research Pass 6</w:t>
      </w:r>
    </w:p>
    <w:p>
      <w:pPr>
        <w:pStyle w:val="Subtitle"/>
      </w:pPr>
      <w:r>
        <w:rPr>
          <w:rFonts w:ascii="Arial" w:hAnsi="Arial"/>
          <w:b w:val="0"/>
          <w:i w:val="0"/>
          <w:color w:val="5A636B"/>
          <w:sz w:val="26"/>
        </w:rPr>
        <w:t>Political History, Government Decisions, Policy Precedents and Institutional Experience</w:t>
      </w:r>
    </w:p>
    <w:p>
      <w:r>
        <w:rPr>
          <w:rFonts w:ascii="Arial" w:hAnsi="Arial"/>
          <w:b/>
          <w:i w:val="0"/>
          <w:color w:val="1E242A"/>
          <w:sz w:val="21"/>
        </w:rPr>
        <w:t>Research cutoff:</w:t>
      </w:r>
      <w:r>
        <w:rPr>
          <w:rFonts w:ascii="Arial" w:hAnsi="Arial"/>
          <w:b w:val="0"/>
          <w:i w:val="0"/>
          <w:color w:val="1E242A"/>
          <w:sz w:val="21"/>
        </w:rPr>
        <w:t xml:space="preserve"> 3 September 2026</w:t>
      </w:r>
    </w:p>
    <w:p>
      <w:r>
        <w:rPr>
          <w:rFonts w:ascii="Arial" w:hAnsi="Arial"/>
          <w:b/>
          <w:i w:val="0"/>
          <w:color w:val="1E242A"/>
          <w:sz w:val="21"/>
        </w:rPr>
        <w:t>Status:</w:t>
      </w:r>
      <w:r>
        <w:rPr>
          <w:rFonts w:ascii="Arial" w:hAnsi="Arial"/>
          <w:b w:val="0"/>
          <w:i w:val="0"/>
          <w:color w:val="1E242A"/>
          <w:sz w:val="21"/>
        </w:rPr>
        <w:t xml:space="preserve"> research dossier for later synthesis; historical experience, not a policy recipe</w:t>
      </w:r>
    </w:p>
    <w:p>
      <w:r>
        <w:rPr>
          <w:rFonts w:ascii="Arial" w:hAnsi="Arial"/>
          <w:b/>
          <w:i w:val="0"/>
          <w:color w:val="1E242A"/>
          <w:sz w:val="21"/>
        </w:rPr>
        <w:t>Governing question:</w:t>
      </w:r>
      <w:r>
        <w:rPr>
          <w:rFonts w:ascii="Arial" w:hAnsi="Arial"/>
          <w:b w:val="0"/>
          <w:i w:val="0"/>
          <w:color w:val="1E242A"/>
          <w:sz w:val="21"/>
        </w:rPr>
        <w:t xml:space="preserve"> What must a president, government, political adviser or autonomous government understand in order to make a plausible decision in Brazil?</w:t>
      </w:r>
    </w:p>
    <w:p>
      <w:pPr>
        <w:pStyle w:val="Heading2"/>
      </w:pPr>
      <w:r>
        <w:rPr>
          <w:rFonts w:ascii="Arial" w:hAnsi="Arial"/>
          <w:b w:val="0"/>
          <w:i w:val="0"/>
          <w:color w:val="2C5F80"/>
          <w:sz w:val="27"/>
        </w:rPr>
        <w:t>Classification and evidence key</w:t>
      </w:r>
    </w:p>
    <w:p>
      <w:pPr>
        <w:pStyle w:val="ListBullet"/>
        <w:numPr>
          <w:ilvl w:val="0"/>
          <w:numId w:val="2"/>
        </w:numPr>
      </w:pPr>
      <w:r>
        <w:rPr>
          <w:rFonts w:ascii="Arial" w:hAnsi="Arial"/>
          <w:b/>
          <w:i w:val="0"/>
          <w:color w:val="1E242A"/>
          <w:sz w:val="20"/>
        </w:rPr>
        <w:t>FORMAL RULE</w:t>
      </w:r>
      <w:r>
        <w:rPr>
          <w:rFonts w:ascii="Arial" w:hAnsi="Arial"/>
          <w:b w:val="0"/>
          <w:i w:val="0"/>
          <w:color w:val="1E242A"/>
          <w:sz w:val="20"/>
        </w:rPr>
        <w:t xml:space="preserve"> — law or binding institutional procedure applicable in the period stated.</w:t>
      </w:r>
    </w:p>
    <w:p>
      <w:pPr>
        <w:pStyle w:val="ListBullet"/>
        <w:numPr>
          <w:ilvl w:val="0"/>
          <w:numId w:val="2"/>
        </w:numPr>
      </w:pPr>
      <w:r>
        <w:rPr>
          <w:rFonts w:ascii="Arial" w:hAnsi="Arial"/>
          <w:b/>
          <w:i w:val="0"/>
          <w:color w:val="1E242A"/>
          <w:sz w:val="20"/>
        </w:rPr>
        <w:t>POLITICAL PRACTICE</w:t>
      </w:r>
      <w:r>
        <w:rPr>
          <w:rFonts w:ascii="Arial" w:hAnsi="Arial"/>
          <w:b w:val="0"/>
          <w:i w:val="0"/>
          <w:color w:val="1E242A"/>
          <w:sz w:val="20"/>
        </w:rPr>
        <w:t xml:space="preserve"> — recurrent behaviour not compelled by law.</w:t>
      </w:r>
    </w:p>
    <w:p>
      <w:pPr>
        <w:pStyle w:val="ListBullet"/>
        <w:numPr>
          <w:ilvl w:val="0"/>
          <w:numId w:val="2"/>
        </w:numPr>
      </w:pPr>
      <w:r>
        <w:rPr>
          <w:rFonts w:ascii="Arial" w:hAnsi="Arial"/>
          <w:b/>
          <w:i w:val="0"/>
          <w:color w:val="1E242A"/>
          <w:sz w:val="20"/>
        </w:rPr>
        <w:t>HISTORICAL EXPERIENCE</w:t>
      </w:r>
      <w:r>
        <w:rPr>
          <w:rFonts w:ascii="Arial" w:hAnsi="Arial"/>
          <w:b w:val="0"/>
          <w:i w:val="0"/>
          <w:color w:val="1E242A"/>
          <w:sz w:val="20"/>
        </w:rPr>
        <w:t xml:space="preserve"> — an observed action, institutional chain and aftermath in a specified context.</w:t>
      </w:r>
    </w:p>
    <w:p>
      <w:pPr>
        <w:pStyle w:val="ListBullet"/>
        <w:numPr>
          <w:ilvl w:val="0"/>
          <w:numId w:val="2"/>
        </w:numPr>
      </w:pPr>
      <w:r>
        <w:rPr>
          <w:rFonts w:ascii="Arial" w:hAnsi="Arial"/>
          <w:b/>
          <w:i w:val="0"/>
          <w:color w:val="1E242A"/>
          <w:sz w:val="20"/>
        </w:rPr>
        <w:t>SCENARIO-SPECIFIC</w:t>
      </w:r>
      <w:r>
        <w:rPr>
          <w:rFonts w:ascii="Arial" w:hAnsi="Arial"/>
          <w:b w:val="0"/>
          <w:i w:val="0"/>
          <w:color w:val="1E242A"/>
          <w:sz w:val="20"/>
        </w:rPr>
        <w:t xml:space="preserve"> — a condition true at the cutoff, not permanent Country Knowledge.</w:t>
      </w:r>
    </w:p>
    <w:p>
      <w:pPr>
        <w:pStyle w:val="ListBullet"/>
        <w:numPr>
          <w:ilvl w:val="0"/>
          <w:numId w:val="2"/>
        </w:numPr>
      </w:pPr>
      <w:r>
        <w:rPr>
          <w:rFonts w:ascii="Arial" w:hAnsi="Arial"/>
          <w:b/>
          <w:i w:val="0"/>
          <w:color w:val="1E242A"/>
          <w:sz w:val="20"/>
        </w:rPr>
        <w:t>GOVERNMENT ACTION INSTRUMENT</w:t>
      </w:r>
      <w:r>
        <w:rPr>
          <w:rFonts w:ascii="Arial" w:hAnsi="Arial"/>
          <w:b w:val="0"/>
          <w:i w:val="0"/>
          <w:color w:val="1E242A"/>
          <w:sz w:val="20"/>
        </w:rPr>
        <w:t xml:space="preserve"> — a legally or administratively distinct route a government used or could attempt.</w:t>
      </w:r>
    </w:p>
    <w:p>
      <w:pPr>
        <w:pStyle w:val="ListBullet"/>
        <w:numPr>
          <w:ilvl w:val="0"/>
          <w:numId w:val="2"/>
        </w:numPr>
      </w:pPr>
      <w:r>
        <w:rPr>
          <w:rFonts w:ascii="Arial" w:hAnsi="Arial"/>
          <w:b/>
          <w:i w:val="0"/>
          <w:color w:val="1E242A"/>
          <w:sz w:val="20"/>
        </w:rPr>
        <w:t>INDEPENDENT OR NON-PRESIDENTIAL ACTOR CAPABILITY</w:t>
      </w:r>
      <w:r>
        <w:rPr>
          <w:rFonts w:ascii="Arial" w:hAnsi="Arial"/>
          <w:b w:val="0"/>
          <w:i w:val="0"/>
          <w:color w:val="1E242A"/>
          <w:sz w:val="20"/>
        </w:rPr>
        <w:t xml:space="preserve"> — action belonging to Congress, courts, subnational government, regulators, prosecutors or another autonomous actor.</w:t>
      </w:r>
    </w:p>
    <w:p>
      <w:pPr>
        <w:pStyle w:val="ListBullet"/>
        <w:numPr>
          <w:ilvl w:val="0"/>
          <w:numId w:val="2"/>
        </w:numPr>
      </w:pPr>
      <w:r>
        <w:rPr>
          <w:rFonts w:ascii="Arial" w:hAnsi="Arial"/>
          <w:b/>
          <w:i w:val="0"/>
          <w:color w:val="1E242A"/>
          <w:sz w:val="20"/>
        </w:rPr>
        <w:t>Causal confidence:</w:t>
      </w:r>
      <w:r>
        <w:rPr>
          <w:rFonts w:ascii="Arial" w:hAnsi="Arial"/>
          <w:b w:val="0"/>
          <w:i w:val="0"/>
          <w:color w:val="1E242A"/>
          <w:sz w:val="20"/>
        </w:rPr>
        <w:t xml:space="preserve"> High means credible designs or convergent evidence isolate an important effect; Moderate means attribution is plausible but materially confounded; Low means the record establishes sequence or feasibility, not effect.</w:t>
      </w:r>
    </w:p>
    <w:p>
      <w:pPr>
        <w:pStyle w:val="Heading1"/>
      </w:pPr>
      <w:r>
        <w:rPr>
          <w:rFonts w:ascii="Arial" w:hAnsi="Arial"/>
          <w:b w:val="0"/>
          <w:i w:val="0"/>
          <w:color w:val="183752"/>
          <w:sz w:val="34"/>
        </w:rPr>
        <w:t>Executive synthesis</w:t>
      </w:r>
    </w:p>
    <w:p>
      <w:r>
        <w:rPr>
          <w:rFonts w:ascii="Arial" w:hAnsi="Arial"/>
          <w:b w:val="0"/>
          <w:i w:val="0"/>
          <w:color w:val="1E242A"/>
          <w:sz w:val="21"/>
        </w:rPr>
        <w:t>Brazilian governing history under the 1988 Constitution shows neither an all-powerful presidency nor paralysis by default. Presidents repeatedly achieved large reforms, but ordinarily by combining agenda powers with congressional coalition-building, legal sequencing, budget authority, administrative capacity and cooperation from institutions they did not command. Enactment and implementation are separate achievements. Constitutional amendments on pensions, fiscal rules and taxation emerged after bargaining changed proposals, distributed losses, preserved exceptions or shifted ownership toward Congress.</w:t>
      </w:r>
    </w:p>
    <w:p>
      <w:r>
        <w:rPr>
          <w:rFonts w:ascii="Arial" w:hAnsi="Arial"/>
          <w:b w:val="0"/>
          <w:i w:val="0"/>
          <w:color w:val="1E242A"/>
          <w:sz w:val="21"/>
        </w:rPr>
        <w:t>The most instructive economic precedent is the Real Plan. Its distinctive chain was preparation rather than surprise: partial fiscal measures, a non-confiscatory unit of account (URV), daily conversion, a planned currency transition, public communication and later institutional reinforcement. Inflation fell after the real's introduction, but exchange-rate policy, high interest rates, trade opening, fiscal conditions and favourable or adverse external finance also shaped costs and durability. The historical conclusion is not “introduce a currency”; it is that credibility, sequencing and operational execution can determine whether a formally available stabilisation instrument works.</w:t>
      </w:r>
    </w:p>
    <w:p>
      <w:r>
        <w:rPr>
          <w:rFonts w:ascii="Arial" w:hAnsi="Arial"/>
          <w:b w:val="0"/>
          <w:i w:val="0"/>
          <w:color w:val="1E242A"/>
          <w:sz w:val="21"/>
        </w:rPr>
        <w:t>Fiscal history is iterative. The Fiscal Responsibility Law (LRF) imposed transparency, planning and limits across the federation; the 2016 expenditure ceiling constitutionally constrained federal primary expenditure; and LC 200/2023 replaced that framework with expenditure-growth limits linked to revenue and fiscal targets. Each framework altered choices without depoliticising them. Exceptions, constitutional amendments, revenue measures, budget rigidities and congressional control of allocations repeatedly changed implementation.</w:t>
      </w:r>
    </w:p>
    <w:p>
      <w:r>
        <w:rPr>
          <w:rFonts w:ascii="Arial" w:hAnsi="Arial"/>
          <w:b w:val="0"/>
          <w:i w:val="0"/>
          <w:color w:val="1E242A"/>
          <w:sz w:val="21"/>
        </w:rPr>
        <w:t>Social policy illustrates durable administrative infrastructure. Bolsa Família consolidated earlier transfers around the Cadastro Único and municipal implementation. Research attributes meaningful poverty and inequality reduction to a relatively small fiscal outlay, while outcomes also depended on labour income and the wider economy. Congress's 2020 emergency-aid legislation, implemented through federal registers and Caixa's digital accounts, showed that Congress can enlarge an executive proposal and that pre-existing delivery systems can make rapid mass support possible. Coverage speed also generated exclusion, fraud and data-quality problems.</w:t>
      </w:r>
    </w:p>
    <w:p>
      <w:r>
        <w:rPr>
          <w:rFonts w:ascii="Arial" w:hAnsi="Arial"/>
          <w:b w:val="0"/>
          <w:i w:val="0"/>
          <w:color w:val="1E242A"/>
          <w:sz w:val="21"/>
        </w:rPr>
        <w:t>Federalism is a causal condition, not background decoration. Pandemic health measures, Amazon enforcement, public security, infrastructure and tax reform all required action by multiple levels of government. In ADI 6341 the STF protected state and municipal competence to adopt public-health measures; the result was concurrent capacity, not a judicial transfer of all pandemic responsibility away from the Union. The 2018 federal intervention in Rio demonstrated that the Union can temporarily assume a state's public-security command through a constitutionally exceptional route, but a command change did not cure long-term fiscal, policing and governance weaknesses.</w:t>
      </w:r>
    </w:p>
    <w:p>
      <w:r>
        <w:rPr>
          <w:rFonts w:ascii="Arial" w:hAnsi="Arial"/>
          <w:b w:val="0"/>
          <w:i w:val="0"/>
          <w:color w:val="1E242A"/>
          <w:sz w:val="21"/>
        </w:rPr>
        <w:t>Political survival cases show interacting conditions. Collor and Dilma lost office only after allegations entered a constitutional process and broad legislative support for removal formed amid collapsing coalitions, low approval, public mobilisation and adverse economic or investigative environments. Conversely, Temer survived two Chamber votes on criminal accusations by maintaining enough congressional support despite very low approval. No single approval, protest, scandal or economic threshold mechanically produces impeachment.</w:t>
      </w:r>
    </w:p>
    <w:p>
      <w:r>
        <w:rPr>
          <w:rFonts w:ascii="Arial" w:hAnsi="Arial"/>
          <w:b w:val="0"/>
          <w:i w:val="0"/>
          <w:color w:val="1E242A"/>
          <w:sz w:val="21"/>
        </w:rPr>
        <w:t>Courts, prosecutors, police, audit institutions and Congress have produced policy rather than merely checked it. Mensalão and Lava Jato displayed substantial investigative and adjudicative capacity, but Lava Jato's later jurisdictional annulments and the STF finding of Sergio Moro's partiality show that anti-corruption outcomes depend on lawful forum and procedure. The policy lesson is dual: autonomy can expose executive-linked wrongdoing, and procedural overreach can invalidate years of work and alter legitimacy.</w:t>
      </w:r>
    </w:p>
    <w:p>
      <w:r>
        <w:rPr>
          <w:rFonts w:ascii="Arial" w:hAnsi="Arial"/>
          <w:b w:val="0"/>
          <w:i w:val="0"/>
          <w:color w:val="1E242A"/>
          <w:sz w:val="21"/>
        </w:rPr>
        <w:t>External policy precedents reinforce that Brazil controls its offer, not the counterpart. The WTO Upland Cotton dispute converted technical, legal and coalition capacity into authorised retaliation and a negotiated settlement. The 2010 Iran–Turkey declaration showed the opposite limit: even a negotiated text may fail when pivotal external actors reject the approach. Foreign commitments can also require domestic regulation, budget, private compliance and subnational implementation.</w:t>
      </w:r>
    </w:p>
    <w:p>
      <w:pPr>
        <w:pStyle w:val="Heading1"/>
      </w:pPr>
      <w:r>
        <w:rPr>
          <w:rFonts w:ascii="Arial" w:hAnsi="Arial"/>
          <w:b w:val="0"/>
          <w:i w:val="0"/>
          <w:color w:val="183752"/>
          <w:sz w:val="34"/>
        </w:rPr>
        <w:t>1. Method, scope and cross-pass integration</w:t>
      </w:r>
    </w:p>
    <w:p>
      <w:r>
        <w:rPr>
          <w:rFonts w:ascii="Arial" w:hAnsi="Arial"/>
          <w:b w:val="0"/>
          <w:i w:val="0"/>
          <w:color w:val="1E242A"/>
          <w:sz w:val="21"/>
        </w:rPr>
        <w:t>This pass selects precedent families for decision relevance and evidentiary depth rather than fame. Each case distinguishes objective, institutional route, implementation, actor response, outcomes and limits on causal inference. Quantities are tied to their dates and scope. Later rule changes are noted so that historical authority is not projected backward or forward.</w:t>
      </w:r>
    </w:p>
    <w:p>
      <w:r>
        <w:rPr>
          <w:rFonts w:ascii="Arial" w:hAnsi="Arial"/>
          <w:b w:val="0"/>
          <w:i w:val="0"/>
          <w:color w:val="1E242A"/>
          <w:sz w:val="21"/>
        </w:rPr>
        <w:t>Pass 1 supplies the constitutional map for presidential instruments, Congress, courts and federal intervention. Pass 3 supplies the division of security authority and the asset/enforcement chain. Pass 4 supplies coalition, party, protest, media and impeachment context. Pass 5 supplies foreign-policy authority, Mercosur, trade and international institutions. The supplied Pass 2 file was empty and therefore could not be cross-validated; economic and fiscal propositions here were independently checked against primary legislation, BCB, Treasury, IPEA, TCU and international or academic evaluations, but formal reconciliation should occur in the final Brazil synthesis.</w:t>
      </w:r>
    </w:p>
    <w:p>
      <w:r>
        <w:rPr>
          <w:rFonts w:ascii="Arial" w:hAnsi="Arial"/>
          <w:b w:val="0"/>
          <w:i w:val="0"/>
          <w:color w:val="1E242A"/>
          <w:sz w:val="21"/>
        </w:rPr>
        <w:t>The source hierarchy is claim-specific. Planalto legislation and constitutional amendments establish formal instruments; Câmara and Senado records establish votes and legislative sequence; STF records establish holdings; BCB, IBGE, IPEA, TCU and ministries establish programme design or observed implementation; peer-reviewed and institutional evaluations carry causal interpretation. Official retrospectives are useful for institutional sequence but are not treated as neutral causal evaluations.</w:t>
      </w:r>
    </w:p>
    <w:p>
      <w:pPr>
        <w:pStyle w:val="Heading1"/>
      </w:pPr>
      <w:r>
        <w:rPr>
          <w:rFonts w:ascii="Arial" w:hAnsi="Arial"/>
          <w:b w:val="0"/>
          <w:i w:val="0"/>
          <w:color w:val="183752"/>
          <w:sz w:val="34"/>
        </w:rPr>
        <w:t>2. Precedent-family map</w:t>
      </w:r>
    </w:p>
    <w:tbl>
      <w:tblPr>
        <w:tblW w:type="dxa" w:w="9360"/>
        <w:jc w:val="center"/>
        <w:tblLayout w:type="fixed"/>
        <w:tblLook w:firstColumn="1" w:firstRow="1" w:lastColumn="0" w:lastRow="0" w:noHBand="0" w:noVBand="1" w:val="04A0"/>
        <w:tblInd w:type="dxa" w:w="120"/>
      </w:tblPr>
      <w:tblGrid>
        <w:gridCol w:w="1560"/>
        <w:gridCol w:w="1560"/>
        <w:gridCol w:w="1560"/>
        <w:gridCol w:w="1560"/>
        <w:gridCol w:w="1560"/>
        <w:gridCol w:w="1560"/>
      </w:tblGrid>
      <w:tr>
        <w:trPr>
          <w:tblHeader w:val="true"/>
          <w:cantSplit/>
        </w:trPr>
        <w:tc>
          <w:tcPr>
            <w:tcW w:type="dxa" w:w="1560"/>
            <w:vAlign w:val="top"/>
            <w:shd w:fill="EAF1F5"/>
          </w:tcPr>
          <w:p>
            <w:r/>
            <w:r>
              <w:rPr>
                <w:rFonts w:ascii="Arial" w:hAnsi="Arial"/>
                <w:b w:val="0"/>
                <w:i w:val="0"/>
                <w:color w:val="183752"/>
                <w:sz w:val="16"/>
              </w:rPr>
              <w:t>ID</w:t>
            </w:r>
          </w:p>
        </w:tc>
        <w:tc>
          <w:tcPr>
            <w:tcW w:type="dxa" w:w="1560"/>
            <w:vAlign w:val="top"/>
            <w:shd w:fill="EAF1F5"/>
          </w:tcPr>
          <w:p>
            <w:r/>
            <w:r>
              <w:rPr>
                <w:rFonts w:ascii="Arial" w:hAnsi="Arial"/>
                <w:b w:val="0"/>
                <w:i w:val="0"/>
                <w:color w:val="183752"/>
                <w:sz w:val="16"/>
              </w:rPr>
              <w:t>Period</w:t>
            </w:r>
          </w:p>
        </w:tc>
        <w:tc>
          <w:tcPr>
            <w:tcW w:type="dxa" w:w="1560"/>
            <w:vAlign w:val="top"/>
            <w:shd w:fill="EAF1F5"/>
          </w:tcPr>
          <w:p>
            <w:r/>
            <w:r>
              <w:rPr>
                <w:rFonts w:ascii="Arial" w:hAnsi="Arial"/>
                <w:b w:val="0"/>
                <w:i w:val="0"/>
                <w:color w:val="183752"/>
                <w:sz w:val="16"/>
              </w:rPr>
              <w:t>Governing problem</w:t>
            </w:r>
          </w:p>
        </w:tc>
        <w:tc>
          <w:tcPr>
            <w:tcW w:type="dxa" w:w="1560"/>
            <w:vAlign w:val="top"/>
            <w:shd w:fill="EAF1F5"/>
          </w:tcPr>
          <w:p>
            <w:r/>
            <w:r>
              <w:rPr>
                <w:rFonts w:ascii="Arial" w:hAnsi="Arial"/>
                <w:b w:val="0"/>
                <w:i w:val="0"/>
                <w:color w:val="183752"/>
                <w:sz w:val="16"/>
              </w:rPr>
              <w:t>Action family and principal route</w:t>
            </w:r>
          </w:p>
        </w:tc>
        <w:tc>
          <w:tcPr>
            <w:tcW w:type="dxa" w:w="1560"/>
            <w:vAlign w:val="top"/>
            <w:shd w:fill="EAF1F5"/>
          </w:tcPr>
          <w:p>
            <w:r/>
            <w:r>
              <w:rPr>
                <w:rFonts w:ascii="Arial" w:hAnsi="Arial"/>
                <w:b w:val="0"/>
                <w:i w:val="0"/>
                <w:color w:val="183752"/>
                <w:sz w:val="16"/>
              </w:rPr>
              <w:t>What the record supports</w:t>
            </w:r>
          </w:p>
        </w:tc>
        <w:tc>
          <w:tcPr>
            <w:tcW w:type="dxa" w:w="1560"/>
            <w:vAlign w:val="top"/>
            <w:shd w:fill="EAF1F5"/>
          </w:tcPr>
          <w:p>
            <w:r/>
            <w:r>
              <w:rPr>
                <w:rFonts w:ascii="Arial" w:hAnsi="Arial"/>
                <w:b w:val="0"/>
                <w:i w:val="0"/>
                <w:color w:val="183752"/>
                <w:sz w:val="16"/>
              </w:rPr>
              <w:t>Confidence</w:t>
            </w:r>
          </w:p>
        </w:tc>
      </w:tr>
      <w:tr>
        <w:trPr>
          <w:cantSplit/>
        </w:trPr>
        <w:tc>
          <w:tcPr>
            <w:tcW w:type="dxa" w:w="1560"/>
            <w:vAlign w:val="top"/>
          </w:tcPr>
          <w:p>
            <w:r/>
            <w:r>
              <w:rPr>
                <w:rFonts w:ascii="Arial" w:hAnsi="Arial"/>
                <w:b w:val="0"/>
                <w:i w:val="0"/>
                <w:color w:val="1E242A"/>
                <w:sz w:val="16"/>
              </w:rPr>
              <w:t>P01</w:t>
            </w:r>
          </w:p>
        </w:tc>
        <w:tc>
          <w:tcPr>
            <w:tcW w:type="dxa" w:w="1560"/>
            <w:vAlign w:val="top"/>
          </w:tcPr>
          <w:p>
            <w:r/>
            <w:r>
              <w:rPr>
                <w:rFonts w:ascii="Arial" w:hAnsi="Arial"/>
                <w:b w:val="0"/>
                <w:i w:val="0"/>
                <w:color w:val="1E242A"/>
                <w:sz w:val="16"/>
              </w:rPr>
              <w:t>1986–94</w:t>
            </w:r>
          </w:p>
        </w:tc>
        <w:tc>
          <w:tcPr>
            <w:tcW w:type="dxa" w:w="1560"/>
            <w:vAlign w:val="top"/>
          </w:tcPr>
          <w:p>
            <w:r/>
            <w:r>
              <w:rPr>
                <w:rFonts w:ascii="Arial" w:hAnsi="Arial"/>
                <w:b w:val="0"/>
                <w:i w:val="0"/>
                <w:color w:val="1E242A"/>
                <w:sz w:val="16"/>
              </w:rPr>
              <w:t>Chronic high inflation and failed heterodox plans</w:t>
            </w:r>
          </w:p>
        </w:tc>
        <w:tc>
          <w:tcPr>
            <w:tcW w:type="dxa" w:w="1560"/>
            <w:vAlign w:val="top"/>
          </w:tcPr>
          <w:p>
            <w:r/>
            <w:r>
              <w:rPr>
                <w:rFonts w:ascii="Arial" w:hAnsi="Arial"/>
                <w:b w:val="0"/>
                <w:i w:val="0"/>
                <w:color w:val="1E242A"/>
                <w:sz w:val="16"/>
              </w:rPr>
              <w:t>Price freezes/confiscatory plans, then FSE + URV + new currency + monetary/exchange management</w:t>
            </w:r>
          </w:p>
        </w:tc>
        <w:tc>
          <w:tcPr>
            <w:tcW w:type="dxa" w:w="1560"/>
            <w:vAlign w:val="top"/>
          </w:tcPr>
          <w:p>
            <w:r/>
            <w:r>
              <w:rPr>
                <w:rFonts w:ascii="Arial" w:hAnsi="Arial"/>
                <w:b w:val="0"/>
                <w:i w:val="0"/>
                <w:color w:val="1E242A"/>
                <w:sz w:val="16"/>
              </w:rPr>
              <w:t>Real Plan succeeded where earlier surprise plans failed; sequencing and expectation coordination mattered, with later fiscal/monetary support</w:t>
            </w:r>
          </w:p>
        </w:tc>
        <w:tc>
          <w:tcPr>
            <w:tcW w:type="dxa" w:w="1560"/>
            <w:vAlign w:val="top"/>
          </w:tcPr>
          <w:p>
            <w:r/>
            <w:r>
              <w:rPr>
                <w:rFonts w:ascii="Arial" w:hAnsi="Arial"/>
                <w:b w:val="0"/>
                <w:i w:val="0"/>
                <w:color w:val="1E242A"/>
                <w:sz w:val="16"/>
              </w:rPr>
              <w:t>High on inflation break; Moderate on component weights</w:t>
            </w:r>
          </w:p>
        </w:tc>
      </w:tr>
      <w:tr>
        <w:trPr>
          <w:cantSplit/>
        </w:trPr>
        <w:tc>
          <w:tcPr>
            <w:tcW w:type="dxa" w:w="1560"/>
            <w:vAlign w:val="top"/>
          </w:tcPr>
          <w:p>
            <w:r/>
            <w:r>
              <w:rPr>
                <w:rFonts w:ascii="Arial" w:hAnsi="Arial"/>
                <w:b w:val="0"/>
                <w:i w:val="0"/>
                <w:color w:val="1E242A"/>
                <w:sz w:val="16"/>
              </w:rPr>
              <w:t>P02</w:t>
            </w:r>
          </w:p>
        </w:tc>
        <w:tc>
          <w:tcPr>
            <w:tcW w:type="dxa" w:w="1560"/>
            <w:vAlign w:val="top"/>
          </w:tcPr>
          <w:p>
            <w:r/>
            <w:r>
              <w:rPr>
                <w:rFonts w:ascii="Arial" w:hAnsi="Arial"/>
                <w:b w:val="0"/>
                <w:i w:val="0"/>
                <w:color w:val="1E242A"/>
                <w:sz w:val="16"/>
              </w:rPr>
              <w:t>1999–2002</w:t>
            </w:r>
          </w:p>
        </w:tc>
        <w:tc>
          <w:tcPr>
            <w:tcW w:type="dxa" w:w="1560"/>
            <w:vAlign w:val="top"/>
          </w:tcPr>
          <w:p>
            <w:r/>
            <w:r>
              <w:rPr>
                <w:rFonts w:ascii="Arial" w:hAnsi="Arial"/>
                <w:b w:val="0"/>
                <w:i w:val="0"/>
                <w:color w:val="1E242A"/>
                <w:sz w:val="16"/>
              </w:rPr>
              <w:t>Currency crisis and public-sector solvency</w:t>
            </w:r>
          </w:p>
        </w:tc>
        <w:tc>
          <w:tcPr>
            <w:tcW w:type="dxa" w:w="1560"/>
            <w:vAlign w:val="top"/>
          </w:tcPr>
          <w:p>
            <w:r/>
            <w:r>
              <w:rPr>
                <w:rFonts w:ascii="Arial" w:hAnsi="Arial"/>
                <w:b w:val="0"/>
                <w:i w:val="0"/>
                <w:color w:val="1E242A"/>
                <w:sz w:val="16"/>
              </w:rPr>
              <w:t>Floating exchange rate, inflation targeting, primary-surplus commitments, state-debt restructuring</w:t>
            </w:r>
          </w:p>
        </w:tc>
        <w:tc>
          <w:tcPr>
            <w:tcW w:type="dxa" w:w="1560"/>
            <w:vAlign w:val="top"/>
          </w:tcPr>
          <w:p>
            <w:r/>
            <w:r>
              <w:rPr>
                <w:rFonts w:ascii="Arial" w:hAnsi="Arial"/>
                <w:b w:val="0"/>
                <w:i w:val="0"/>
                <w:color w:val="1E242A"/>
                <w:sz w:val="16"/>
              </w:rPr>
              <w:t>Macro regime changed through coordinated fiscal, monetary and intergovernmental action</w:t>
            </w:r>
          </w:p>
        </w:tc>
        <w:tc>
          <w:tcPr>
            <w:tcW w:type="dxa" w:w="1560"/>
            <w:vAlign w:val="top"/>
          </w:tcPr>
          <w:p>
            <w:r/>
            <w:r>
              <w:rPr>
                <w:rFonts w:ascii="Arial" w:hAnsi="Arial"/>
                <w:b w:val="0"/>
                <w:i w:val="0"/>
                <w:color w:val="1E242A"/>
                <w:sz w:val="16"/>
              </w:rPr>
              <w:t>Moderate</w:t>
            </w:r>
          </w:p>
        </w:tc>
      </w:tr>
      <w:tr>
        <w:trPr>
          <w:cantSplit/>
        </w:trPr>
        <w:tc>
          <w:tcPr>
            <w:tcW w:type="dxa" w:w="1560"/>
            <w:vAlign w:val="top"/>
          </w:tcPr>
          <w:p>
            <w:r/>
            <w:r>
              <w:rPr>
                <w:rFonts w:ascii="Arial" w:hAnsi="Arial"/>
                <w:b w:val="0"/>
                <w:i w:val="0"/>
                <w:color w:val="1E242A"/>
                <w:sz w:val="16"/>
              </w:rPr>
              <w:t>P03</w:t>
            </w:r>
          </w:p>
        </w:tc>
        <w:tc>
          <w:tcPr>
            <w:tcW w:type="dxa" w:w="1560"/>
            <w:vAlign w:val="top"/>
          </w:tcPr>
          <w:p>
            <w:r/>
            <w:r>
              <w:rPr>
                <w:rFonts w:ascii="Arial" w:hAnsi="Arial"/>
                <w:b w:val="0"/>
                <w:i w:val="0"/>
                <w:color w:val="1E242A"/>
                <w:sz w:val="16"/>
              </w:rPr>
              <w:t>2000 onward</w:t>
            </w:r>
          </w:p>
        </w:tc>
        <w:tc>
          <w:tcPr>
            <w:tcW w:type="dxa" w:w="1560"/>
            <w:vAlign w:val="top"/>
          </w:tcPr>
          <w:p>
            <w:r/>
            <w:r>
              <w:rPr>
                <w:rFonts w:ascii="Arial" w:hAnsi="Arial"/>
                <w:b w:val="0"/>
                <w:i w:val="0"/>
                <w:color w:val="1E242A"/>
                <w:sz w:val="16"/>
              </w:rPr>
              <w:t>Soft budget constraints and opaque fiscal management</w:t>
            </w:r>
          </w:p>
        </w:tc>
        <w:tc>
          <w:tcPr>
            <w:tcW w:type="dxa" w:w="1560"/>
            <w:vAlign w:val="top"/>
          </w:tcPr>
          <w:p>
            <w:r/>
            <w:r>
              <w:rPr>
                <w:rFonts w:ascii="Arial" w:hAnsi="Arial"/>
                <w:b w:val="0"/>
                <w:i w:val="0"/>
                <w:color w:val="1E242A"/>
                <w:sz w:val="16"/>
              </w:rPr>
              <w:t>LRF complementary law, targets, personnel/debt limits, reporting and sanctions</w:t>
            </w:r>
          </w:p>
        </w:tc>
        <w:tc>
          <w:tcPr>
            <w:tcW w:type="dxa" w:w="1560"/>
            <w:vAlign w:val="top"/>
          </w:tcPr>
          <w:p>
            <w:r/>
            <w:r>
              <w:rPr>
                <w:rFonts w:ascii="Arial" w:hAnsi="Arial"/>
                <w:b w:val="0"/>
                <w:i w:val="0"/>
                <w:color w:val="1E242A"/>
                <w:sz w:val="16"/>
              </w:rPr>
              <w:t>Durable cross-government fiscal institution, but periodically relaxed or amended</w:t>
            </w:r>
          </w:p>
        </w:tc>
        <w:tc>
          <w:tcPr>
            <w:tcW w:type="dxa" w:w="1560"/>
            <w:vAlign w:val="top"/>
          </w:tcPr>
          <w:p>
            <w:r/>
            <w:r>
              <w:rPr>
                <w:rFonts w:ascii="Arial" w:hAnsi="Arial"/>
                <w:b w:val="0"/>
                <w:i w:val="0"/>
                <w:color w:val="1E242A"/>
                <w:sz w:val="16"/>
              </w:rPr>
              <w:t>High on institution; Moderate on outcomes</w:t>
            </w:r>
          </w:p>
        </w:tc>
      </w:tr>
      <w:tr>
        <w:trPr>
          <w:cantSplit/>
        </w:trPr>
        <w:tc>
          <w:tcPr>
            <w:tcW w:type="dxa" w:w="1560"/>
            <w:vAlign w:val="top"/>
          </w:tcPr>
          <w:p>
            <w:r/>
            <w:r>
              <w:rPr>
                <w:rFonts w:ascii="Arial" w:hAnsi="Arial"/>
                <w:b w:val="0"/>
                <w:i w:val="0"/>
                <w:color w:val="1E242A"/>
                <w:sz w:val="16"/>
              </w:rPr>
              <w:t>P04</w:t>
            </w:r>
          </w:p>
        </w:tc>
        <w:tc>
          <w:tcPr>
            <w:tcW w:type="dxa" w:w="1560"/>
            <w:vAlign w:val="top"/>
          </w:tcPr>
          <w:p>
            <w:r/>
            <w:r>
              <w:rPr>
                <w:rFonts w:ascii="Arial" w:hAnsi="Arial"/>
                <w:b w:val="0"/>
                <w:i w:val="0"/>
                <w:color w:val="1E242A"/>
                <w:sz w:val="16"/>
              </w:rPr>
              <w:t>2016–23</w:t>
            </w:r>
          </w:p>
        </w:tc>
        <w:tc>
          <w:tcPr>
            <w:tcW w:type="dxa" w:w="1560"/>
            <w:vAlign w:val="top"/>
          </w:tcPr>
          <w:p>
            <w:r/>
            <w:r>
              <w:rPr>
                <w:rFonts w:ascii="Arial" w:hAnsi="Arial"/>
                <w:b w:val="0"/>
                <w:i w:val="0"/>
                <w:color w:val="1E242A"/>
                <w:sz w:val="16"/>
              </w:rPr>
              <w:t>Rapid expenditure/debt deterioration</w:t>
            </w:r>
          </w:p>
        </w:tc>
        <w:tc>
          <w:tcPr>
            <w:tcW w:type="dxa" w:w="1560"/>
            <w:vAlign w:val="top"/>
          </w:tcPr>
          <w:p>
            <w:r/>
            <w:r>
              <w:rPr>
                <w:rFonts w:ascii="Arial" w:hAnsi="Arial"/>
                <w:b w:val="0"/>
                <w:i w:val="0"/>
                <w:color w:val="1E242A"/>
                <w:sz w:val="16"/>
              </w:rPr>
              <w:t>EC 95 constitutional expenditure ceiling; later EC 126 and LC 200 replacement</w:t>
            </w:r>
          </w:p>
        </w:tc>
        <w:tc>
          <w:tcPr>
            <w:tcW w:type="dxa" w:w="1560"/>
            <w:vAlign w:val="top"/>
          </w:tcPr>
          <w:p>
            <w:r/>
            <w:r>
              <w:rPr>
                <w:rFonts w:ascii="Arial" w:hAnsi="Arial"/>
                <w:b w:val="0"/>
                <w:i w:val="0"/>
                <w:color w:val="1E242A"/>
                <w:sz w:val="16"/>
              </w:rPr>
              <w:t>Hard rules can be enacted in crisis and later altered when political/economic fit erodes</w:t>
            </w:r>
          </w:p>
        </w:tc>
        <w:tc>
          <w:tcPr>
            <w:tcW w:type="dxa" w:w="1560"/>
            <w:vAlign w:val="top"/>
          </w:tcPr>
          <w:p>
            <w:r/>
            <w:r>
              <w:rPr>
                <w:rFonts w:ascii="Arial" w:hAnsi="Arial"/>
                <w:b w:val="0"/>
                <w:i w:val="0"/>
                <w:color w:val="1E242A"/>
                <w:sz w:val="16"/>
              </w:rPr>
              <w:t>High on route; disputed outcomes</w:t>
            </w:r>
          </w:p>
        </w:tc>
      </w:tr>
      <w:tr>
        <w:trPr>
          <w:cantSplit/>
        </w:trPr>
        <w:tc>
          <w:tcPr>
            <w:tcW w:type="dxa" w:w="1560"/>
            <w:vAlign w:val="top"/>
          </w:tcPr>
          <w:p>
            <w:r/>
            <w:r>
              <w:rPr>
                <w:rFonts w:ascii="Arial" w:hAnsi="Arial"/>
                <w:b w:val="0"/>
                <w:i w:val="0"/>
                <w:color w:val="1E242A"/>
                <w:sz w:val="16"/>
              </w:rPr>
              <w:t>P05</w:t>
            </w:r>
          </w:p>
        </w:tc>
        <w:tc>
          <w:tcPr>
            <w:tcW w:type="dxa" w:w="1560"/>
            <w:vAlign w:val="top"/>
          </w:tcPr>
          <w:p>
            <w:r/>
            <w:r>
              <w:rPr>
                <w:rFonts w:ascii="Arial" w:hAnsi="Arial"/>
                <w:b w:val="0"/>
                <w:i w:val="0"/>
                <w:color w:val="1E242A"/>
                <w:sz w:val="16"/>
              </w:rPr>
              <w:t>2023–26</w:t>
            </w:r>
          </w:p>
        </w:tc>
        <w:tc>
          <w:tcPr>
            <w:tcW w:type="dxa" w:w="1560"/>
            <w:vAlign w:val="top"/>
          </w:tcPr>
          <w:p>
            <w:r/>
            <w:r>
              <w:rPr>
                <w:rFonts w:ascii="Arial" w:hAnsi="Arial"/>
                <w:b w:val="0"/>
                <w:i w:val="0"/>
                <w:color w:val="1E242A"/>
                <w:sz w:val="16"/>
              </w:rPr>
              <w:t>Rebuild fiscal framework</w:t>
            </w:r>
          </w:p>
        </w:tc>
        <w:tc>
          <w:tcPr>
            <w:tcW w:type="dxa" w:w="1560"/>
            <w:vAlign w:val="top"/>
          </w:tcPr>
          <w:p>
            <w:r/>
            <w:r>
              <w:rPr>
                <w:rFonts w:ascii="Arial" w:hAnsi="Arial"/>
                <w:b w:val="0"/>
                <w:i w:val="0"/>
                <w:color w:val="1E242A"/>
                <w:sz w:val="16"/>
              </w:rPr>
              <w:t>LC 200 expenditure bands and targets; revenue measures; contingency</w:t>
            </w:r>
          </w:p>
        </w:tc>
        <w:tc>
          <w:tcPr>
            <w:tcW w:type="dxa" w:w="1560"/>
            <w:vAlign w:val="top"/>
          </w:tcPr>
          <w:p>
            <w:r/>
            <w:r>
              <w:rPr>
                <w:rFonts w:ascii="Arial" w:hAnsi="Arial"/>
                <w:b w:val="0"/>
                <w:i w:val="0"/>
                <w:color w:val="1E242A"/>
                <w:sz w:val="16"/>
              </w:rPr>
              <w:t>Rule implementation depends on revenue, budget politics and exceptions</w:t>
            </w:r>
          </w:p>
        </w:tc>
        <w:tc>
          <w:tcPr>
            <w:tcW w:type="dxa" w:w="1560"/>
            <w:vAlign w:val="top"/>
          </w:tcPr>
          <w:p>
            <w:r/>
            <w:r>
              <w:rPr>
                <w:rFonts w:ascii="Arial" w:hAnsi="Arial"/>
                <w:b w:val="0"/>
                <w:i w:val="0"/>
                <w:color w:val="1E242A"/>
                <w:sz w:val="16"/>
              </w:rPr>
              <w:t>SCENARIO-SPECIFIC; outcome immature</w:t>
            </w:r>
          </w:p>
        </w:tc>
      </w:tr>
      <w:tr>
        <w:trPr>
          <w:cantSplit/>
        </w:trPr>
        <w:tc>
          <w:tcPr>
            <w:tcW w:type="dxa" w:w="1560"/>
            <w:vAlign w:val="top"/>
          </w:tcPr>
          <w:p>
            <w:r/>
            <w:r>
              <w:rPr>
                <w:rFonts w:ascii="Arial" w:hAnsi="Arial"/>
                <w:b w:val="0"/>
                <w:i w:val="0"/>
                <w:color w:val="1E242A"/>
                <w:sz w:val="16"/>
              </w:rPr>
              <w:t>P06</w:t>
            </w:r>
          </w:p>
        </w:tc>
        <w:tc>
          <w:tcPr>
            <w:tcW w:type="dxa" w:w="1560"/>
            <w:vAlign w:val="top"/>
          </w:tcPr>
          <w:p>
            <w:r/>
            <w:r>
              <w:rPr>
                <w:rFonts w:ascii="Arial" w:hAnsi="Arial"/>
                <w:b w:val="0"/>
                <w:i w:val="0"/>
                <w:color w:val="1E242A"/>
                <w:sz w:val="16"/>
              </w:rPr>
              <w:t>1998, 2003, 2019</w:t>
            </w:r>
          </w:p>
        </w:tc>
        <w:tc>
          <w:tcPr>
            <w:tcW w:type="dxa" w:w="1560"/>
            <w:vAlign w:val="top"/>
          </w:tcPr>
          <w:p>
            <w:r/>
            <w:r>
              <w:rPr>
                <w:rFonts w:ascii="Arial" w:hAnsi="Arial"/>
                <w:b w:val="0"/>
                <w:i w:val="0"/>
                <w:color w:val="1E242A"/>
                <w:sz w:val="16"/>
              </w:rPr>
              <w:t>Pension sustainability and unequal regimes</w:t>
            </w:r>
          </w:p>
        </w:tc>
        <w:tc>
          <w:tcPr>
            <w:tcW w:type="dxa" w:w="1560"/>
            <w:vAlign w:val="top"/>
          </w:tcPr>
          <w:p>
            <w:r/>
            <w:r>
              <w:rPr>
                <w:rFonts w:ascii="Arial" w:hAnsi="Arial"/>
                <w:b w:val="0"/>
                <w:i w:val="0"/>
                <w:color w:val="1E242A"/>
                <w:sz w:val="16"/>
              </w:rPr>
              <w:t>Successive constitutional amendments and implementing laws</w:t>
            </w:r>
          </w:p>
        </w:tc>
        <w:tc>
          <w:tcPr>
            <w:tcW w:type="dxa" w:w="1560"/>
            <w:vAlign w:val="top"/>
          </w:tcPr>
          <w:p>
            <w:r/>
            <w:r>
              <w:rPr>
                <w:rFonts w:ascii="Arial" w:hAnsi="Arial"/>
                <w:b w:val="0"/>
                <w:i w:val="0"/>
                <w:color w:val="1E242A"/>
                <w:sz w:val="16"/>
              </w:rPr>
              <w:t>Reform is cumulative; each package was amended and protected transition groups</w:t>
            </w:r>
          </w:p>
        </w:tc>
        <w:tc>
          <w:tcPr>
            <w:tcW w:type="dxa" w:w="1560"/>
            <w:vAlign w:val="top"/>
          </w:tcPr>
          <w:p>
            <w:r/>
            <w:r>
              <w:rPr>
                <w:rFonts w:ascii="Arial" w:hAnsi="Arial"/>
                <w:b w:val="0"/>
                <w:i w:val="0"/>
                <w:color w:val="1E242A"/>
                <w:sz w:val="16"/>
              </w:rPr>
              <w:t>High</w:t>
            </w:r>
          </w:p>
        </w:tc>
      </w:tr>
      <w:tr>
        <w:trPr>
          <w:cantSplit/>
        </w:trPr>
        <w:tc>
          <w:tcPr>
            <w:tcW w:type="dxa" w:w="1560"/>
            <w:vAlign w:val="top"/>
          </w:tcPr>
          <w:p>
            <w:r/>
            <w:r>
              <w:rPr>
                <w:rFonts w:ascii="Arial" w:hAnsi="Arial"/>
                <w:b w:val="0"/>
                <w:i w:val="0"/>
                <w:color w:val="1E242A"/>
                <w:sz w:val="16"/>
              </w:rPr>
              <w:t>P07</w:t>
            </w:r>
          </w:p>
        </w:tc>
        <w:tc>
          <w:tcPr>
            <w:tcW w:type="dxa" w:w="1560"/>
            <w:vAlign w:val="top"/>
          </w:tcPr>
          <w:p>
            <w:r/>
            <w:r>
              <w:rPr>
                <w:rFonts w:ascii="Arial" w:hAnsi="Arial"/>
                <w:b w:val="0"/>
                <w:i w:val="0"/>
                <w:color w:val="1E242A"/>
                <w:sz w:val="16"/>
              </w:rPr>
              <w:t>1990s–2025</w:t>
            </w:r>
          </w:p>
        </w:tc>
        <w:tc>
          <w:tcPr>
            <w:tcW w:type="dxa" w:w="1560"/>
            <w:vAlign w:val="top"/>
          </w:tcPr>
          <w:p>
            <w:r/>
            <w:r>
              <w:rPr>
                <w:rFonts w:ascii="Arial" w:hAnsi="Arial"/>
                <w:b w:val="0"/>
                <w:i w:val="0"/>
                <w:color w:val="1E242A"/>
                <w:sz w:val="16"/>
              </w:rPr>
              <w:t>Fragmented consumption taxes and fiscal federal conflict</w:t>
            </w:r>
          </w:p>
        </w:tc>
        <w:tc>
          <w:tcPr>
            <w:tcW w:type="dxa" w:w="1560"/>
            <w:vAlign w:val="top"/>
          </w:tcPr>
          <w:p>
            <w:r/>
            <w:r>
              <w:rPr>
                <w:rFonts w:ascii="Arial" w:hAnsi="Arial"/>
                <w:b w:val="0"/>
                <w:i w:val="0"/>
                <w:color w:val="1E242A"/>
                <w:sz w:val="16"/>
              </w:rPr>
              <w:t>Repeated failed PECs; EC 132; LC 214; long phased transition</w:t>
            </w:r>
          </w:p>
        </w:tc>
        <w:tc>
          <w:tcPr>
            <w:tcW w:type="dxa" w:w="1560"/>
            <w:vAlign w:val="top"/>
          </w:tcPr>
          <w:p>
            <w:r/>
            <w:r>
              <w:rPr>
                <w:rFonts w:ascii="Arial" w:hAnsi="Arial"/>
                <w:b w:val="0"/>
                <w:i w:val="0"/>
                <w:color w:val="1E242A"/>
                <w:sz w:val="16"/>
              </w:rPr>
              <w:t>Congressional entrepreneurship and compensation/governance design unlocked a persistent problem</w:t>
            </w:r>
          </w:p>
        </w:tc>
        <w:tc>
          <w:tcPr>
            <w:tcW w:type="dxa" w:w="1560"/>
            <w:vAlign w:val="top"/>
          </w:tcPr>
          <w:p>
            <w:r/>
            <w:r>
              <w:rPr>
                <w:rFonts w:ascii="Arial" w:hAnsi="Arial"/>
                <w:b w:val="0"/>
                <w:i w:val="0"/>
                <w:color w:val="1E242A"/>
                <w:sz w:val="16"/>
              </w:rPr>
              <w:t>High on enactment; outcomes immature</w:t>
            </w:r>
          </w:p>
        </w:tc>
      </w:tr>
      <w:tr>
        <w:trPr>
          <w:cantSplit/>
        </w:trPr>
        <w:tc>
          <w:tcPr>
            <w:tcW w:type="dxa" w:w="1560"/>
            <w:vAlign w:val="top"/>
          </w:tcPr>
          <w:p>
            <w:r/>
            <w:r>
              <w:rPr>
                <w:rFonts w:ascii="Arial" w:hAnsi="Arial"/>
                <w:b w:val="0"/>
                <w:i w:val="0"/>
                <w:color w:val="1E242A"/>
                <w:sz w:val="16"/>
              </w:rPr>
              <w:t>P08</w:t>
            </w:r>
          </w:p>
        </w:tc>
        <w:tc>
          <w:tcPr>
            <w:tcW w:type="dxa" w:w="1560"/>
            <w:vAlign w:val="top"/>
          </w:tcPr>
          <w:p>
            <w:r/>
            <w:r>
              <w:rPr>
                <w:rFonts w:ascii="Arial" w:hAnsi="Arial"/>
                <w:b w:val="0"/>
                <w:i w:val="0"/>
                <w:color w:val="1E242A"/>
                <w:sz w:val="16"/>
              </w:rPr>
              <w:t>1995–98</w:t>
            </w:r>
          </w:p>
        </w:tc>
        <w:tc>
          <w:tcPr>
            <w:tcW w:type="dxa" w:w="1560"/>
            <w:vAlign w:val="top"/>
          </w:tcPr>
          <w:p>
            <w:r/>
            <w:r>
              <w:rPr>
                <w:rFonts w:ascii="Arial" w:hAnsi="Arial"/>
                <w:b w:val="0"/>
                <w:i w:val="0"/>
                <w:color w:val="1E242A"/>
                <w:sz w:val="16"/>
              </w:rPr>
              <w:t>Costly, rule-bound public administration</w:t>
            </w:r>
          </w:p>
        </w:tc>
        <w:tc>
          <w:tcPr>
            <w:tcW w:type="dxa" w:w="1560"/>
            <w:vAlign w:val="top"/>
          </w:tcPr>
          <w:p>
            <w:r/>
            <w:r>
              <w:rPr>
                <w:rFonts w:ascii="Arial" w:hAnsi="Arial"/>
                <w:b w:val="0"/>
                <w:i w:val="0"/>
                <w:color w:val="1E242A"/>
                <w:sz w:val="16"/>
              </w:rPr>
              <w:t>MARE reform, EC 19, organisational and personnel measures</w:t>
            </w:r>
          </w:p>
        </w:tc>
        <w:tc>
          <w:tcPr>
            <w:tcW w:type="dxa" w:w="1560"/>
            <w:vAlign w:val="top"/>
          </w:tcPr>
          <w:p>
            <w:r/>
            <w:r>
              <w:rPr>
                <w:rFonts w:ascii="Arial" w:hAnsi="Arial"/>
                <w:b w:val="0"/>
                <w:i w:val="0"/>
                <w:color w:val="1E242A"/>
                <w:sz w:val="16"/>
              </w:rPr>
              <w:t>Constitutional and statutory reform can change framework; savings and managerial effects were uneven</w:t>
            </w:r>
          </w:p>
        </w:tc>
        <w:tc>
          <w:tcPr>
            <w:tcW w:type="dxa" w:w="1560"/>
            <w:vAlign w:val="top"/>
          </w:tcPr>
          <w:p>
            <w:r/>
            <w:r>
              <w:rPr>
                <w:rFonts w:ascii="Arial" w:hAnsi="Arial"/>
                <w:b w:val="0"/>
                <w:i w:val="0"/>
                <w:color w:val="1E242A"/>
                <w:sz w:val="16"/>
              </w:rPr>
              <w:t>Moderate</w:t>
            </w:r>
          </w:p>
        </w:tc>
      </w:tr>
      <w:tr>
        <w:trPr>
          <w:cantSplit/>
        </w:trPr>
        <w:tc>
          <w:tcPr>
            <w:tcW w:type="dxa" w:w="1560"/>
            <w:vAlign w:val="top"/>
          </w:tcPr>
          <w:p>
            <w:r/>
            <w:r>
              <w:rPr>
                <w:rFonts w:ascii="Arial" w:hAnsi="Arial"/>
                <w:b w:val="0"/>
                <w:i w:val="0"/>
                <w:color w:val="1E242A"/>
                <w:sz w:val="16"/>
              </w:rPr>
              <w:t>P09</w:t>
            </w:r>
          </w:p>
        </w:tc>
        <w:tc>
          <w:tcPr>
            <w:tcW w:type="dxa" w:w="1560"/>
            <w:vAlign w:val="top"/>
          </w:tcPr>
          <w:p>
            <w:r/>
            <w:r>
              <w:rPr>
                <w:rFonts w:ascii="Arial" w:hAnsi="Arial"/>
                <w:b w:val="0"/>
                <w:i w:val="0"/>
                <w:color w:val="1E242A"/>
                <w:sz w:val="16"/>
              </w:rPr>
              <w:t>2019–22</w:t>
            </w:r>
          </w:p>
        </w:tc>
        <w:tc>
          <w:tcPr>
            <w:tcW w:type="dxa" w:w="1560"/>
            <w:vAlign w:val="top"/>
          </w:tcPr>
          <w:p>
            <w:r/>
            <w:r>
              <w:rPr>
                <w:rFonts w:ascii="Arial" w:hAnsi="Arial"/>
                <w:b w:val="0"/>
                <w:i w:val="0"/>
                <w:color w:val="1E242A"/>
                <w:sz w:val="16"/>
              </w:rPr>
              <w:t>Administrative cost and career reform</w:t>
            </w:r>
          </w:p>
        </w:tc>
        <w:tc>
          <w:tcPr>
            <w:tcW w:type="dxa" w:w="1560"/>
            <w:vAlign w:val="top"/>
          </w:tcPr>
          <w:p>
            <w:r/>
            <w:r>
              <w:rPr>
                <w:rFonts w:ascii="Arial" w:hAnsi="Arial"/>
                <w:b w:val="0"/>
                <w:i w:val="0"/>
                <w:color w:val="1E242A"/>
                <w:sz w:val="16"/>
              </w:rPr>
              <w:t>Ministry mergers, digitalisation, PEC 32 proposal</w:t>
            </w:r>
          </w:p>
        </w:tc>
        <w:tc>
          <w:tcPr>
            <w:tcW w:type="dxa" w:w="1560"/>
            <w:vAlign w:val="top"/>
          </w:tcPr>
          <w:p>
            <w:r/>
            <w:r>
              <w:rPr>
                <w:rFonts w:ascii="Arial" w:hAnsi="Arial"/>
                <w:b w:val="0"/>
                <w:i w:val="0"/>
                <w:color w:val="1E242A"/>
                <w:sz w:val="16"/>
              </w:rPr>
              <w:t>Executive can reorganise much machinery, but tenure/career changes require law or amendment; PEC 32 stalled</w:t>
            </w:r>
          </w:p>
        </w:tc>
        <w:tc>
          <w:tcPr>
            <w:tcW w:type="dxa" w:w="1560"/>
            <w:vAlign w:val="top"/>
          </w:tcPr>
          <w:p>
            <w:r/>
            <w:r>
              <w:rPr>
                <w:rFonts w:ascii="Arial" w:hAnsi="Arial"/>
                <w:b w:val="0"/>
                <w:i w:val="0"/>
                <w:color w:val="1E242A"/>
                <w:sz w:val="16"/>
              </w:rPr>
              <w:t>High on route; Low on claimed savings</w:t>
            </w:r>
          </w:p>
        </w:tc>
      </w:tr>
      <w:tr>
        <w:trPr>
          <w:cantSplit/>
        </w:trPr>
        <w:tc>
          <w:tcPr>
            <w:tcW w:type="dxa" w:w="1560"/>
            <w:vAlign w:val="top"/>
          </w:tcPr>
          <w:p>
            <w:r/>
            <w:r>
              <w:rPr>
                <w:rFonts w:ascii="Arial" w:hAnsi="Arial"/>
                <w:b w:val="0"/>
                <w:i w:val="0"/>
                <w:color w:val="1E242A"/>
                <w:sz w:val="16"/>
              </w:rPr>
              <w:t>P10</w:t>
            </w:r>
          </w:p>
        </w:tc>
        <w:tc>
          <w:tcPr>
            <w:tcW w:type="dxa" w:w="1560"/>
            <w:vAlign w:val="top"/>
          </w:tcPr>
          <w:p>
            <w:r/>
            <w:r>
              <w:rPr>
                <w:rFonts w:ascii="Arial" w:hAnsi="Arial"/>
                <w:b w:val="0"/>
                <w:i w:val="0"/>
                <w:color w:val="1E242A"/>
                <w:sz w:val="16"/>
              </w:rPr>
              <w:t>1990s</w:t>
            </w:r>
          </w:p>
        </w:tc>
        <w:tc>
          <w:tcPr>
            <w:tcW w:type="dxa" w:w="1560"/>
            <w:vAlign w:val="top"/>
          </w:tcPr>
          <w:p>
            <w:r/>
            <w:r>
              <w:rPr>
                <w:rFonts w:ascii="Arial" w:hAnsi="Arial"/>
                <w:b w:val="0"/>
                <w:i w:val="0"/>
                <w:color w:val="1E242A"/>
                <w:sz w:val="16"/>
              </w:rPr>
              <w:t>Debt, investment shortages, state footprint</w:t>
            </w:r>
          </w:p>
        </w:tc>
        <w:tc>
          <w:tcPr>
            <w:tcW w:type="dxa" w:w="1560"/>
            <w:vAlign w:val="top"/>
          </w:tcPr>
          <w:p>
            <w:r/>
            <w:r>
              <w:rPr>
                <w:rFonts w:ascii="Arial" w:hAnsi="Arial"/>
                <w:b w:val="0"/>
                <w:i w:val="0"/>
                <w:color w:val="1E242A"/>
                <w:sz w:val="16"/>
              </w:rPr>
              <w:t>PND sales, concessions, regulatory agencies; Vale and Telebras system</w:t>
            </w:r>
          </w:p>
        </w:tc>
        <w:tc>
          <w:tcPr>
            <w:tcW w:type="dxa" w:w="1560"/>
            <w:vAlign w:val="top"/>
          </w:tcPr>
          <w:p>
            <w:r/>
            <w:r>
              <w:rPr>
                <w:rFonts w:ascii="Arial" w:hAnsi="Arial"/>
                <w:b w:val="0"/>
                <w:i w:val="0"/>
                <w:color w:val="1E242A"/>
                <w:sz w:val="16"/>
              </w:rPr>
              <w:t>Privatisation required legal/process architecture and post-sale regulation, not a presidential sale order</w:t>
            </w:r>
          </w:p>
        </w:tc>
        <w:tc>
          <w:tcPr>
            <w:tcW w:type="dxa" w:w="1560"/>
            <w:vAlign w:val="top"/>
          </w:tcPr>
          <w:p>
            <w:r/>
            <w:r>
              <w:rPr>
                <w:rFonts w:ascii="Arial" w:hAnsi="Arial"/>
                <w:b w:val="0"/>
                <w:i w:val="0"/>
                <w:color w:val="1E242A"/>
                <w:sz w:val="16"/>
              </w:rPr>
              <w:t>High on route; sector outcomes vary</w:t>
            </w:r>
          </w:p>
        </w:tc>
      </w:tr>
      <w:tr>
        <w:trPr>
          <w:cantSplit/>
        </w:trPr>
        <w:tc>
          <w:tcPr>
            <w:tcW w:type="dxa" w:w="1560"/>
            <w:vAlign w:val="top"/>
          </w:tcPr>
          <w:p>
            <w:r/>
            <w:r>
              <w:rPr>
                <w:rFonts w:ascii="Arial" w:hAnsi="Arial"/>
                <w:b w:val="0"/>
                <w:i w:val="0"/>
                <w:color w:val="1E242A"/>
                <w:sz w:val="16"/>
              </w:rPr>
              <w:t>P11</w:t>
            </w:r>
          </w:p>
        </w:tc>
        <w:tc>
          <w:tcPr>
            <w:tcW w:type="dxa" w:w="1560"/>
            <w:vAlign w:val="top"/>
          </w:tcPr>
          <w:p>
            <w:r/>
            <w:r>
              <w:rPr>
                <w:rFonts w:ascii="Arial" w:hAnsi="Arial"/>
                <w:b w:val="0"/>
                <w:i w:val="0"/>
                <w:color w:val="1E242A"/>
                <w:sz w:val="16"/>
              </w:rPr>
              <w:t>2021–22</w:t>
            </w:r>
          </w:p>
        </w:tc>
        <w:tc>
          <w:tcPr>
            <w:tcW w:type="dxa" w:w="1560"/>
            <w:vAlign w:val="top"/>
          </w:tcPr>
          <w:p>
            <w:r/>
            <w:r>
              <w:rPr>
                <w:rFonts w:ascii="Arial" w:hAnsi="Arial"/>
                <w:b w:val="0"/>
                <w:i w:val="0"/>
                <w:color w:val="1E242A"/>
                <w:sz w:val="16"/>
              </w:rPr>
              <w:t>Electricity investment/capital constraints</w:t>
            </w:r>
          </w:p>
        </w:tc>
        <w:tc>
          <w:tcPr>
            <w:tcW w:type="dxa" w:w="1560"/>
            <w:vAlign w:val="top"/>
          </w:tcPr>
          <w:p>
            <w:r/>
            <w:r>
              <w:rPr>
                <w:rFonts w:ascii="Arial" w:hAnsi="Arial"/>
                <w:b w:val="0"/>
                <w:i w:val="0"/>
                <w:color w:val="1E242A"/>
                <w:sz w:val="16"/>
              </w:rPr>
              <w:t>Eletrobras capitalisation under Law 14,182 with dilution of Union control</w:t>
            </w:r>
          </w:p>
        </w:tc>
        <w:tc>
          <w:tcPr>
            <w:tcW w:type="dxa" w:w="1560"/>
            <w:vAlign w:val="top"/>
          </w:tcPr>
          <w:p>
            <w:r/>
            <w:r>
              <w:rPr>
                <w:rFonts w:ascii="Arial" w:hAnsi="Arial"/>
                <w:b w:val="0"/>
                <w:i w:val="0"/>
                <w:color w:val="1E242A"/>
                <w:sz w:val="16"/>
              </w:rPr>
              <w:t>Partial capitalisation differs from asset sale; congressional conditions created policy costs and litigation</w:t>
            </w:r>
          </w:p>
        </w:tc>
        <w:tc>
          <w:tcPr>
            <w:tcW w:type="dxa" w:w="1560"/>
            <w:vAlign w:val="top"/>
          </w:tcPr>
          <w:p>
            <w:r/>
            <w:r>
              <w:rPr>
                <w:rFonts w:ascii="Arial" w:hAnsi="Arial"/>
                <w:b w:val="0"/>
                <w:i w:val="0"/>
                <w:color w:val="1E242A"/>
                <w:sz w:val="16"/>
              </w:rPr>
              <w:t>Moderate</w:t>
            </w:r>
          </w:p>
        </w:tc>
      </w:tr>
      <w:tr>
        <w:trPr>
          <w:cantSplit/>
        </w:trPr>
        <w:tc>
          <w:tcPr>
            <w:tcW w:type="dxa" w:w="1560"/>
            <w:vAlign w:val="top"/>
          </w:tcPr>
          <w:p>
            <w:r/>
            <w:r>
              <w:rPr>
                <w:rFonts w:ascii="Arial" w:hAnsi="Arial"/>
                <w:b w:val="0"/>
                <w:i w:val="0"/>
                <w:color w:val="1E242A"/>
                <w:sz w:val="16"/>
              </w:rPr>
              <w:t>P12</w:t>
            </w:r>
          </w:p>
        </w:tc>
        <w:tc>
          <w:tcPr>
            <w:tcW w:type="dxa" w:w="1560"/>
            <w:vAlign w:val="top"/>
          </w:tcPr>
          <w:p>
            <w:r/>
            <w:r>
              <w:rPr>
                <w:rFonts w:ascii="Arial" w:hAnsi="Arial"/>
                <w:b w:val="0"/>
                <w:i w:val="0"/>
                <w:color w:val="1E242A"/>
                <w:sz w:val="16"/>
              </w:rPr>
              <w:t>2007–14</w:t>
            </w:r>
          </w:p>
        </w:tc>
        <w:tc>
          <w:tcPr>
            <w:tcW w:type="dxa" w:w="1560"/>
            <w:vAlign w:val="top"/>
          </w:tcPr>
          <w:p>
            <w:r/>
            <w:r>
              <w:rPr>
                <w:rFonts w:ascii="Arial" w:hAnsi="Arial"/>
                <w:b w:val="0"/>
                <w:i w:val="0"/>
                <w:color w:val="1E242A"/>
                <w:sz w:val="16"/>
              </w:rPr>
              <w:t>Infrastructure bottlenecks and countercyclical development</w:t>
            </w:r>
          </w:p>
        </w:tc>
        <w:tc>
          <w:tcPr>
            <w:tcW w:type="dxa" w:w="1560"/>
            <w:vAlign w:val="top"/>
          </w:tcPr>
          <w:p>
            <w:r/>
            <w:r>
              <w:rPr>
                <w:rFonts w:ascii="Arial" w:hAnsi="Arial"/>
                <w:b w:val="0"/>
                <w:i w:val="0"/>
                <w:color w:val="1E242A"/>
                <w:sz w:val="16"/>
              </w:rPr>
              <w:t>PAC budgets, SOE investment, BNDES credit, tax expenditure, procurement</w:t>
            </w:r>
          </w:p>
        </w:tc>
        <w:tc>
          <w:tcPr>
            <w:tcW w:type="dxa" w:w="1560"/>
            <w:vAlign w:val="top"/>
          </w:tcPr>
          <w:p>
            <w:r/>
            <w:r>
              <w:rPr>
                <w:rFonts w:ascii="Arial" w:hAnsi="Arial"/>
                <w:b w:val="0"/>
                <w:i w:val="0"/>
                <w:color w:val="1E242A"/>
                <w:sz w:val="16"/>
              </w:rPr>
              <w:t>Announced envelopes were pipelines, not completed assets; execution capacity and project quality constrained delivery</w:t>
            </w:r>
          </w:p>
        </w:tc>
        <w:tc>
          <w:tcPr>
            <w:tcW w:type="dxa" w:w="1560"/>
            <w:vAlign w:val="top"/>
          </w:tcPr>
          <w:p>
            <w:r/>
            <w:r>
              <w:rPr>
                <w:rFonts w:ascii="Arial" w:hAnsi="Arial"/>
                <w:b w:val="0"/>
                <w:i w:val="0"/>
                <w:color w:val="1E242A"/>
                <w:sz w:val="16"/>
              </w:rPr>
              <w:t>High on implementation gap</w:t>
            </w:r>
          </w:p>
        </w:tc>
      </w:tr>
      <w:tr>
        <w:trPr>
          <w:cantSplit/>
        </w:trPr>
        <w:tc>
          <w:tcPr>
            <w:tcW w:type="dxa" w:w="1560"/>
            <w:vAlign w:val="top"/>
          </w:tcPr>
          <w:p>
            <w:r/>
            <w:r>
              <w:rPr>
                <w:rFonts w:ascii="Arial" w:hAnsi="Arial"/>
                <w:b w:val="0"/>
                <w:i w:val="0"/>
                <w:color w:val="1E242A"/>
                <w:sz w:val="16"/>
              </w:rPr>
              <w:t>P13</w:t>
            </w:r>
          </w:p>
        </w:tc>
        <w:tc>
          <w:tcPr>
            <w:tcW w:type="dxa" w:w="1560"/>
            <w:vAlign w:val="top"/>
          </w:tcPr>
          <w:p>
            <w:r/>
            <w:r>
              <w:rPr>
                <w:rFonts w:ascii="Arial" w:hAnsi="Arial"/>
                <w:b w:val="0"/>
                <w:i w:val="0"/>
                <w:color w:val="1E242A"/>
                <w:sz w:val="16"/>
              </w:rPr>
              <w:t>2008–15</w:t>
            </w:r>
          </w:p>
        </w:tc>
        <w:tc>
          <w:tcPr>
            <w:tcW w:type="dxa" w:w="1560"/>
            <w:vAlign w:val="top"/>
          </w:tcPr>
          <w:p>
            <w:r/>
            <w:r>
              <w:rPr>
                <w:rFonts w:ascii="Arial" w:hAnsi="Arial"/>
                <w:b w:val="0"/>
                <w:i w:val="0"/>
                <w:color w:val="1E242A"/>
                <w:sz w:val="16"/>
              </w:rPr>
              <w:t>Industrial scale and crisis response</w:t>
            </w:r>
          </w:p>
        </w:tc>
        <w:tc>
          <w:tcPr>
            <w:tcW w:type="dxa" w:w="1560"/>
            <w:vAlign w:val="top"/>
          </w:tcPr>
          <w:p>
            <w:r/>
            <w:r>
              <w:rPr>
                <w:rFonts w:ascii="Arial" w:hAnsi="Arial"/>
                <w:b w:val="0"/>
                <w:i w:val="0"/>
                <w:color w:val="1E242A"/>
                <w:sz w:val="16"/>
              </w:rPr>
              <w:t>BNDES/Treasury funding, national champions, local content and tax relief</w:t>
            </w:r>
          </w:p>
        </w:tc>
        <w:tc>
          <w:tcPr>
            <w:tcW w:type="dxa" w:w="1560"/>
            <w:vAlign w:val="top"/>
          </w:tcPr>
          <w:p>
            <w:r/>
            <w:r>
              <w:rPr>
                <w:rFonts w:ascii="Arial" w:hAnsi="Arial"/>
                <w:b w:val="0"/>
                <w:i w:val="0"/>
                <w:color w:val="1E242A"/>
                <w:sz w:val="16"/>
              </w:rPr>
              <w:t>Credit expanded rapidly; attribution for productivity and additional investment is contested; fiscal and governance costs emerged</w:t>
            </w:r>
          </w:p>
        </w:tc>
        <w:tc>
          <w:tcPr>
            <w:tcW w:type="dxa" w:w="1560"/>
            <w:vAlign w:val="top"/>
          </w:tcPr>
          <w:p>
            <w:r/>
            <w:r>
              <w:rPr>
                <w:rFonts w:ascii="Arial" w:hAnsi="Arial"/>
                <w:b w:val="0"/>
                <w:i w:val="0"/>
                <w:color w:val="1E242A"/>
                <w:sz w:val="16"/>
              </w:rPr>
              <w:t>Moderate/Low causally</w:t>
            </w:r>
          </w:p>
        </w:tc>
      </w:tr>
      <w:tr>
        <w:trPr>
          <w:cantSplit/>
        </w:trPr>
        <w:tc>
          <w:tcPr>
            <w:tcW w:type="dxa" w:w="1560"/>
            <w:vAlign w:val="top"/>
          </w:tcPr>
          <w:p>
            <w:r/>
            <w:r>
              <w:rPr>
                <w:rFonts w:ascii="Arial" w:hAnsi="Arial"/>
                <w:b w:val="0"/>
                <w:i w:val="0"/>
                <w:color w:val="1E242A"/>
                <w:sz w:val="16"/>
              </w:rPr>
              <w:t>P14</w:t>
            </w:r>
          </w:p>
        </w:tc>
        <w:tc>
          <w:tcPr>
            <w:tcW w:type="dxa" w:w="1560"/>
            <w:vAlign w:val="top"/>
          </w:tcPr>
          <w:p>
            <w:r/>
            <w:r>
              <w:rPr>
                <w:rFonts w:ascii="Arial" w:hAnsi="Arial"/>
                <w:b w:val="0"/>
                <w:i w:val="0"/>
                <w:color w:val="1E242A"/>
                <w:sz w:val="16"/>
              </w:rPr>
              <w:t>1990s–2026</w:t>
            </w:r>
          </w:p>
        </w:tc>
        <w:tc>
          <w:tcPr>
            <w:tcW w:type="dxa" w:w="1560"/>
            <w:vAlign w:val="top"/>
          </w:tcPr>
          <w:p>
            <w:r/>
            <w:r>
              <w:rPr>
                <w:rFonts w:ascii="Arial" w:hAnsi="Arial"/>
                <w:b w:val="0"/>
                <w:i w:val="0"/>
                <w:color w:val="1E242A"/>
                <w:sz w:val="16"/>
              </w:rPr>
              <w:t>Private capital for infrastructure</w:t>
            </w:r>
          </w:p>
        </w:tc>
        <w:tc>
          <w:tcPr>
            <w:tcW w:type="dxa" w:w="1560"/>
            <w:vAlign w:val="top"/>
          </w:tcPr>
          <w:p>
            <w:r/>
            <w:r>
              <w:rPr>
                <w:rFonts w:ascii="Arial" w:hAnsi="Arial"/>
                <w:b w:val="0"/>
                <w:i w:val="0"/>
                <w:color w:val="1E242A"/>
                <w:sz w:val="16"/>
              </w:rPr>
              <w:t>Concession laws, auctions, PPPs, regulatory contracts and re-tendering</w:t>
            </w:r>
          </w:p>
        </w:tc>
        <w:tc>
          <w:tcPr>
            <w:tcW w:type="dxa" w:w="1560"/>
            <w:vAlign w:val="top"/>
          </w:tcPr>
          <w:p>
            <w:r/>
            <w:r>
              <w:rPr>
                <w:rFonts w:ascii="Arial" w:hAnsi="Arial"/>
                <w:b w:val="0"/>
                <w:i w:val="0"/>
                <w:color w:val="1E242A"/>
                <w:sz w:val="16"/>
              </w:rPr>
              <w:t>Durable cross-party instrument; credible regulation and project allocation matter as much as auction</w:t>
            </w:r>
          </w:p>
        </w:tc>
        <w:tc>
          <w:tcPr>
            <w:tcW w:type="dxa" w:w="1560"/>
            <w:vAlign w:val="top"/>
          </w:tcPr>
          <w:p>
            <w:r/>
            <w:r>
              <w:rPr>
                <w:rFonts w:ascii="Arial" w:hAnsi="Arial"/>
                <w:b w:val="0"/>
                <w:i w:val="0"/>
                <w:color w:val="1E242A"/>
                <w:sz w:val="16"/>
              </w:rPr>
              <w:t>High</w:t>
            </w:r>
          </w:p>
        </w:tc>
      </w:tr>
      <w:tr>
        <w:trPr>
          <w:cantSplit/>
        </w:trPr>
        <w:tc>
          <w:tcPr>
            <w:tcW w:type="dxa" w:w="1560"/>
            <w:vAlign w:val="top"/>
          </w:tcPr>
          <w:p>
            <w:r/>
            <w:r>
              <w:rPr>
                <w:rFonts w:ascii="Arial" w:hAnsi="Arial"/>
                <w:b w:val="0"/>
                <w:i w:val="0"/>
                <w:color w:val="1E242A"/>
                <w:sz w:val="16"/>
              </w:rPr>
              <w:t>P15</w:t>
            </w:r>
          </w:p>
        </w:tc>
        <w:tc>
          <w:tcPr>
            <w:tcW w:type="dxa" w:w="1560"/>
            <w:vAlign w:val="top"/>
          </w:tcPr>
          <w:p>
            <w:r/>
            <w:r>
              <w:rPr>
                <w:rFonts w:ascii="Arial" w:hAnsi="Arial"/>
                <w:b w:val="0"/>
                <w:i w:val="0"/>
                <w:color w:val="1E242A"/>
                <w:sz w:val="16"/>
              </w:rPr>
              <w:t>2003 onward</w:t>
            </w:r>
          </w:p>
        </w:tc>
        <w:tc>
          <w:tcPr>
            <w:tcW w:type="dxa" w:w="1560"/>
            <w:vAlign w:val="top"/>
          </w:tcPr>
          <w:p>
            <w:r/>
            <w:r>
              <w:rPr>
                <w:rFonts w:ascii="Arial" w:hAnsi="Arial"/>
                <w:b w:val="0"/>
                <w:i w:val="0"/>
                <w:color w:val="1E242A"/>
                <w:sz w:val="16"/>
              </w:rPr>
              <w:t>Poverty and fragmented transfers</w:t>
            </w:r>
          </w:p>
        </w:tc>
        <w:tc>
          <w:tcPr>
            <w:tcW w:type="dxa" w:w="1560"/>
            <w:vAlign w:val="top"/>
          </w:tcPr>
          <w:p>
            <w:r/>
            <w:r>
              <w:rPr>
                <w:rFonts w:ascii="Arial" w:hAnsi="Arial"/>
                <w:b w:val="0"/>
                <w:i w:val="0"/>
                <w:color w:val="1E242A"/>
                <w:sz w:val="16"/>
              </w:rPr>
              <w:t>Bolsa Família law, Cadastro Único, federal funding and municipal delivery</w:t>
            </w:r>
          </w:p>
        </w:tc>
        <w:tc>
          <w:tcPr>
            <w:tcW w:type="dxa" w:w="1560"/>
            <w:vAlign w:val="top"/>
          </w:tcPr>
          <w:p>
            <w:r/>
            <w:r>
              <w:rPr>
                <w:rFonts w:ascii="Arial" w:hAnsi="Arial"/>
                <w:b w:val="0"/>
                <w:i w:val="0"/>
                <w:color w:val="1E242A"/>
                <w:sz w:val="16"/>
              </w:rPr>
              <w:t>Strong targeting and measurable poverty/inequality effects; administrative infrastructure enabled adaptation</w:t>
            </w:r>
          </w:p>
        </w:tc>
        <w:tc>
          <w:tcPr>
            <w:tcW w:type="dxa" w:w="1560"/>
            <w:vAlign w:val="top"/>
          </w:tcPr>
          <w:p>
            <w:r/>
            <w:r>
              <w:rPr>
                <w:rFonts w:ascii="Arial" w:hAnsi="Arial"/>
                <w:b w:val="0"/>
                <w:i w:val="0"/>
                <w:color w:val="1E242A"/>
                <w:sz w:val="16"/>
              </w:rPr>
              <w:t>High</w:t>
            </w:r>
          </w:p>
        </w:tc>
      </w:tr>
      <w:tr>
        <w:trPr>
          <w:cantSplit/>
        </w:trPr>
        <w:tc>
          <w:tcPr>
            <w:tcW w:type="dxa" w:w="1560"/>
            <w:vAlign w:val="top"/>
          </w:tcPr>
          <w:p>
            <w:r/>
            <w:r>
              <w:rPr>
                <w:rFonts w:ascii="Arial" w:hAnsi="Arial"/>
                <w:b w:val="0"/>
                <w:i w:val="0"/>
                <w:color w:val="1E242A"/>
                <w:sz w:val="16"/>
              </w:rPr>
              <w:t>P16</w:t>
            </w:r>
          </w:p>
        </w:tc>
        <w:tc>
          <w:tcPr>
            <w:tcW w:type="dxa" w:w="1560"/>
            <w:vAlign w:val="top"/>
          </w:tcPr>
          <w:p>
            <w:r/>
            <w:r>
              <w:rPr>
                <w:rFonts w:ascii="Arial" w:hAnsi="Arial"/>
                <w:b w:val="0"/>
                <w:i w:val="0"/>
                <w:color w:val="1E242A"/>
                <w:sz w:val="16"/>
              </w:rPr>
              <w:t>2003 onward</w:t>
            </w:r>
          </w:p>
        </w:tc>
        <w:tc>
          <w:tcPr>
            <w:tcW w:type="dxa" w:w="1560"/>
            <w:vAlign w:val="top"/>
          </w:tcPr>
          <w:p>
            <w:r/>
            <w:r>
              <w:rPr>
                <w:rFonts w:ascii="Arial" w:hAnsi="Arial"/>
                <w:b w:val="0"/>
                <w:i w:val="0"/>
                <w:color w:val="1E242A"/>
                <w:sz w:val="16"/>
              </w:rPr>
              <w:t>Housing deficit and urban investment</w:t>
            </w:r>
          </w:p>
        </w:tc>
        <w:tc>
          <w:tcPr>
            <w:tcW w:type="dxa" w:w="1560"/>
            <w:vAlign w:val="top"/>
          </w:tcPr>
          <w:p>
            <w:r/>
            <w:r>
              <w:rPr>
                <w:rFonts w:ascii="Arial" w:hAnsi="Arial"/>
                <w:b w:val="0"/>
                <w:i w:val="0"/>
                <w:color w:val="1E242A"/>
                <w:sz w:val="16"/>
              </w:rPr>
              <w:t>Minha Casa Minha Vida subsidies, public banks, private builders, municipal land/services</w:t>
            </w:r>
          </w:p>
        </w:tc>
        <w:tc>
          <w:tcPr>
            <w:tcW w:type="dxa" w:w="1560"/>
            <w:vAlign w:val="top"/>
          </w:tcPr>
          <w:p>
            <w:r/>
            <w:r>
              <w:rPr>
                <w:rFonts w:ascii="Arial" w:hAnsi="Arial"/>
                <w:b w:val="0"/>
                <w:i w:val="0"/>
                <w:color w:val="1E242A"/>
                <w:sz w:val="16"/>
              </w:rPr>
              <w:t>Scale can be rapid, but location, urban integration and quality mediate welfare gains</w:t>
            </w:r>
          </w:p>
        </w:tc>
        <w:tc>
          <w:tcPr>
            <w:tcW w:type="dxa" w:w="1560"/>
            <w:vAlign w:val="top"/>
          </w:tcPr>
          <w:p>
            <w:r/>
            <w:r>
              <w:rPr>
                <w:rFonts w:ascii="Arial" w:hAnsi="Arial"/>
                <w:b w:val="0"/>
                <w:i w:val="0"/>
                <w:color w:val="1E242A"/>
                <w:sz w:val="16"/>
              </w:rPr>
              <w:t>Moderate</w:t>
            </w:r>
          </w:p>
        </w:tc>
      </w:tr>
      <w:tr>
        <w:trPr>
          <w:cantSplit/>
        </w:trPr>
        <w:tc>
          <w:tcPr>
            <w:tcW w:type="dxa" w:w="1560"/>
            <w:vAlign w:val="top"/>
          </w:tcPr>
          <w:p>
            <w:r/>
            <w:r>
              <w:rPr>
                <w:rFonts w:ascii="Arial" w:hAnsi="Arial"/>
                <w:b w:val="0"/>
                <w:i w:val="0"/>
                <w:color w:val="1E242A"/>
                <w:sz w:val="16"/>
              </w:rPr>
              <w:t>P17</w:t>
            </w:r>
          </w:p>
        </w:tc>
        <w:tc>
          <w:tcPr>
            <w:tcW w:type="dxa" w:w="1560"/>
            <w:vAlign w:val="top"/>
          </w:tcPr>
          <w:p>
            <w:r/>
            <w:r>
              <w:rPr>
                <w:rFonts w:ascii="Arial" w:hAnsi="Arial"/>
                <w:b w:val="0"/>
                <w:i w:val="0"/>
                <w:color w:val="1E242A"/>
                <w:sz w:val="16"/>
              </w:rPr>
              <w:t>2000s–16</w:t>
            </w:r>
          </w:p>
        </w:tc>
        <w:tc>
          <w:tcPr>
            <w:tcW w:type="dxa" w:w="1560"/>
            <w:vAlign w:val="top"/>
          </w:tcPr>
          <w:p>
            <w:r/>
            <w:r>
              <w:rPr>
                <w:rFonts w:ascii="Arial" w:hAnsi="Arial"/>
                <w:b w:val="0"/>
                <w:i w:val="0"/>
                <w:color w:val="1E242A"/>
                <w:sz w:val="16"/>
              </w:rPr>
              <w:t>Wage floor and household demand</w:t>
            </w:r>
          </w:p>
        </w:tc>
        <w:tc>
          <w:tcPr>
            <w:tcW w:type="dxa" w:w="1560"/>
            <w:vAlign w:val="top"/>
          </w:tcPr>
          <w:p>
            <w:r/>
            <w:r>
              <w:rPr>
                <w:rFonts w:ascii="Arial" w:hAnsi="Arial"/>
                <w:b w:val="0"/>
                <w:i w:val="0"/>
                <w:color w:val="1E242A"/>
                <w:sz w:val="16"/>
              </w:rPr>
              <w:t>Rule-based real minimum-wage increases through law and budgets</w:t>
            </w:r>
          </w:p>
        </w:tc>
        <w:tc>
          <w:tcPr>
            <w:tcW w:type="dxa" w:w="1560"/>
            <w:vAlign w:val="top"/>
          </w:tcPr>
          <w:p>
            <w:r/>
            <w:r>
              <w:rPr>
                <w:rFonts w:ascii="Arial" w:hAnsi="Arial"/>
                <w:b w:val="0"/>
                <w:i w:val="0"/>
                <w:color w:val="1E242A"/>
                <w:sz w:val="16"/>
              </w:rPr>
              <w:t>Raised incomes and indexed fiscal obligations together; effects cannot be isolated from growth/formalisation</w:t>
            </w:r>
          </w:p>
        </w:tc>
        <w:tc>
          <w:tcPr>
            <w:tcW w:type="dxa" w:w="1560"/>
            <w:vAlign w:val="top"/>
          </w:tcPr>
          <w:p>
            <w:r/>
            <w:r>
              <w:rPr>
                <w:rFonts w:ascii="Arial" w:hAnsi="Arial"/>
                <w:b w:val="0"/>
                <w:i w:val="0"/>
                <w:color w:val="1E242A"/>
                <w:sz w:val="16"/>
              </w:rPr>
              <w:t>Moderate</w:t>
            </w:r>
          </w:p>
        </w:tc>
      </w:tr>
      <w:tr>
        <w:trPr>
          <w:cantSplit/>
        </w:trPr>
        <w:tc>
          <w:tcPr>
            <w:tcW w:type="dxa" w:w="1560"/>
            <w:vAlign w:val="top"/>
          </w:tcPr>
          <w:p>
            <w:r/>
            <w:r>
              <w:rPr>
                <w:rFonts w:ascii="Arial" w:hAnsi="Arial"/>
                <w:b w:val="0"/>
                <w:i w:val="0"/>
                <w:color w:val="1E242A"/>
                <w:sz w:val="16"/>
              </w:rPr>
              <w:t>P18</w:t>
            </w:r>
          </w:p>
        </w:tc>
        <w:tc>
          <w:tcPr>
            <w:tcW w:type="dxa" w:w="1560"/>
            <w:vAlign w:val="top"/>
          </w:tcPr>
          <w:p>
            <w:r/>
            <w:r>
              <w:rPr>
                <w:rFonts w:ascii="Arial" w:hAnsi="Arial"/>
                <w:b w:val="0"/>
                <w:i w:val="0"/>
                <w:color w:val="1E242A"/>
                <w:sz w:val="16"/>
              </w:rPr>
              <w:t>2020–21</w:t>
            </w:r>
          </w:p>
        </w:tc>
        <w:tc>
          <w:tcPr>
            <w:tcW w:type="dxa" w:w="1560"/>
            <w:vAlign w:val="top"/>
          </w:tcPr>
          <w:p>
            <w:r/>
            <w:r>
              <w:rPr>
                <w:rFonts w:ascii="Arial" w:hAnsi="Arial"/>
                <w:b w:val="0"/>
                <w:i w:val="0"/>
                <w:color w:val="1E242A"/>
                <w:sz w:val="16"/>
              </w:rPr>
              <w:t>Pandemic income collapse</w:t>
            </w:r>
          </w:p>
        </w:tc>
        <w:tc>
          <w:tcPr>
            <w:tcW w:type="dxa" w:w="1560"/>
            <w:vAlign w:val="top"/>
          </w:tcPr>
          <w:p>
            <w:r/>
            <w:r>
              <w:rPr>
                <w:rFonts w:ascii="Arial" w:hAnsi="Arial"/>
                <w:b w:val="0"/>
                <w:i w:val="0"/>
                <w:color w:val="1E242A"/>
                <w:sz w:val="16"/>
              </w:rPr>
              <w:t>Congress-enlarged emergency aid, fiscal emergency, Caixa/CadÚnico implementation</w:t>
            </w:r>
          </w:p>
        </w:tc>
        <w:tc>
          <w:tcPr>
            <w:tcW w:type="dxa" w:w="1560"/>
            <w:vAlign w:val="top"/>
          </w:tcPr>
          <w:p>
            <w:r/>
            <w:r>
              <w:rPr>
                <w:rFonts w:ascii="Arial" w:hAnsi="Arial"/>
                <w:b w:val="0"/>
                <w:i w:val="0"/>
                <w:color w:val="1E242A"/>
                <w:sz w:val="16"/>
              </w:rPr>
              <w:t>Congress can be policy entrepreneur; delivery rails enable speed but create inclusion-control trade-offs</w:t>
            </w:r>
          </w:p>
        </w:tc>
        <w:tc>
          <w:tcPr>
            <w:tcW w:type="dxa" w:w="1560"/>
            <w:vAlign w:val="top"/>
          </w:tcPr>
          <w:p>
            <w:r/>
            <w:r>
              <w:rPr>
                <w:rFonts w:ascii="Arial" w:hAnsi="Arial"/>
                <w:b w:val="0"/>
                <w:i w:val="0"/>
                <w:color w:val="1E242A"/>
                <w:sz w:val="16"/>
              </w:rPr>
              <w:t>High</w:t>
            </w:r>
          </w:p>
        </w:tc>
      </w:tr>
      <w:tr>
        <w:trPr>
          <w:cantSplit/>
        </w:trPr>
        <w:tc>
          <w:tcPr>
            <w:tcW w:type="dxa" w:w="1560"/>
            <w:vAlign w:val="top"/>
          </w:tcPr>
          <w:p>
            <w:r/>
            <w:r>
              <w:rPr>
                <w:rFonts w:ascii="Arial" w:hAnsi="Arial"/>
                <w:b w:val="0"/>
                <w:i w:val="0"/>
                <w:color w:val="1E242A"/>
                <w:sz w:val="16"/>
              </w:rPr>
              <w:t>P19</w:t>
            </w:r>
          </w:p>
        </w:tc>
        <w:tc>
          <w:tcPr>
            <w:tcW w:type="dxa" w:w="1560"/>
            <w:vAlign w:val="top"/>
          </w:tcPr>
          <w:p>
            <w:r/>
            <w:r>
              <w:rPr>
                <w:rFonts w:ascii="Arial" w:hAnsi="Arial"/>
                <w:b w:val="0"/>
                <w:i w:val="0"/>
                <w:color w:val="1E242A"/>
                <w:sz w:val="16"/>
              </w:rPr>
              <w:t>2020–22</w:t>
            </w:r>
          </w:p>
        </w:tc>
        <w:tc>
          <w:tcPr>
            <w:tcW w:type="dxa" w:w="1560"/>
            <w:vAlign w:val="top"/>
          </w:tcPr>
          <w:p>
            <w:r/>
            <w:r>
              <w:rPr>
                <w:rFonts w:ascii="Arial" w:hAnsi="Arial"/>
                <w:b w:val="0"/>
                <w:i w:val="0"/>
                <w:color w:val="1E242A"/>
                <w:sz w:val="16"/>
              </w:rPr>
              <w:t>Pandemic governance conflict</w:t>
            </w:r>
          </w:p>
        </w:tc>
        <w:tc>
          <w:tcPr>
            <w:tcW w:type="dxa" w:w="1560"/>
            <w:vAlign w:val="top"/>
          </w:tcPr>
          <w:p>
            <w:r/>
            <w:r>
              <w:rPr>
                <w:rFonts w:ascii="Arial" w:hAnsi="Arial"/>
                <w:b w:val="0"/>
                <w:i w:val="0"/>
                <w:color w:val="1E242A"/>
                <w:sz w:val="16"/>
              </w:rPr>
              <w:t>Federal health purchasing/funding, state restrictions, STF federalism orders, CPI oversight</w:t>
            </w:r>
          </w:p>
        </w:tc>
        <w:tc>
          <w:tcPr>
            <w:tcW w:type="dxa" w:w="1560"/>
            <w:vAlign w:val="top"/>
          </w:tcPr>
          <w:p>
            <w:r/>
            <w:r>
              <w:rPr>
                <w:rFonts w:ascii="Arial" w:hAnsi="Arial"/>
                <w:b w:val="0"/>
                <w:i w:val="0"/>
                <w:color w:val="1E242A"/>
                <w:sz w:val="16"/>
              </w:rPr>
              <w:t>Concurrent authority produced both redundancy and conflict; court action preserved subnational room</w:t>
            </w:r>
          </w:p>
        </w:tc>
        <w:tc>
          <w:tcPr>
            <w:tcW w:type="dxa" w:w="1560"/>
            <w:vAlign w:val="top"/>
          </w:tcPr>
          <w:p>
            <w:r/>
            <w:r>
              <w:rPr>
                <w:rFonts w:ascii="Arial" w:hAnsi="Arial"/>
                <w:b w:val="0"/>
                <w:i w:val="0"/>
                <w:color w:val="1E242A"/>
                <w:sz w:val="16"/>
              </w:rPr>
              <w:t>High on institutions; causal health effects contested</w:t>
            </w:r>
          </w:p>
        </w:tc>
      </w:tr>
      <w:tr>
        <w:trPr>
          <w:cantSplit/>
        </w:trPr>
        <w:tc>
          <w:tcPr>
            <w:tcW w:type="dxa" w:w="1560"/>
            <w:vAlign w:val="top"/>
          </w:tcPr>
          <w:p>
            <w:r/>
            <w:r>
              <w:rPr>
                <w:rFonts w:ascii="Arial" w:hAnsi="Arial"/>
                <w:b w:val="0"/>
                <w:i w:val="0"/>
                <w:color w:val="1E242A"/>
                <w:sz w:val="16"/>
              </w:rPr>
              <w:t>P20</w:t>
            </w:r>
          </w:p>
        </w:tc>
        <w:tc>
          <w:tcPr>
            <w:tcW w:type="dxa" w:w="1560"/>
            <w:vAlign w:val="top"/>
          </w:tcPr>
          <w:p>
            <w:r/>
            <w:r>
              <w:rPr>
                <w:rFonts w:ascii="Arial" w:hAnsi="Arial"/>
                <w:b w:val="0"/>
                <w:i w:val="0"/>
                <w:color w:val="1E242A"/>
                <w:sz w:val="16"/>
              </w:rPr>
              <w:t>2001–02</w:t>
            </w:r>
          </w:p>
        </w:tc>
        <w:tc>
          <w:tcPr>
            <w:tcW w:type="dxa" w:w="1560"/>
            <w:vAlign w:val="top"/>
          </w:tcPr>
          <w:p>
            <w:r/>
            <w:r>
              <w:rPr>
                <w:rFonts w:ascii="Arial" w:hAnsi="Arial"/>
                <w:b w:val="0"/>
                <w:i w:val="0"/>
                <w:color w:val="1E242A"/>
                <w:sz w:val="16"/>
              </w:rPr>
              <w:t>Hydrological and investment-driven electricity shortage</w:t>
            </w:r>
          </w:p>
        </w:tc>
        <w:tc>
          <w:tcPr>
            <w:tcW w:type="dxa" w:w="1560"/>
            <w:vAlign w:val="top"/>
          </w:tcPr>
          <w:p>
            <w:r/>
            <w:r>
              <w:rPr>
                <w:rFonts w:ascii="Arial" w:hAnsi="Arial"/>
                <w:b w:val="0"/>
                <w:i w:val="0"/>
                <w:color w:val="1E242A"/>
                <w:sz w:val="16"/>
              </w:rPr>
              <w:t>Emergency chamber, compulsory consumption targets, tariffs/bonuses and communication</w:t>
            </w:r>
          </w:p>
        </w:tc>
        <w:tc>
          <w:tcPr>
            <w:tcW w:type="dxa" w:w="1560"/>
            <w:vAlign w:val="top"/>
          </w:tcPr>
          <w:p>
            <w:r/>
            <w:r>
              <w:rPr>
                <w:rFonts w:ascii="Arial" w:hAnsi="Arial"/>
                <w:b w:val="0"/>
                <w:i w:val="0"/>
                <w:color w:val="1E242A"/>
                <w:sz w:val="16"/>
              </w:rPr>
              <w:t>Demand rationing avoided uncontrolled blackouts; crisis produced regulatory/investment learning</w:t>
            </w:r>
          </w:p>
        </w:tc>
        <w:tc>
          <w:tcPr>
            <w:tcW w:type="dxa" w:w="1560"/>
            <w:vAlign w:val="top"/>
          </w:tcPr>
          <w:p>
            <w:r/>
            <w:r>
              <w:rPr>
                <w:rFonts w:ascii="Arial" w:hAnsi="Arial"/>
                <w:b w:val="0"/>
                <w:i w:val="0"/>
                <w:color w:val="1E242A"/>
                <w:sz w:val="16"/>
              </w:rPr>
              <w:t>High/Moderate</w:t>
            </w:r>
          </w:p>
        </w:tc>
      </w:tr>
      <w:tr>
        <w:trPr>
          <w:cantSplit/>
        </w:trPr>
        <w:tc>
          <w:tcPr>
            <w:tcW w:type="dxa" w:w="1560"/>
            <w:vAlign w:val="top"/>
          </w:tcPr>
          <w:p>
            <w:r/>
            <w:r>
              <w:rPr>
                <w:rFonts w:ascii="Arial" w:hAnsi="Arial"/>
                <w:b w:val="0"/>
                <w:i w:val="0"/>
                <w:color w:val="1E242A"/>
                <w:sz w:val="16"/>
              </w:rPr>
              <w:t>P21</w:t>
            </w:r>
          </w:p>
        </w:tc>
        <w:tc>
          <w:tcPr>
            <w:tcW w:type="dxa" w:w="1560"/>
            <w:vAlign w:val="top"/>
          </w:tcPr>
          <w:p>
            <w:r/>
            <w:r>
              <w:rPr>
                <w:rFonts w:ascii="Arial" w:hAnsi="Arial"/>
                <w:b w:val="0"/>
                <w:i w:val="0"/>
                <w:color w:val="1E242A"/>
                <w:sz w:val="16"/>
              </w:rPr>
              <w:t>2016–22</w:t>
            </w:r>
          </w:p>
        </w:tc>
        <w:tc>
          <w:tcPr>
            <w:tcW w:type="dxa" w:w="1560"/>
            <w:vAlign w:val="top"/>
          </w:tcPr>
          <w:p>
            <w:r/>
            <w:r>
              <w:rPr>
                <w:rFonts w:ascii="Arial" w:hAnsi="Arial"/>
                <w:b w:val="0"/>
                <w:i w:val="0"/>
                <w:color w:val="1E242A"/>
                <w:sz w:val="16"/>
              </w:rPr>
              <w:t>Fuel-price volatility and political pressure</w:t>
            </w:r>
          </w:p>
        </w:tc>
        <w:tc>
          <w:tcPr>
            <w:tcW w:type="dxa" w:w="1560"/>
            <w:vAlign w:val="top"/>
          </w:tcPr>
          <w:p>
            <w:r/>
            <w:r>
              <w:rPr>
                <w:rFonts w:ascii="Arial" w:hAnsi="Arial"/>
                <w:b w:val="0"/>
                <w:i w:val="0"/>
                <w:color w:val="1E242A"/>
                <w:sz w:val="16"/>
              </w:rPr>
              <w:t>Petrobras pricing governance, federal/state tax changes, subsidies and leadership replacement</w:t>
            </w:r>
          </w:p>
        </w:tc>
        <w:tc>
          <w:tcPr>
            <w:tcW w:type="dxa" w:w="1560"/>
            <w:vAlign w:val="top"/>
          </w:tcPr>
          <w:p>
            <w:r/>
            <w:r>
              <w:rPr>
                <w:rFonts w:ascii="Arial" w:hAnsi="Arial"/>
                <w:b w:val="0"/>
                <w:i w:val="0"/>
                <w:color w:val="1E242A"/>
                <w:sz w:val="16"/>
              </w:rPr>
              <w:t>Government influence is powerful but indirect and costly; shifting burden among SOE, budget and taxes has trade-offs</w:t>
            </w:r>
          </w:p>
        </w:tc>
        <w:tc>
          <w:tcPr>
            <w:tcW w:type="dxa" w:w="1560"/>
            <w:vAlign w:val="top"/>
          </w:tcPr>
          <w:p>
            <w:r/>
            <w:r>
              <w:rPr>
                <w:rFonts w:ascii="Arial" w:hAnsi="Arial"/>
                <w:b w:val="0"/>
                <w:i w:val="0"/>
                <w:color w:val="1E242A"/>
                <w:sz w:val="16"/>
              </w:rPr>
              <w:t>High on instruments; Moderate on effects</w:t>
            </w:r>
          </w:p>
        </w:tc>
      </w:tr>
      <w:tr>
        <w:trPr>
          <w:cantSplit/>
        </w:trPr>
        <w:tc>
          <w:tcPr>
            <w:tcW w:type="dxa" w:w="1560"/>
            <w:vAlign w:val="top"/>
          </w:tcPr>
          <w:p>
            <w:r/>
            <w:r>
              <w:rPr>
                <w:rFonts w:ascii="Arial" w:hAnsi="Arial"/>
                <w:b w:val="0"/>
                <w:i w:val="0"/>
                <w:color w:val="1E242A"/>
                <w:sz w:val="16"/>
              </w:rPr>
              <w:t>P22</w:t>
            </w:r>
          </w:p>
        </w:tc>
        <w:tc>
          <w:tcPr>
            <w:tcW w:type="dxa" w:w="1560"/>
            <w:vAlign w:val="top"/>
          </w:tcPr>
          <w:p>
            <w:r/>
            <w:r>
              <w:rPr>
                <w:rFonts w:ascii="Arial" w:hAnsi="Arial"/>
                <w:b w:val="0"/>
                <w:i w:val="0"/>
                <w:color w:val="1E242A"/>
                <w:sz w:val="16"/>
              </w:rPr>
              <w:t>2018</w:t>
            </w:r>
          </w:p>
        </w:tc>
        <w:tc>
          <w:tcPr>
            <w:tcW w:type="dxa" w:w="1560"/>
            <w:vAlign w:val="top"/>
          </w:tcPr>
          <w:p>
            <w:r/>
            <w:r>
              <w:rPr>
                <w:rFonts w:ascii="Arial" w:hAnsi="Arial"/>
                <w:b w:val="0"/>
                <w:i w:val="0"/>
                <w:color w:val="1E242A"/>
                <w:sz w:val="16"/>
              </w:rPr>
              <w:t>Diesel-price shock and logistics stoppage</w:t>
            </w:r>
          </w:p>
        </w:tc>
        <w:tc>
          <w:tcPr>
            <w:tcW w:type="dxa" w:w="1560"/>
            <w:vAlign w:val="top"/>
          </w:tcPr>
          <w:p>
            <w:r/>
            <w:r>
              <w:rPr>
                <w:rFonts w:ascii="Arial" w:hAnsi="Arial"/>
                <w:b w:val="0"/>
                <w:i w:val="0"/>
                <w:color w:val="1E242A"/>
                <w:sz w:val="16"/>
              </w:rPr>
              <w:t>Negotiated freight table, diesel subsidy/tax relief, enforcement and military logistics</w:t>
            </w:r>
          </w:p>
        </w:tc>
        <w:tc>
          <w:tcPr>
            <w:tcW w:type="dxa" w:w="1560"/>
            <w:vAlign w:val="top"/>
          </w:tcPr>
          <w:p>
            <w:r/>
            <w:r>
              <w:rPr>
                <w:rFonts w:ascii="Arial" w:hAnsi="Arial"/>
                <w:b w:val="0"/>
                <w:i w:val="0"/>
                <w:color w:val="1E242A"/>
                <w:sz w:val="16"/>
              </w:rPr>
              <w:t>Dispersed sector mobilisation exploited road dependence and forced a costly rapid package</w:t>
            </w:r>
          </w:p>
        </w:tc>
        <w:tc>
          <w:tcPr>
            <w:tcW w:type="dxa" w:w="1560"/>
            <w:vAlign w:val="top"/>
          </w:tcPr>
          <w:p>
            <w:r/>
            <w:r>
              <w:rPr>
                <w:rFonts w:ascii="Arial" w:hAnsi="Arial"/>
                <w:b w:val="0"/>
                <w:i w:val="0"/>
                <w:color w:val="1E242A"/>
                <w:sz w:val="16"/>
              </w:rPr>
              <w:t>High on sequence; Moderate causally</w:t>
            </w:r>
          </w:p>
        </w:tc>
      </w:tr>
      <w:tr>
        <w:trPr>
          <w:cantSplit/>
        </w:trPr>
        <w:tc>
          <w:tcPr>
            <w:tcW w:type="dxa" w:w="1560"/>
            <w:vAlign w:val="top"/>
          </w:tcPr>
          <w:p>
            <w:r/>
            <w:r>
              <w:rPr>
                <w:rFonts w:ascii="Arial" w:hAnsi="Arial"/>
                <w:b w:val="0"/>
                <w:i w:val="0"/>
                <w:color w:val="1E242A"/>
                <w:sz w:val="16"/>
              </w:rPr>
              <w:t>P23</w:t>
            </w:r>
          </w:p>
        </w:tc>
        <w:tc>
          <w:tcPr>
            <w:tcW w:type="dxa" w:w="1560"/>
            <w:vAlign w:val="top"/>
          </w:tcPr>
          <w:p>
            <w:r/>
            <w:r>
              <w:rPr>
                <w:rFonts w:ascii="Arial" w:hAnsi="Arial"/>
                <w:b w:val="0"/>
                <w:i w:val="0"/>
                <w:color w:val="1E242A"/>
                <w:sz w:val="16"/>
              </w:rPr>
              <w:t>2004–12</w:t>
            </w:r>
          </w:p>
        </w:tc>
        <w:tc>
          <w:tcPr>
            <w:tcW w:type="dxa" w:w="1560"/>
            <w:vAlign w:val="top"/>
          </w:tcPr>
          <w:p>
            <w:r/>
            <w:r>
              <w:rPr>
                <w:rFonts w:ascii="Arial" w:hAnsi="Arial"/>
                <w:b w:val="0"/>
                <w:i w:val="0"/>
                <w:color w:val="1E242A"/>
                <w:sz w:val="16"/>
              </w:rPr>
              <w:t>Amazon deforestation</w:t>
            </w:r>
          </w:p>
        </w:tc>
        <w:tc>
          <w:tcPr>
            <w:tcW w:type="dxa" w:w="1560"/>
            <w:vAlign w:val="top"/>
          </w:tcPr>
          <w:p>
            <w:r/>
            <w:r>
              <w:rPr>
                <w:rFonts w:ascii="Arial" w:hAnsi="Arial"/>
                <w:b w:val="0"/>
                <w:i w:val="0"/>
                <w:color w:val="1E242A"/>
                <w:sz w:val="16"/>
              </w:rPr>
              <w:t>PPCDAm monitoring, protected areas, enforcement, credit/supply-chain measures</w:t>
            </w:r>
          </w:p>
        </w:tc>
        <w:tc>
          <w:tcPr>
            <w:tcW w:type="dxa" w:w="1560"/>
            <w:vAlign w:val="top"/>
          </w:tcPr>
          <w:p>
            <w:r/>
            <w:r>
              <w:rPr>
                <w:rFonts w:ascii="Arial" w:hAnsi="Arial"/>
                <w:b w:val="0"/>
                <w:i w:val="0"/>
                <w:color w:val="1E242A"/>
                <w:sz w:val="16"/>
              </w:rPr>
              <w:t>Enforcement and monitoring materially contributed, alongside prices, exchange rates and private commitments</w:t>
            </w:r>
          </w:p>
        </w:tc>
        <w:tc>
          <w:tcPr>
            <w:tcW w:type="dxa" w:w="1560"/>
            <w:vAlign w:val="top"/>
          </w:tcPr>
          <w:p>
            <w:r/>
            <w:r>
              <w:rPr>
                <w:rFonts w:ascii="Arial" w:hAnsi="Arial"/>
                <w:b w:val="0"/>
                <w:i w:val="0"/>
                <w:color w:val="1E242A"/>
                <w:sz w:val="16"/>
              </w:rPr>
              <w:t>Moderate/High</w:t>
            </w:r>
          </w:p>
        </w:tc>
      </w:tr>
      <w:tr>
        <w:trPr>
          <w:cantSplit/>
        </w:trPr>
        <w:tc>
          <w:tcPr>
            <w:tcW w:type="dxa" w:w="1560"/>
            <w:vAlign w:val="top"/>
          </w:tcPr>
          <w:p>
            <w:r/>
            <w:r>
              <w:rPr>
                <w:rFonts w:ascii="Arial" w:hAnsi="Arial"/>
                <w:b w:val="0"/>
                <w:i w:val="0"/>
                <w:color w:val="1E242A"/>
                <w:sz w:val="16"/>
              </w:rPr>
              <w:t>P24</w:t>
            </w:r>
          </w:p>
        </w:tc>
        <w:tc>
          <w:tcPr>
            <w:tcW w:type="dxa" w:w="1560"/>
            <w:vAlign w:val="top"/>
          </w:tcPr>
          <w:p>
            <w:r/>
            <w:r>
              <w:rPr>
                <w:rFonts w:ascii="Arial" w:hAnsi="Arial"/>
                <w:b w:val="0"/>
                <w:i w:val="0"/>
                <w:color w:val="1E242A"/>
                <w:sz w:val="16"/>
              </w:rPr>
              <w:t>2019–22; 2023–26</w:t>
            </w:r>
          </w:p>
        </w:tc>
        <w:tc>
          <w:tcPr>
            <w:tcW w:type="dxa" w:w="1560"/>
            <w:vAlign w:val="top"/>
          </w:tcPr>
          <w:p>
            <w:r/>
            <w:r>
              <w:rPr>
                <w:rFonts w:ascii="Arial" w:hAnsi="Arial"/>
                <w:b w:val="0"/>
                <w:i w:val="0"/>
                <w:color w:val="1E242A"/>
                <w:sz w:val="16"/>
              </w:rPr>
              <w:t>Deforestation-policy reversal/restoration</w:t>
            </w:r>
          </w:p>
        </w:tc>
        <w:tc>
          <w:tcPr>
            <w:tcW w:type="dxa" w:w="1560"/>
            <w:vAlign w:val="top"/>
          </w:tcPr>
          <w:p>
            <w:r/>
            <w:r>
              <w:rPr>
                <w:rFonts w:ascii="Arial" w:hAnsi="Arial"/>
                <w:b w:val="0"/>
                <w:i w:val="0"/>
                <w:color w:val="1E242A"/>
                <w:sz w:val="16"/>
              </w:rPr>
              <w:t>Budget/personnel/enforcement shifts, Amazon Fund suspension/revival, PPCDAm relaunch</w:t>
            </w:r>
          </w:p>
        </w:tc>
        <w:tc>
          <w:tcPr>
            <w:tcW w:type="dxa" w:w="1560"/>
            <w:vAlign w:val="top"/>
          </w:tcPr>
          <w:p>
            <w:r/>
            <w:r>
              <w:rPr>
                <w:rFonts w:ascii="Arial" w:hAnsi="Arial"/>
                <w:b w:val="0"/>
                <w:i w:val="0"/>
                <w:color w:val="1E242A"/>
                <w:sz w:val="16"/>
              </w:rPr>
              <w:t>Administrative weakening/strengthening can change real enforcement without repealing constitutional duties</w:t>
            </w:r>
          </w:p>
        </w:tc>
        <w:tc>
          <w:tcPr>
            <w:tcW w:type="dxa" w:w="1560"/>
            <w:vAlign w:val="top"/>
          </w:tcPr>
          <w:p>
            <w:r/>
            <w:r>
              <w:rPr>
                <w:rFonts w:ascii="Arial" w:hAnsi="Arial"/>
                <w:b w:val="0"/>
                <w:i w:val="0"/>
                <w:color w:val="1E242A"/>
                <w:sz w:val="16"/>
              </w:rPr>
              <w:t>High on institutional change; Moderate outcomes</w:t>
            </w:r>
          </w:p>
        </w:tc>
      </w:tr>
      <w:tr>
        <w:trPr>
          <w:cantSplit/>
        </w:trPr>
        <w:tc>
          <w:tcPr>
            <w:tcW w:type="dxa" w:w="1560"/>
            <w:vAlign w:val="top"/>
          </w:tcPr>
          <w:p>
            <w:r/>
            <w:r>
              <w:rPr>
                <w:rFonts w:ascii="Arial" w:hAnsi="Arial"/>
                <w:b w:val="0"/>
                <w:i w:val="0"/>
                <w:color w:val="1E242A"/>
                <w:sz w:val="16"/>
              </w:rPr>
              <w:t>P25</w:t>
            </w:r>
          </w:p>
        </w:tc>
        <w:tc>
          <w:tcPr>
            <w:tcW w:type="dxa" w:w="1560"/>
            <w:vAlign w:val="top"/>
          </w:tcPr>
          <w:p>
            <w:r/>
            <w:r>
              <w:rPr>
                <w:rFonts w:ascii="Arial" w:hAnsi="Arial"/>
                <w:b w:val="0"/>
                <w:i w:val="0"/>
                <w:color w:val="1E242A"/>
                <w:sz w:val="16"/>
              </w:rPr>
              <w:t>2006 onward</w:t>
            </w:r>
          </w:p>
        </w:tc>
        <w:tc>
          <w:tcPr>
            <w:tcW w:type="dxa" w:w="1560"/>
            <w:vAlign w:val="top"/>
          </w:tcPr>
          <w:p>
            <w:r/>
            <w:r>
              <w:rPr>
                <w:rFonts w:ascii="Arial" w:hAnsi="Arial"/>
                <w:b w:val="0"/>
                <w:i w:val="0"/>
                <w:color w:val="1E242A"/>
                <w:sz w:val="16"/>
              </w:rPr>
              <w:t>PCC command and interstate reach</w:t>
            </w:r>
          </w:p>
        </w:tc>
        <w:tc>
          <w:tcPr>
            <w:tcW w:type="dxa" w:w="1560"/>
            <w:vAlign w:val="top"/>
          </w:tcPr>
          <w:p>
            <w:r/>
            <w:r>
              <w:rPr>
                <w:rFonts w:ascii="Arial" w:hAnsi="Arial"/>
                <w:b w:val="0"/>
                <w:i w:val="0"/>
                <w:color w:val="1E242A"/>
                <w:sz w:val="16"/>
              </w:rPr>
              <w:t>Prison isolation/transfers, federal prisons, PF financial cases and joint forces</w:t>
            </w:r>
          </w:p>
        </w:tc>
        <w:tc>
          <w:tcPr>
            <w:tcW w:type="dxa" w:w="1560"/>
            <w:vAlign w:val="top"/>
          </w:tcPr>
          <w:p>
            <w:r/>
            <w:r>
              <w:rPr>
                <w:rFonts w:ascii="Arial" w:hAnsi="Arial"/>
                <w:b w:val="0"/>
                <w:i w:val="0"/>
                <w:color w:val="1E242A"/>
                <w:sz w:val="16"/>
              </w:rPr>
              <w:t>Tactical disruption can prompt organisational adaptation; prison governance is central</w:t>
            </w:r>
          </w:p>
        </w:tc>
        <w:tc>
          <w:tcPr>
            <w:tcW w:type="dxa" w:w="1560"/>
            <w:vAlign w:val="top"/>
          </w:tcPr>
          <w:p>
            <w:r/>
            <w:r>
              <w:rPr>
                <w:rFonts w:ascii="Arial" w:hAnsi="Arial"/>
                <w:b w:val="0"/>
                <w:i w:val="0"/>
                <w:color w:val="1E242A"/>
                <w:sz w:val="16"/>
              </w:rPr>
              <w:t>Moderate; evidence uneven</w:t>
            </w:r>
          </w:p>
        </w:tc>
      </w:tr>
      <w:tr>
        <w:trPr>
          <w:cantSplit/>
        </w:trPr>
        <w:tc>
          <w:tcPr>
            <w:tcW w:type="dxa" w:w="1560"/>
            <w:vAlign w:val="top"/>
          </w:tcPr>
          <w:p>
            <w:r/>
            <w:r>
              <w:rPr>
                <w:rFonts w:ascii="Arial" w:hAnsi="Arial"/>
                <w:b w:val="0"/>
                <w:i w:val="0"/>
                <w:color w:val="1E242A"/>
                <w:sz w:val="16"/>
              </w:rPr>
              <w:t>P26</w:t>
            </w:r>
          </w:p>
        </w:tc>
        <w:tc>
          <w:tcPr>
            <w:tcW w:type="dxa" w:w="1560"/>
            <w:vAlign w:val="top"/>
          </w:tcPr>
          <w:p>
            <w:r/>
            <w:r>
              <w:rPr>
                <w:rFonts w:ascii="Arial" w:hAnsi="Arial"/>
                <w:b w:val="0"/>
                <w:i w:val="0"/>
                <w:color w:val="1E242A"/>
                <w:sz w:val="16"/>
              </w:rPr>
              <w:t>2018</w:t>
            </w:r>
          </w:p>
        </w:tc>
        <w:tc>
          <w:tcPr>
            <w:tcW w:type="dxa" w:w="1560"/>
            <w:vAlign w:val="top"/>
          </w:tcPr>
          <w:p>
            <w:r/>
            <w:r>
              <w:rPr>
                <w:rFonts w:ascii="Arial" w:hAnsi="Arial"/>
                <w:b w:val="0"/>
                <w:i w:val="0"/>
                <w:color w:val="1E242A"/>
                <w:sz w:val="16"/>
              </w:rPr>
              <w:t>Acute Rio public-security crisis</w:t>
            </w:r>
          </w:p>
        </w:tc>
        <w:tc>
          <w:tcPr>
            <w:tcW w:type="dxa" w:w="1560"/>
            <w:vAlign w:val="top"/>
          </w:tcPr>
          <w:p>
            <w:r/>
            <w:r>
              <w:rPr>
                <w:rFonts w:ascii="Arial" w:hAnsi="Arial"/>
                <w:b w:val="0"/>
                <w:i w:val="0"/>
                <w:color w:val="1E242A"/>
                <w:sz w:val="16"/>
              </w:rPr>
              <w:t>Federal intervention decree, military intervener, congressional approval, state apparatus command</w:t>
            </w:r>
          </w:p>
        </w:tc>
        <w:tc>
          <w:tcPr>
            <w:tcW w:type="dxa" w:w="1560"/>
            <w:vAlign w:val="top"/>
          </w:tcPr>
          <w:p>
            <w:r/>
            <w:r>
              <w:rPr>
                <w:rFonts w:ascii="Arial" w:hAnsi="Arial"/>
                <w:b w:val="0"/>
                <w:i w:val="0"/>
                <w:color w:val="1E242A"/>
                <w:sz w:val="16"/>
              </w:rPr>
              <w:t>Exceptional command substitution was feasible; durable public-safety improvement is not established</w:t>
            </w:r>
          </w:p>
        </w:tc>
        <w:tc>
          <w:tcPr>
            <w:tcW w:type="dxa" w:w="1560"/>
            <w:vAlign w:val="top"/>
          </w:tcPr>
          <w:p>
            <w:r/>
            <w:r>
              <w:rPr>
                <w:rFonts w:ascii="Arial" w:hAnsi="Arial"/>
                <w:b w:val="0"/>
                <w:i w:val="0"/>
                <w:color w:val="1E242A"/>
                <w:sz w:val="16"/>
              </w:rPr>
              <w:t>High on route; Low/Moderate outcome</w:t>
            </w:r>
          </w:p>
        </w:tc>
      </w:tr>
      <w:tr>
        <w:trPr>
          <w:cantSplit/>
        </w:trPr>
        <w:tc>
          <w:tcPr>
            <w:tcW w:type="dxa" w:w="1560"/>
            <w:vAlign w:val="top"/>
          </w:tcPr>
          <w:p>
            <w:r/>
            <w:r>
              <w:rPr>
                <w:rFonts w:ascii="Arial" w:hAnsi="Arial"/>
                <w:b w:val="0"/>
                <w:i w:val="0"/>
                <w:color w:val="1E242A"/>
                <w:sz w:val="16"/>
              </w:rPr>
              <w:t>P27</w:t>
            </w:r>
          </w:p>
        </w:tc>
        <w:tc>
          <w:tcPr>
            <w:tcW w:type="dxa" w:w="1560"/>
            <w:vAlign w:val="top"/>
          </w:tcPr>
          <w:p>
            <w:r/>
            <w:r>
              <w:rPr>
                <w:rFonts w:ascii="Arial" w:hAnsi="Arial"/>
                <w:b w:val="0"/>
                <w:i w:val="0"/>
                <w:color w:val="1E242A"/>
                <w:sz w:val="16"/>
              </w:rPr>
              <w:t>2004 onward</w:t>
            </w:r>
          </w:p>
        </w:tc>
        <w:tc>
          <w:tcPr>
            <w:tcW w:type="dxa" w:w="1560"/>
            <w:vAlign w:val="top"/>
          </w:tcPr>
          <w:p>
            <w:r/>
            <w:r>
              <w:rPr>
                <w:rFonts w:ascii="Arial" w:hAnsi="Arial"/>
                <w:b w:val="0"/>
                <w:i w:val="0"/>
                <w:color w:val="1E242A"/>
                <w:sz w:val="16"/>
              </w:rPr>
              <w:t>Cross-border and interstate organised crime</w:t>
            </w:r>
          </w:p>
        </w:tc>
        <w:tc>
          <w:tcPr>
            <w:tcW w:type="dxa" w:w="1560"/>
            <w:vAlign w:val="top"/>
          </w:tcPr>
          <w:p>
            <w:r/>
            <w:r>
              <w:rPr>
                <w:rFonts w:ascii="Arial" w:hAnsi="Arial"/>
                <w:b w:val="0"/>
                <w:i w:val="0"/>
                <w:color w:val="1E242A"/>
                <w:sz w:val="16"/>
              </w:rPr>
              <w:t>PF investigations, integrated centres/task forces, Força Nacional and border operations</w:t>
            </w:r>
          </w:p>
        </w:tc>
        <w:tc>
          <w:tcPr>
            <w:tcW w:type="dxa" w:w="1560"/>
            <w:vAlign w:val="top"/>
          </w:tcPr>
          <w:p>
            <w:r/>
            <w:r>
              <w:rPr>
                <w:rFonts w:ascii="Arial" w:hAnsi="Arial"/>
                <w:b w:val="0"/>
                <w:i w:val="0"/>
                <w:color w:val="1E242A"/>
                <w:sz w:val="16"/>
              </w:rPr>
              <w:t>Coordination extends reach, but arrests/seizures alone do not establish durable network reduction</w:t>
            </w:r>
          </w:p>
        </w:tc>
        <w:tc>
          <w:tcPr>
            <w:tcW w:type="dxa" w:w="1560"/>
            <w:vAlign w:val="top"/>
          </w:tcPr>
          <w:p>
            <w:r/>
            <w:r>
              <w:rPr>
                <w:rFonts w:ascii="Arial" w:hAnsi="Arial"/>
                <w:b w:val="0"/>
                <w:i w:val="0"/>
                <w:color w:val="1E242A"/>
                <w:sz w:val="16"/>
              </w:rPr>
              <w:t>Moderate</w:t>
            </w:r>
          </w:p>
        </w:tc>
      </w:tr>
      <w:tr>
        <w:trPr>
          <w:cantSplit/>
        </w:trPr>
        <w:tc>
          <w:tcPr>
            <w:tcW w:type="dxa" w:w="1560"/>
            <w:vAlign w:val="top"/>
          </w:tcPr>
          <w:p>
            <w:r/>
            <w:r>
              <w:rPr>
                <w:rFonts w:ascii="Arial" w:hAnsi="Arial"/>
                <w:b w:val="0"/>
                <w:i w:val="0"/>
                <w:color w:val="1E242A"/>
                <w:sz w:val="16"/>
              </w:rPr>
              <w:t>P28</w:t>
            </w:r>
          </w:p>
        </w:tc>
        <w:tc>
          <w:tcPr>
            <w:tcW w:type="dxa" w:w="1560"/>
            <w:vAlign w:val="top"/>
          </w:tcPr>
          <w:p>
            <w:r/>
            <w:r>
              <w:rPr>
                <w:rFonts w:ascii="Arial" w:hAnsi="Arial"/>
                <w:b w:val="0"/>
                <w:i w:val="0"/>
                <w:color w:val="1E242A"/>
                <w:sz w:val="16"/>
              </w:rPr>
              <w:t>2005–14</w:t>
            </w:r>
          </w:p>
        </w:tc>
        <w:tc>
          <w:tcPr>
            <w:tcW w:type="dxa" w:w="1560"/>
            <w:vAlign w:val="top"/>
          </w:tcPr>
          <w:p>
            <w:r/>
            <w:r>
              <w:rPr>
                <w:rFonts w:ascii="Arial" w:hAnsi="Arial"/>
                <w:b w:val="0"/>
                <w:i w:val="0"/>
                <w:color w:val="1E242A"/>
                <w:sz w:val="16"/>
              </w:rPr>
              <w:t>Systemic political corruption</w:t>
            </w:r>
          </w:p>
        </w:tc>
        <w:tc>
          <w:tcPr>
            <w:tcW w:type="dxa" w:w="1560"/>
            <w:vAlign w:val="top"/>
          </w:tcPr>
          <w:p>
            <w:r/>
            <w:r>
              <w:rPr>
                <w:rFonts w:ascii="Arial" w:hAnsi="Arial"/>
                <w:b w:val="0"/>
                <w:i w:val="0"/>
                <w:color w:val="1E242A"/>
                <w:sz w:val="16"/>
              </w:rPr>
              <w:t>CPI/PF/PGR investigation and STF Mensalão trial; compliance laws</w:t>
            </w:r>
          </w:p>
        </w:tc>
        <w:tc>
          <w:tcPr>
            <w:tcW w:type="dxa" w:w="1560"/>
            <w:vAlign w:val="top"/>
          </w:tcPr>
          <w:p>
            <w:r/>
            <w:r>
              <w:rPr>
                <w:rFonts w:ascii="Arial" w:hAnsi="Arial"/>
                <w:b w:val="0"/>
                <w:i w:val="0"/>
                <w:color w:val="1E242A"/>
                <w:sz w:val="16"/>
              </w:rPr>
              <w:t>Autonomous institutions could sanction senior coalition actors; reforms followed but did not end corruption</w:t>
            </w:r>
          </w:p>
        </w:tc>
        <w:tc>
          <w:tcPr>
            <w:tcW w:type="dxa" w:w="1560"/>
            <w:vAlign w:val="top"/>
          </w:tcPr>
          <w:p>
            <w:r/>
            <w:r>
              <w:rPr>
                <w:rFonts w:ascii="Arial" w:hAnsi="Arial"/>
                <w:b w:val="0"/>
                <w:i w:val="0"/>
                <w:color w:val="1E242A"/>
                <w:sz w:val="16"/>
              </w:rPr>
              <w:t>High on sequence; Low on broad deterrence</w:t>
            </w:r>
          </w:p>
        </w:tc>
      </w:tr>
      <w:tr>
        <w:trPr>
          <w:cantSplit/>
        </w:trPr>
        <w:tc>
          <w:tcPr>
            <w:tcW w:type="dxa" w:w="1560"/>
            <w:vAlign w:val="top"/>
          </w:tcPr>
          <w:p>
            <w:r/>
            <w:r>
              <w:rPr>
                <w:rFonts w:ascii="Arial" w:hAnsi="Arial"/>
                <w:b w:val="0"/>
                <w:i w:val="0"/>
                <w:color w:val="1E242A"/>
                <w:sz w:val="16"/>
              </w:rPr>
              <w:t>P29</w:t>
            </w:r>
          </w:p>
        </w:tc>
        <w:tc>
          <w:tcPr>
            <w:tcW w:type="dxa" w:w="1560"/>
            <w:vAlign w:val="top"/>
          </w:tcPr>
          <w:p>
            <w:r/>
            <w:r>
              <w:rPr>
                <w:rFonts w:ascii="Arial" w:hAnsi="Arial"/>
                <w:b w:val="0"/>
                <w:i w:val="0"/>
                <w:color w:val="1E242A"/>
                <w:sz w:val="16"/>
              </w:rPr>
              <w:t>2014–21</w:t>
            </w:r>
          </w:p>
        </w:tc>
        <w:tc>
          <w:tcPr>
            <w:tcW w:type="dxa" w:w="1560"/>
            <w:vAlign w:val="top"/>
          </w:tcPr>
          <w:p>
            <w:r/>
            <w:r>
              <w:rPr>
                <w:rFonts w:ascii="Arial" w:hAnsi="Arial"/>
                <w:b w:val="0"/>
                <w:i w:val="0"/>
                <w:color w:val="1E242A"/>
                <w:sz w:val="16"/>
              </w:rPr>
              <w:t>Petrobras contracting corruption</w:t>
            </w:r>
          </w:p>
        </w:tc>
        <w:tc>
          <w:tcPr>
            <w:tcW w:type="dxa" w:w="1560"/>
            <w:vAlign w:val="top"/>
          </w:tcPr>
          <w:p>
            <w:r/>
            <w:r>
              <w:rPr>
                <w:rFonts w:ascii="Arial" w:hAnsi="Arial"/>
                <w:b w:val="0"/>
                <w:i w:val="0"/>
                <w:color w:val="1E242A"/>
                <w:sz w:val="16"/>
              </w:rPr>
              <w:t>PF/MPF cases, Curitiba court, plea/leniency agreements; later STF jurisdiction and impartiality rulings</w:t>
            </w:r>
          </w:p>
        </w:tc>
        <w:tc>
          <w:tcPr>
            <w:tcW w:type="dxa" w:w="1560"/>
            <w:vAlign w:val="top"/>
          </w:tcPr>
          <w:p>
            <w:r/>
            <w:r>
              <w:rPr>
                <w:rFonts w:ascii="Arial" w:hAnsi="Arial"/>
                <w:b w:val="0"/>
                <w:i w:val="0"/>
                <w:color w:val="1E242A"/>
                <w:sz w:val="16"/>
              </w:rPr>
              <w:t>Enforcement recovered assets and disrupted politics/business, while procedural defects invalidated central cases</w:t>
            </w:r>
          </w:p>
        </w:tc>
        <w:tc>
          <w:tcPr>
            <w:tcW w:type="dxa" w:w="1560"/>
            <w:vAlign w:val="top"/>
          </w:tcPr>
          <w:p>
            <w:r/>
            <w:r>
              <w:rPr>
                <w:rFonts w:ascii="Arial" w:hAnsi="Arial"/>
                <w:b w:val="0"/>
                <w:i w:val="0"/>
                <w:color w:val="1E242A"/>
                <w:sz w:val="16"/>
              </w:rPr>
              <w:t>High on decisions; disputed net effects</w:t>
            </w:r>
          </w:p>
        </w:tc>
      </w:tr>
      <w:tr>
        <w:trPr>
          <w:cantSplit/>
        </w:trPr>
        <w:tc>
          <w:tcPr>
            <w:tcW w:type="dxa" w:w="1560"/>
            <w:vAlign w:val="top"/>
          </w:tcPr>
          <w:p>
            <w:r/>
            <w:r>
              <w:rPr>
                <w:rFonts w:ascii="Arial" w:hAnsi="Arial"/>
                <w:b w:val="0"/>
                <w:i w:val="0"/>
                <w:color w:val="1E242A"/>
                <w:sz w:val="16"/>
              </w:rPr>
              <w:t>P30</w:t>
            </w:r>
          </w:p>
        </w:tc>
        <w:tc>
          <w:tcPr>
            <w:tcW w:type="dxa" w:w="1560"/>
            <w:vAlign w:val="top"/>
          </w:tcPr>
          <w:p>
            <w:r/>
            <w:r>
              <w:rPr>
                <w:rFonts w:ascii="Arial" w:hAnsi="Arial"/>
                <w:b w:val="0"/>
                <w:i w:val="0"/>
                <w:color w:val="1E242A"/>
                <w:sz w:val="16"/>
              </w:rPr>
              <w:t>1995–2026</w:t>
            </w:r>
          </w:p>
        </w:tc>
        <w:tc>
          <w:tcPr>
            <w:tcW w:type="dxa" w:w="1560"/>
            <w:vAlign w:val="top"/>
          </w:tcPr>
          <w:p>
            <w:r/>
            <w:r>
              <w:rPr>
                <w:rFonts w:ascii="Arial" w:hAnsi="Arial"/>
                <w:b w:val="0"/>
                <w:i w:val="0"/>
                <w:color w:val="1E242A"/>
                <w:sz w:val="16"/>
              </w:rPr>
              <w:t>Fragmented Congress and presidential agenda</w:t>
            </w:r>
          </w:p>
        </w:tc>
        <w:tc>
          <w:tcPr>
            <w:tcW w:type="dxa" w:w="1560"/>
            <w:vAlign w:val="top"/>
          </w:tcPr>
          <w:p>
            <w:r/>
            <w:r>
              <w:rPr>
                <w:rFonts w:ascii="Arial" w:hAnsi="Arial"/>
                <w:b w:val="0"/>
                <w:i w:val="0"/>
                <w:color w:val="1E242A"/>
                <w:sz w:val="16"/>
              </w:rPr>
              <w:t>Cabinet portfolios, leaders, budget bargains, agenda powers and issue-specific support</w:t>
            </w:r>
          </w:p>
        </w:tc>
        <w:tc>
          <w:tcPr>
            <w:tcW w:type="dxa" w:w="1560"/>
            <w:vAlign w:val="top"/>
          </w:tcPr>
          <w:p>
            <w:r/>
            <w:r>
              <w:rPr>
                <w:rFonts w:ascii="Arial" w:hAnsi="Arial"/>
                <w:b w:val="0"/>
                <w:i w:val="0"/>
                <w:color w:val="1E242A"/>
                <w:sz w:val="16"/>
              </w:rPr>
              <w:t>Formal cabinet coalitions matter, but support varies by issue and can include non-coalition parties</w:t>
            </w:r>
          </w:p>
        </w:tc>
        <w:tc>
          <w:tcPr>
            <w:tcW w:type="dxa" w:w="1560"/>
            <w:vAlign w:val="top"/>
          </w:tcPr>
          <w:p>
            <w:r/>
            <w:r>
              <w:rPr>
                <w:rFonts w:ascii="Arial" w:hAnsi="Arial"/>
                <w:b w:val="0"/>
                <w:i w:val="0"/>
                <w:color w:val="1E242A"/>
                <w:sz w:val="16"/>
              </w:rPr>
              <w:t>High</w:t>
            </w:r>
          </w:p>
        </w:tc>
      </w:tr>
      <w:tr>
        <w:trPr>
          <w:cantSplit/>
        </w:trPr>
        <w:tc>
          <w:tcPr>
            <w:tcW w:type="dxa" w:w="1560"/>
            <w:vAlign w:val="top"/>
          </w:tcPr>
          <w:p>
            <w:r/>
            <w:r>
              <w:rPr>
                <w:rFonts w:ascii="Arial" w:hAnsi="Arial"/>
                <w:b w:val="0"/>
                <w:i w:val="0"/>
                <w:color w:val="1E242A"/>
                <w:sz w:val="16"/>
              </w:rPr>
              <w:t>P31</w:t>
            </w:r>
          </w:p>
        </w:tc>
        <w:tc>
          <w:tcPr>
            <w:tcW w:type="dxa" w:w="1560"/>
            <w:vAlign w:val="top"/>
          </w:tcPr>
          <w:p>
            <w:r/>
            <w:r>
              <w:rPr>
                <w:rFonts w:ascii="Arial" w:hAnsi="Arial"/>
                <w:b w:val="0"/>
                <w:i w:val="0"/>
                <w:color w:val="1E242A"/>
                <w:sz w:val="16"/>
              </w:rPr>
              <w:t>1992; 2015–16</w:t>
            </w:r>
          </w:p>
        </w:tc>
        <w:tc>
          <w:tcPr>
            <w:tcW w:type="dxa" w:w="1560"/>
            <w:vAlign w:val="top"/>
          </w:tcPr>
          <w:p>
            <w:r/>
            <w:r>
              <w:rPr>
                <w:rFonts w:ascii="Arial" w:hAnsi="Arial"/>
                <w:b w:val="0"/>
                <w:i w:val="0"/>
                <w:color w:val="1E242A"/>
                <w:sz w:val="16"/>
              </w:rPr>
              <w:t>Presidential breakdown</w:t>
            </w:r>
          </w:p>
        </w:tc>
        <w:tc>
          <w:tcPr>
            <w:tcW w:type="dxa" w:w="1560"/>
            <w:vAlign w:val="top"/>
          </w:tcPr>
          <w:p>
            <w:r/>
            <w:r>
              <w:rPr>
                <w:rFonts w:ascii="Arial" w:hAnsi="Arial"/>
                <w:b w:val="0"/>
                <w:i w:val="0"/>
                <w:color w:val="1E242A"/>
                <w:sz w:val="16"/>
              </w:rPr>
              <w:t>Investigation/allegation, Chamber authorisation, Senate trial, coalition and public mobilisation</w:t>
            </w:r>
          </w:p>
        </w:tc>
        <w:tc>
          <w:tcPr>
            <w:tcW w:type="dxa" w:w="1560"/>
            <w:vAlign w:val="top"/>
          </w:tcPr>
          <w:p>
            <w:r/>
            <w:r>
              <w:rPr>
                <w:rFonts w:ascii="Arial" w:hAnsi="Arial"/>
                <w:b w:val="0"/>
                <w:i w:val="0"/>
                <w:color w:val="1E242A"/>
                <w:sz w:val="16"/>
              </w:rPr>
              <w:t>Impeachment requires legal process plus a supermajority political coalition; causes are conjunctural</w:t>
            </w:r>
          </w:p>
        </w:tc>
        <w:tc>
          <w:tcPr>
            <w:tcW w:type="dxa" w:w="1560"/>
            <w:vAlign w:val="top"/>
          </w:tcPr>
          <w:p>
            <w:r/>
            <w:r>
              <w:rPr>
                <w:rFonts w:ascii="Arial" w:hAnsi="Arial"/>
                <w:b w:val="0"/>
                <w:i w:val="0"/>
                <w:color w:val="1E242A"/>
                <w:sz w:val="16"/>
              </w:rPr>
              <w:t>High on route; contested interpretation</w:t>
            </w:r>
          </w:p>
        </w:tc>
      </w:tr>
      <w:tr>
        <w:trPr>
          <w:cantSplit/>
        </w:trPr>
        <w:tc>
          <w:tcPr>
            <w:tcW w:type="dxa" w:w="1560"/>
            <w:vAlign w:val="top"/>
          </w:tcPr>
          <w:p>
            <w:r/>
            <w:r>
              <w:rPr>
                <w:rFonts w:ascii="Arial" w:hAnsi="Arial"/>
                <w:b w:val="0"/>
                <w:i w:val="0"/>
                <w:color w:val="1E242A"/>
                <w:sz w:val="16"/>
              </w:rPr>
              <w:t>P32</w:t>
            </w:r>
          </w:p>
        </w:tc>
        <w:tc>
          <w:tcPr>
            <w:tcW w:type="dxa" w:w="1560"/>
            <w:vAlign w:val="top"/>
          </w:tcPr>
          <w:p>
            <w:r/>
            <w:r>
              <w:rPr>
                <w:rFonts w:ascii="Arial" w:hAnsi="Arial"/>
                <w:b w:val="0"/>
                <w:i w:val="0"/>
                <w:color w:val="1E242A"/>
                <w:sz w:val="16"/>
              </w:rPr>
              <w:t>2017</w:t>
            </w:r>
          </w:p>
        </w:tc>
        <w:tc>
          <w:tcPr>
            <w:tcW w:type="dxa" w:w="1560"/>
            <w:vAlign w:val="top"/>
          </w:tcPr>
          <w:p>
            <w:r/>
            <w:r>
              <w:rPr>
                <w:rFonts w:ascii="Arial" w:hAnsi="Arial"/>
                <w:b w:val="0"/>
                <w:i w:val="0"/>
                <w:color w:val="1E242A"/>
                <w:sz w:val="16"/>
              </w:rPr>
              <w:t>Presidential survival under accusation</w:t>
            </w:r>
          </w:p>
        </w:tc>
        <w:tc>
          <w:tcPr>
            <w:tcW w:type="dxa" w:w="1560"/>
            <w:vAlign w:val="top"/>
          </w:tcPr>
          <w:p>
            <w:r/>
            <w:r>
              <w:rPr>
                <w:rFonts w:ascii="Arial" w:hAnsi="Arial"/>
                <w:b w:val="0"/>
                <w:i w:val="0"/>
                <w:color w:val="1E242A"/>
                <w:sz w:val="16"/>
              </w:rPr>
              <w:t>Chamber denial of STF trial authorisation after coalition/budget bargaining</w:t>
            </w:r>
          </w:p>
        </w:tc>
        <w:tc>
          <w:tcPr>
            <w:tcW w:type="dxa" w:w="1560"/>
            <w:vAlign w:val="top"/>
          </w:tcPr>
          <w:p>
            <w:r/>
            <w:r>
              <w:rPr>
                <w:rFonts w:ascii="Arial" w:hAnsi="Arial"/>
                <w:b w:val="0"/>
                <w:i w:val="0"/>
                <w:color w:val="1E242A"/>
                <w:sz w:val="16"/>
              </w:rPr>
              <w:t>Extremely low popularity does not itself remove a president if the blocking coalition holds</w:t>
            </w:r>
          </w:p>
        </w:tc>
        <w:tc>
          <w:tcPr>
            <w:tcW w:type="dxa" w:w="1560"/>
            <w:vAlign w:val="top"/>
          </w:tcPr>
          <w:p>
            <w:r/>
            <w:r>
              <w:rPr>
                <w:rFonts w:ascii="Arial" w:hAnsi="Arial"/>
                <w:b w:val="0"/>
                <w:i w:val="0"/>
                <w:color w:val="1E242A"/>
                <w:sz w:val="16"/>
              </w:rPr>
              <w:t>High on vote; Moderate on motives</w:t>
            </w:r>
          </w:p>
        </w:tc>
      </w:tr>
      <w:tr>
        <w:trPr>
          <w:cantSplit/>
        </w:trPr>
        <w:tc>
          <w:tcPr>
            <w:tcW w:type="dxa" w:w="1560"/>
            <w:vAlign w:val="top"/>
          </w:tcPr>
          <w:p>
            <w:r/>
            <w:r>
              <w:rPr>
                <w:rFonts w:ascii="Arial" w:hAnsi="Arial"/>
                <w:b w:val="0"/>
                <w:i w:val="0"/>
                <w:color w:val="1E242A"/>
                <w:sz w:val="16"/>
              </w:rPr>
              <w:t>P33</w:t>
            </w:r>
          </w:p>
        </w:tc>
        <w:tc>
          <w:tcPr>
            <w:tcW w:type="dxa" w:w="1560"/>
            <w:vAlign w:val="top"/>
          </w:tcPr>
          <w:p>
            <w:r/>
            <w:r>
              <w:rPr>
                <w:rFonts w:ascii="Arial" w:hAnsi="Arial"/>
                <w:b w:val="0"/>
                <w:i w:val="0"/>
                <w:color w:val="1E242A"/>
                <w:sz w:val="16"/>
              </w:rPr>
              <w:t>2013</w:t>
            </w:r>
          </w:p>
        </w:tc>
        <w:tc>
          <w:tcPr>
            <w:tcW w:type="dxa" w:w="1560"/>
            <w:vAlign w:val="top"/>
          </w:tcPr>
          <w:p>
            <w:r/>
            <w:r>
              <w:rPr>
                <w:rFonts w:ascii="Arial" w:hAnsi="Arial"/>
                <w:b w:val="0"/>
                <w:i w:val="0"/>
                <w:color w:val="1E242A"/>
                <w:sz w:val="16"/>
              </w:rPr>
              <w:t>Diffuse mass protest and agenda disruption</w:t>
            </w:r>
          </w:p>
        </w:tc>
        <w:tc>
          <w:tcPr>
            <w:tcW w:type="dxa" w:w="1560"/>
            <w:vAlign w:val="top"/>
          </w:tcPr>
          <w:p>
            <w:r/>
            <w:r>
              <w:rPr>
                <w:rFonts w:ascii="Arial" w:hAnsi="Arial"/>
                <w:b w:val="0"/>
                <w:i w:val="0"/>
                <w:color w:val="1E242A"/>
                <w:sz w:val="16"/>
              </w:rPr>
              <w:t>Municipal fare concessions, presidential pact proposals, Congress agenda response</w:t>
            </w:r>
          </w:p>
        </w:tc>
        <w:tc>
          <w:tcPr>
            <w:tcW w:type="dxa" w:w="1560"/>
            <w:vAlign w:val="top"/>
          </w:tcPr>
          <w:p>
            <w:r/>
            <w:r>
              <w:rPr>
                <w:rFonts w:ascii="Arial" w:hAnsi="Arial"/>
                <w:b w:val="0"/>
                <w:i w:val="0"/>
                <w:color w:val="1E242A"/>
                <w:sz w:val="16"/>
              </w:rPr>
              <w:t>Mobilisation can diffuse beyond its initiating grievance and be politically appropriated</w:t>
            </w:r>
          </w:p>
        </w:tc>
        <w:tc>
          <w:tcPr>
            <w:tcW w:type="dxa" w:w="1560"/>
            <w:vAlign w:val="top"/>
          </w:tcPr>
          <w:p>
            <w:r/>
            <w:r>
              <w:rPr>
                <w:rFonts w:ascii="Arial" w:hAnsi="Arial"/>
                <w:b w:val="0"/>
                <w:i w:val="0"/>
                <w:color w:val="1E242A"/>
                <w:sz w:val="16"/>
              </w:rPr>
              <w:t>High on sequence; Low on long causation</w:t>
            </w:r>
          </w:p>
        </w:tc>
      </w:tr>
      <w:tr>
        <w:trPr>
          <w:cantSplit/>
        </w:trPr>
        <w:tc>
          <w:tcPr>
            <w:tcW w:type="dxa" w:w="1560"/>
            <w:vAlign w:val="top"/>
          </w:tcPr>
          <w:p>
            <w:r/>
            <w:r>
              <w:rPr>
                <w:rFonts w:ascii="Arial" w:hAnsi="Arial"/>
                <w:b w:val="0"/>
                <w:i w:val="0"/>
                <w:color w:val="1E242A"/>
                <w:sz w:val="16"/>
              </w:rPr>
              <w:t>P34</w:t>
            </w:r>
          </w:p>
        </w:tc>
        <w:tc>
          <w:tcPr>
            <w:tcW w:type="dxa" w:w="1560"/>
            <w:vAlign w:val="top"/>
          </w:tcPr>
          <w:p>
            <w:r/>
            <w:r>
              <w:rPr>
                <w:rFonts w:ascii="Arial" w:hAnsi="Arial"/>
                <w:b w:val="0"/>
                <w:i w:val="0"/>
                <w:color w:val="1E242A"/>
                <w:sz w:val="16"/>
              </w:rPr>
              <w:t>2020 onward</w:t>
            </w:r>
          </w:p>
        </w:tc>
        <w:tc>
          <w:tcPr>
            <w:tcW w:type="dxa" w:w="1560"/>
            <w:vAlign w:val="top"/>
          </w:tcPr>
          <w:p>
            <w:r/>
            <w:r>
              <w:rPr>
                <w:rFonts w:ascii="Arial" w:hAnsi="Arial"/>
                <w:b w:val="0"/>
                <w:i w:val="0"/>
                <w:color w:val="1E242A"/>
                <w:sz w:val="16"/>
              </w:rPr>
              <w:t>Courts confronted omission/conflict</w:t>
            </w:r>
          </w:p>
        </w:tc>
        <w:tc>
          <w:tcPr>
            <w:tcW w:type="dxa" w:w="1560"/>
            <w:vAlign w:val="top"/>
          </w:tcPr>
          <w:p>
            <w:r/>
            <w:r>
              <w:rPr>
                <w:rFonts w:ascii="Arial" w:hAnsi="Arial"/>
                <w:b w:val="0"/>
                <w:i w:val="0"/>
                <w:color w:val="1E242A"/>
                <w:sz w:val="16"/>
              </w:rPr>
              <w:t>STF interim and merits control in health, environment, intelligence, budgets and prisons</w:t>
            </w:r>
          </w:p>
        </w:tc>
        <w:tc>
          <w:tcPr>
            <w:tcW w:type="dxa" w:w="1560"/>
            <w:vAlign w:val="top"/>
          </w:tcPr>
          <w:p>
            <w:r/>
            <w:r>
              <w:rPr>
                <w:rFonts w:ascii="Arial" w:hAnsi="Arial"/>
                <w:b w:val="0"/>
                <w:i w:val="0"/>
                <w:color w:val="1E242A"/>
                <w:sz w:val="16"/>
              </w:rPr>
              <w:t>Courts can order plans, protect competence or transparency; implementation remains negotiated and monitored</w:t>
            </w:r>
          </w:p>
        </w:tc>
        <w:tc>
          <w:tcPr>
            <w:tcW w:type="dxa" w:w="1560"/>
            <w:vAlign w:val="top"/>
          </w:tcPr>
          <w:p>
            <w:r/>
            <w:r>
              <w:rPr>
                <w:rFonts w:ascii="Arial" w:hAnsi="Arial"/>
                <w:b w:val="0"/>
                <w:i w:val="0"/>
                <w:color w:val="1E242A"/>
                <w:sz w:val="16"/>
              </w:rPr>
              <w:t>High</w:t>
            </w:r>
          </w:p>
        </w:tc>
      </w:tr>
      <w:tr>
        <w:trPr>
          <w:cantSplit/>
        </w:trPr>
        <w:tc>
          <w:tcPr>
            <w:tcW w:type="dxa" w:w="1560"/>
            <w:vAlign w:val="top"/>
          </w:tcPr>
          <w:p>
            <w:r/>
            <w:r>
              <w:rPr>
                <w:rFonts w:ascii="Arial" w:hAnsi="Arial"/>
                <w:b w:val="0"/>
                <w:i w:val="0"/>
                <w:color w:val="1E242A"/>
                <w:sz w:val="16"/>
              </w:rPr>
              <w:t>P35</w:t>
            </w:r>
          </w:p>
        </w:tc>
        <w:tc>
          <w:tcPr>
            <w:tcW w:type="dxa" w:w="1560"/>
            <w:vAlign w:val="top"/>
          </w:tcPr>
          <w:p>
            <w:r/>
            <w:r>
              <w:rPr>
                <w:rFonts w:ascii="Arial" w:hAnsi="Arial"/>
                <w:b w:val="0"/>
                <w:i w:val="0"/>
                <w:color w:val="1E242A"/>
                <w:sz w:val="16"/>
              </w:rPr>
              <w:t>2002–14</w:t>
            </w:r>
          </w:p>
        </w:tc>
        <w:tc>
          <w:tcPr>
            <w:tcW w:type="dxa" w:w="1560"/>
            <w:vAlign w:val="top"/>
          </w:tcPr>
          <w:p>
            <w:r/>
            <w:r>
              <w:rPr>
                <w:rFonts w:ascii="Arial" w:hAnsi="Arial"/>
                <w:b w:val="0"/>
                <w:i w:val="0"/>
                <w:color w:val="1E242A"/>
                <w:sz w:val="16"/>
              </w:rPr>
              <w:t>US cotton subsidies harmed exporters</w:t>
            </w:r>
          </w:p>
        </w:tc>
        <w:tc>
          <w:tcPr>
            <w:tcW w:type="dxa" w:w="1560"/>
            <w:vAlign w:val="top"/>
          </w:tcPr>
          <w:p>
            <w:r/>
            <w:r>
              <w:rPr>
                <w:rFonts w:ascii="Arial" w:hAnsi="Arial"/>
                <w:b w:val="0"/>
                <w:i w:val="0"/>
                <w:color w:val="1E242A"/>
                <w:sz w:val="16"/>
              </w:rPr>
              <w:t>WTO litigation, coalition diplomacy, authorised retaliation and settlement</w:t>
            </w:r>
          </w:p>
        </w:tc>
        <w:tc>
          <w:tcPr>
            <w:tcW w:type="dxa" w:w="1560"/>
            <w:vAlign w:val="top"/>
          </w:tcPr>
          <w:p>
            <w:r/>
            <w:r>
              <w:rPr>
                <w:rFonts w:ascii="Arial" w:hAnsi="Arial"/>
                <w:b w:val="0"/>
                <w:i w:val="0"/>
                <w:color w:val="1E242A"/>
                <w:sz w:val="16"/>
              </w:rPr>
              <w:t>Legal capacity and credible countermeasures can change counterpart incentives</w:t>
            </w:r>
          </w:p>
        </w:tc>
        <w:tc>
          <w:tcPr>
            <w:tcW w:type="dxa" w:w="1560"/>
            <w:vAlign w:val="top"/>
          </w:tcPr>
          <w:p>
            <w:r/>
            <w:r>
              <w:rPr>
                <w:rFonts w:ascii="Arial" w:hAnsi="Arial"/>
                <w:b w:val="0"/>
                <w:i w:val="0"/>
                <w:color w:val="1E242A"/>
                <w:sz w:val="16"/>
              </w:rPr>
              <w:t>High</w:t>
            </w:r>
          </w:p>
        </w:tc>
      </w:tr>
      <w:tr>
        <w:trPr>
          <w:cantSplit/>
        </w:trPr>
        <w:tc>
          <w:tcPr>
            <w:tcW w:type="dxa" w:w="1560"/>
            <w:vAlign w:val="top"/>
          </w:tcPr>
          <w:p>
            <w:r/>
            <w:r>
              <w:rPr>
                <w:rFonts w:ascii="Arial" w:hAnsi="Arial"/>
                <w:b w:val="0"/>
                <w:i w:val="0"/>
                <w:color w:val="1E242A"/>
                <w:sz w:val="16"/>
              </w:rPr>
              <w:t>P36</w:t>
            </w:r>
          </w:p>
        </w:tc>
        <w:tc>
          <w:tcPr>
            <w:tcW w:type="dxa" w:w="1560"/>
            <w:vAlign w:val="top"/>
          </w:tcPr>
          <w:p>
            <w:r/>
            <w:r>
              <w:rPr>
                <w:rFonts w:ascii="Arial" w:hAnsi="Arial"/>
                <w:b w:val="0"/>
                <w:i w:val="0"/>
                <w:color w:val="1E242A"/>
                <w:sz w:val="16"/>
              </w:rPr>
              <w:t>2004–17</w:t>
            </w:r>
          </w:p>
        </w:tc>
        <w:tc>
          <w:tcPr>
            <w:tcW w:type="dxa" w:w="1560"/>
            <w:vAlign w:val="top"/>
          </w:tcPr>
          <w:p>
            <w:r/>
            <w:r>
              <w:rPr>
                <w:rFonts w:ascii="Arial" w:hAnsi="Arial"/>
                <w:b w:val="0"/>
                <w:i w:val="0"/>
                <w:color w:val="1E242A"/>
                <w:sz w:val="16"/>
              </w:rPr>
              <w:t>Regional/international influence</w:t>
            </w:r>
          </w:p>
        </w:tc>
        <w:tc>
          <w:tcPr>
            <w:tcW w:type="dxa" w:w="1560"/>
            <w:vAlign w:val="top"/>
          </w:tcPr>
          <w:p>
            <w:r/>
            <w:r>
              <w:rPr>
                <w:rFonts w:ascii="Arial" w:hAnsi="Arial"/>
                <w:b w:val="0"/>
                <w:i w:val="0"/>
                <w:color w:val="1E242A"/>
                <w:sz w:val="16"/>
              </w:rPr>
              <w:t>Haiti peacekeeping leadership; regional diplomacy and mediation</w:t>
            </w:r>
          </w:p>
        </w:tc>
        <w:tc>
          <w:tcPr>
            <w:tcW w:type="dxa" w:w="1560"/>
            <w:vAlign w:val="top"/>
          </w:tcPr>
          <w:p>
            <w:r/>
            <w:r>
              <w:rPr>
                <w:rFonts w:ascii="Arial" w:hAnsi="Arial"/>
                <w:b w:val="0"/>
                <w:i w:val="0"/>
                <w:color w:val="1E242A"/>
                <w:sz w:val="16"/>
              </w:rPr>
              <w:t>Operational commitments generate capacity, reputation and domestic debate; counterpart consent and mission politics constrain</w:t>
            </w:r>
          </w:p>
        </w:tc>
        <w:tc>
          <w:tcPr>
            <w:tcW w:type="dxa" w:w="1560"/>
            <w:vAlign w:val="top"/>
          </w:tcPr>
          <w:p>
            <w:r/>
            <w:r>
              <w:rPr>
                <w:rFonts w:ascii="Arial" w:hAnsi="Arial"/>
                <w:b w:val="0"/>
                <w:i w:val="0"/>
                <w:color w:val="1E242A"/>
                <w:sz w:val="16"/>
              </w:rPr>
              <w:t>Moderate</w:t>
            </w:r>
          </w:p>
        </w:tc>
      </w:tr>
      <w:tr>
        <w:trPr>
          <w:cantSplit/>
        </w:trPr>
        <w:tc>
          <w:tcPr>
            <w:tcW w:type="dxa" w:w="1560"/>
            <w:vAlign w:val="top"/>
          </w:tcPr>
          <w:p>
            <w:r/>
            <w:r>
              <w:rPr>
                <w:rFonts w:ascii="Arial" w:hAnsi="Arial"/>
                <w:b w:val="0"/>
                <w:i w:val="0"/>
                <w:color w:val="1E242A"/>
                <w:sz w:val="16"/>
              </w:rPr>
              <w:t>P37</w:t>
            </w:r>
          </w:p>
        </w:tc>
        <w:tc>
          <w:tcPr>
            <w:tcW w:type="dxa" w:w="1560"/>
            <w:vAlign w:val="top"/>
          </w:tcPr>
          <w:p>
            <w:r/>
            <w:r>
              <w:rPr>
                <w:rFonts w:ascii="Arial" w:hAnsi="Arial"/>
                <w:b w:val="0"/>
                <w:i w:val="0"/>
                <w:color w:val="1E242A"/>
                <w:sz w:val="16"/>
              </w:rPr>
              <w:t>2010</w:t>
            </w:r>
          </w:p>
        </w:tc>
        <w:tc>
          <w:tcPr>
            <w:tcW w:type="dxa" w:w="1560"/>
            <w:vAlign w:val="top"/>
          </w:tcPr>
          <w:p>
            <w:r/>
            <w:r>
              <w:rPr>
                <w:rFonts w:ascii="Arial" w:hAnsi="Arial"/>
                <w:b w:val="0"/>
                <w:i w:val="0"/>
                <w:color w:val="1E242A"/>
                <w:sz w:val="16"/>
              </w:rPr>
              <w:t>Iran nuclear impasse</w:t>
            </w:r>
          </w:p>
        </w:tc>
        <w:tc>
          <w:tcPr>
            <w:tcW w:type="dxa" w:w="1560"/>
            <w:vAlign w:val="top"/>
          </w:tcPr>
          <w:p>
            <w:r/>
            <w:r>
              <w:rPr>
                <w:rFonts w:ascii="Arial" w:hAnsi="Arial"/>
                <w:b w:val="0"/>
                <w:i w:val="0"/>
                <w:color w:val="1E242A"/>
                <w:sz w:val="16"/>
              </w:rPr>
              <w:t>Brazil–Turkey negotiated Tehran Declaration</w:t>
            </w:r>
          </w:p>
        </w:tc>
        <w:tc>
          <w:tcPr>
            <w:tcW w:type="dxa" w:w="1560"/>
            <w:vAlign w:val="top"/>
          </w:tcPr>
          <w:p>
            <w:r/>
            <w:r>
              <w:rPr>
                <w:rFonts w:ascii="Arial" w:hAnsi="Arial"/>
                <w:b w:val="0"/>
                <w:i w:val="0"/>
                <w:color w:val="1E242A"/>
                <w:sz w:val="16"/>
              </w:rPr>
              <w:t>Diplomatic initiative secured an agreement but failed to displace P5+1 sanctions strategy</w:t>
            </w:r>
          </w:p>
        </w:tc>
        <w:tc>
          <w:tcPr>
            <w:tcW w:type="dxa" w:w="1560"/>
            <w:vAlign w:val="top"/>
          </w:tcPr>
          <w:p>
            <w:r/>
            <w:r>
              <w:rPr>
                <w:rFonts w:ascii="Arial" w:hAnsi="Arial"/>
                <w:b w:val="0"/>
                <w:i w:val="0"/>
                <w:color w:val="1E242A"/>
                <w:sz w:val="16"/>
              </w:rPr>
              <w:t>High on sequence; Low on counterfactual</w:t>
            </w:r>
          </w:p>
        </w:tc>
      </w:tr>
      <w:tr>
        <w:trPr>
          <w:cantSplit/>
        </w:trPr>
        <w:tc>
          <w:tcPr>
            <w:tcW w:type="dxa" w:w="1560"/>
            <w:vAlign w:val="top"/>
          </w:tcPr>
          <w:p>
            <w:r/>
            <w:r>
              <w:rPr>
                <w:rFonts w:ascii="Arial" w:hAnsi="Arial"/>
                <w:b w:val="0"/>
                <w:i w:val="0"/>
                <w:color w:val="1E242A"/>
                <w:sz w:val="16"/>
              </w:rPr>
              <w:t>P38</w:t>
            </w:r>
          </w:p>
        </w:tc>
        <w:tc>
          <w:tcPr>
            <w:tcW w:type="dxa" w:w="1560"/>
            <w:vAlign w:val="top"/>
          </w:tcPr>
          <w:p>
            <w:r/>
            <w:r>
              <w:rPr>
                <w:rFonts w:ascii="Arial" w:hAnsi="Arial"/>
                <w:b w:val="0"/>
                <w:i w:val="0"/>
                <w:color w:val="1E242A"/>
                <w:sz w:val="16"/>
              </w:rPr>
              <w:t>1991 onward</w:t>
            </w:r>
          </w:p>
        </w:tc>
        <w:tc>
          <w:tcPr>
            <w:tcW w:type="dxa" w:w="1560"/>
            <w:vAlign w:val="top"/>
          </w:tcPr>
          <w:p>
            <w:r/>
            <w:r>
              <w:rPr>
                <w:rFonts w:ascii="Arial" w:hAnsi="Arial"/>
                <w:b w:val="0"/>
                <w:i w:val="0"/>
                <w:color w:val="1E242A"/>
                <w:sz w:val="16"/>
              </w:rPr>
              <w:t>Regional trade and strategic anchoring</w:t>
            </w:r>
          </w:p>
        </w:tc>
        <w:tc>
          <w:tcPr>
            <w:tcW w:type="dxa" w:w="1560"/>
            <w:vAlign w:val="top"/>
          </w:tcPr>
          <w:p>
            <w:r/>
            <w:r>
              <w:rPr>
                <w:rFonts w:ascii="Arial" w:hAnsi="Arial"/>
                <w:b w:val="0"/>
                <w:i w:val="0"/>
                <w:color w:val="1E242A"/>
                <w:sz w:val="16"/>
              </w:rPr>
              <w:t>Mercosur treaties, common rules, interpresidential bargains and national implementation</w:t>
            </w:r>
          </w:p>
        </w:tc>
        <w:tc>
          <w:tcPr>
            <w:tcW w:type="dxa" w:w="1560"/>
            <w:vAlign w:val="top"/>
          </w:tcPr>
          <w:p>
            <w:r/>
            <w:r>
              <w:rPr>
                <w:rFonts w:ascii="Arial" w:hAnsi="Arial"/>
                <w:b w:val="0"/>
                <w:i w:val="0"/>
                <w:color w:val="1E242A"/>
                <w:sz w:val="16"/>
              </w:rPr>
              <w:t>Cross-government continuity coexists with recurrent flexibility disputes and external-negotiation constraints</w:t>
            </w:r>
          </w:p>
        </w:tc>
        <w:tc>
          <w:tcPr>
            <w:tcW w:type="dxa" w:w="1560"/>
            <w:vAlign w:val="top"/>
          </w:tcPr>
          <w:p>
            <w:r/>
            <w:r>
              <w:rPr>
                <w:rFonts w:ascii="Arial" w:hAnsi="Arial"/>
                <w:b w:val="0"/>
                <w:i w:val="0"/>
                <w:color w:val="1E242A"/>
                <w:sz w:val="16"/>
              </w:rPr>
              <w:t>High</w:t>
            </w:r>
          </w:p>
        </w:tc>
      </w:tr>
    </w:tbl>
    <w:p>
      <w:pPr>
        <w:spacing w:after="40"/>
      </w:pPr>
    </w:p>
    <w:p>
      <w:pPr>
        <w:pStyle w:val="Heading1"/>
      </w:pPr>
      <w:r>
        <w:rPr>
          <w:rFonts w:ascii="Arial" w:hAnsi="Arial"/>
          <w:b w:val="0"/>
          <w:i w:val="0"/>
          <w:color w:val="183752"/>
          <w:sz w:val="34"/>
        </w:rPr>
        <w:t>3. Economic stabilisation, fiscal and monetary experience</w:t>
      </w:r>
    </w:p>
    <w:p>
      <w:pPr>
        <w:pStyle w:val="Heading2"/>
      </w:pPr>
      <w:r>
        <w:rPr>
          <w:rFonts w:ascii="Arial" w:hAnsi="Arial"/>
          <w:b w:val="0"/>
          <w:i w:val="0"/>
          <w:color w:val="2C5F80"/>
          <w:sz w:val="27"/>
        </w:rPr>
        <w:t>3.1 Failed stabilisation and the Real Plan (P01)</w:t>
      </w:r>
    </w:p>
    <w:p>
      <w:r>
        <w:rPr>
          <w:rFonts w:ascii="Arial" w:hAnsi="Arial"/>
          <w:b/>
          <w:i w:val="0"/>
          <w:color w:val="1E242A"/>
          <w:sz w:val="21"/>
        </w:rPr>
        <w:t>INITIAL CONDITIONS.</w:t>
      </w:r>
      <w:r>
        <w:rPr>
          <w:rFonts w:ascii="Arial" w:hAnsi="Arial"/>
          <w:b w:val="0"/>
          <w:i w:val="0"/>
          <w:color w:val="1E242A"/>
          <w:sz w:val="21"/>
        </w:rPr>
        <w:t xml:space="preserve"> By the early 1990s Brazil had chronic indexation, recurrent monthly inflation and low trust after Cruzado, Bresser, Verão and Collor plans. Earlier plans relied heavily on freezes, forced conversions or—under Collor—financial-asset blocking. Initial falls in inflation were followed by shortages, evasion, fiscal slippage or renewed indexation. These failures conditioned both public scepticism and expert design.</w:t>
      </w:r>
    </w:p>
    <w:p>
      <w:r>
        <w:rPr>
          <w:rFonts w:ascii="Arial" w:hAnsi="Arial"/>
          <w:b/>
          <w:i w:val="0"/>
          <w:color w:val="1E242A"/>
          <w:sz w:val="21"/>
        </w:rPr>
        <w:t>OBJECTIVE AND ACTION.</w:t>
      </w:r>
      <w:r>
        <w:rPr>
          <w:rFonts w:ascii="Arial" w:hAnsi="Arial"/>
          <w:b w:val="0"/>
          <w:i w:val="0"/>
          <w:color w:val="1E242A"/>
          <w:sz w:val="21"/>
        </w:rPr>
        <w:t xml:space="preserve"> The Itamar government and Finance Ministry team pursued three linked stages: a fiscal bridge centred on the Fundo Social de Emergência; the URV as a stable unit of account alongside the depreciating cruzeiro real; and conversion to the real on 1 July 1994. The BCB's official account records four months of URV use and the conversion of one URV/CR$2,750 into R$1 (</w:t>
      </w:r>
      <w:hyperlink r:id="rId6">
        <w:r>
          <w:rPr>
            <w:color w:val="2C5F80"/>
            <w:u w:val="single"/>
            <w:rFonts w:ascii="Arial" w:hAnsi="Arial"/>
            <w:sz w:val="21"/>
          </w:rPr>
          <w:t>BCB, Plano Real</w:t>
        </w:r>
      </w:hyperlink>
      <w:r>
        <w:rPr>
          <w:rFonts w:ascii="Arial" w:hAnsi="Arial"/>
          <w:b w:val="0"/>
          <w:i w:val="0"/>
          <w:color w:val="1E242A"/>
          <w:sz w:val="21"/>
        </w:rPr>
        <w:t>).</w:t>
      </w:r>
    </w:p>
    <w:p>
      <w:r>
        <w:rPr>
          <w:rFonts w:ascii="Arial" w:hAnsi="Arial"/>
          <w:b/>
          <w:i w:val="0"/>
          <w:color w:val="1E242A"/>
          <w:sz w:val="21"/>
        </w:rPr>
        <w:t>INSTITUTIONAL ROUTE.</w:t>
      </w:r>
      <w:r>
        <w:rPr>
          <w:rFonts w:ascii="Arial" w:hAnsi="Arial"/>
          <w:b w:val="0"/>
          <w:i w:val="0"/>
          <w:color w:val="1E242A"/>
          <w:sz w:val="21"/>
        </w:rPr>
        <w:t xml:space="preserve"> Congress enabled fiscal and monetary components; the executive used provisional-measure/legislative pathways; the Ministry of Finance, BCB and Casa da Moeda handled design, daily parity and physical distribution. </w:t>
      </w:r>
      <w:r>
        <w:rPr>
          <w:rFonts w:ascii="Arial" w:hAnsi="Arial"/>
          <w:b/>
          <w:i w:val="0"/>
          <w:color w:val="1E242A"/>
          <w:sz w:val="21"/>
        </w:rPr>
        <w:t>GOVERNMENT ACTION INSTRUMENTS:</w:t>
      </w:r>
      <w:r>
        <w:rPr>
          <w:rFonts w:ascii="Arial" w:hAnsi="Arial"/>
          <w:b w:val="0"/>
          <w:i w:val="0"/>
          <w:color w:val="1E242A"/>
          <w:sz w:val="21"/>
        </w:rPr>
        <w:t xml:space="preserve"> constitutional revenue de-earmarking; statutory monetary-unit creation; BCB operational notices; administered-price and contract conversion; fiscal and monetary management; public communication.</w:t>
      </w:r>
    </w:p>
    <w:p>
      <w:r>
        <w:rPr>
          <w:rFonts w:ascii="Arial" w:hAnsi="Arial"/>
          <w:b/>
          <w:i w:val="0"/>
          <w:color w:val="1E242A"/>
          <w:sz w:val="21"/>
        </w:rPr>
        <w:t>IMPLEMENTATION AND RESPONSE.</w:t>
      </w:r>
      <w:r>
        <w:rPr>
          <w:rFonts w:ascii="Arial" w:hAnsi="Arial"/>
          <w:b w:val="0"/>
          <w:i w:val="0"/>
          <w:color w:val="1E242A"/>
          <w:sz w:val="21"/>
        </w:rPr>
        <w:t xml:space="preserve"> Expressing wages, benefits, public contracts and gradually private prices in URV allowed relative prices to align without a general price freeze. The currency change then converted the unit of account into money. Acceptance depended on logistics and voluntary price quotation, not merely promulgation.</w:t>
      </w:r>
    </w:p>
    <w:p>
      <w:r>
        <w:rPr>
          <w:rFonts w:ascii="Arial" w:hAnsi="Arial"/>
          <w:b/>
          <w:i w:val="0"/>
          <w:color w:val="1E242A"/>
          <w:sz w:val="21"/>
        </w:rPr>
        <w:t>OUTCOMES.</w:t>
      </w:r>
      <w:r>
        <w:rPr>
          <w:rFonts w:ascii="Arial" w:hAnsi="Arial"/>
          <w:b w:val="0"/>
          <w:i w:val="0"/>
          <w:color w:val="1E242A"/>
          <w:sz w:val="21"/>
        </w:rPr>
        <w:t xml:space="preserve"> Inflation fell sharply and did not return to the previous chronic regime. Stabilisation altered electoral politics and enabled later banking, fiscal and monetary reform. Costs and vulnerabilities included high real interest rates, exchange-rate appreciation, external deficits and later banking/state-finance adjustment. The 1999 macro-regime shift was therefore part of the longer institutional consequence, not evidence that the 1994 design was self-sufficient.</w:t>
      </w:r>
    </w:p>
    <w:p>
      <w:r>
        <w:rPr>
          <w:rFonts w:ascii="Arial" w:hAnsi="Arial"/>
          <w:b/>
          <w:i w:val="0"/>
          <w:color w:val="1E242A"/>
          <w:sz w:val="21"/>
        </w:rPr>
        <w:t>WHAT CANNOT BE CONCLUDED.</w:t>
      </w:r>
      <w:r>
        <w:rPr>
          <w:rFonts w:ascii="Arial" w:hAnsi="Arial"/>
          <w:b w:val="0"/>
          <w:i w:val="0"/>
          <w:color w:val="1E242A"/>
          <w:sz w:val="21"/>
        </w:rPr>
        <w:t xml:space="preserve"> URV alone did not “cause” durable stability. Literature disagrees on the relative contribution and adequacy of initial fiscal adjustment, exchange-rate anchoring, trade exposure, monetary restraint and subsequent reforms. Causal confidence is </w:t>
      </w:r>
      <w:r>
        <w:rPr>
          <w:rFonts w:ascii="Arial" w:hAnsi="Arial"/>
          <w:b/>
          <w:i w:val="0"/>
          <w:color w:val="1E242A"/>
          <w:sz w:val="21"/>
        </w:rPr>
        <w:t>High</w:t>
      </w:r>
      <w:r>
        <w:rPr>
          <w:rFonts w:ascii="Arial" w:hAnsi="Arial"/>
          <w:b w:val="0"/>
          <w:i w:val="0"/>
          <w:color w:val="1E242A"/>
          <w:sz w:val="21"/>
        </w:rPr>
        <w:t xml:space="preserve"> that coordinated de-indexation and credible transition broke the immediate inflation dynamic; </w:t>
      </w:r>
      <w:r>
        <w:rPr>
          <w:rFonts w:ascii="Arial" w:hAnsi="Arial"/>
          <w:b/>
          <w:i w:val="0"/>
          <w:color w:val="1E242A"/>
          <w:sz w:val="21"/>
        </w:rPr>
        <w:t>Moderate</w:t>
      </w:r>
      <w:r>
        <w:rPr>
          <w:rFonts w:ascii="Arial" w:hAnsi="Arial"/>
          <w:b w:val="0"/>
          <w:i w:val="0"/>
          <w:color w:val="1E242A"/>
          <w:sz w:val="21"/>
        </w:rPr>
        <w:t xml:space="preserve"> on the weight of each supporting component.</w:t>
      </w:r>
    </w:p>
    <w:p>
      <w:pPr>
        <w:pStyle w:val="Heading2"/>
      </w:pPr>
      <w:r>
        <w:rPr>
          <w:rFonts w:ascii="Arial" w:hAnsi="Arial"/>
          <w:b w:val="0"/>
          <w:i w:val="0"/>
          <w:color w:val="2C5F80"/>
          <w:sz w:val="27"/>
        </w:rPr>
        <w:t>3.2 Fiscal regime-building and revision (P02–P05)</w:t>
      </w:r>
    </w:p>
    <w:p>
      <w:r>
        <w:rPr>
          <w:rFonts w:ascii="Arial" w:hAnsi="Arial"/>
          <w:b w:val="0"/>
          <w:i w:val="0"/>
          <w:color w:val="1E242A"/>
          <w:sz w:val="21"/>
        </w:rPr>
        <w:t>The post-1998 state-debt renegotiations and 2000 LRF made fiscal control intergovernmental and rule-based. The LRF defines responsible management as planned, transparent action that prevents risks and corrects deviations through targets and limits on revenue waivers, personnel, debt, credit, guarantees and unpaid commitments (</w:t>
      </w:r>
      <w:hyperlink r:id="rId15">
        <w:r>
          <w:rPr>
            <w:color w:val="2C5F80"/>
            <w:u w:val="single"/>
            <w:rFonts w:ascii="Arial" w:hAnsi="Arial"/>
            <w:sz w:val="21"/>
          </w:rPr>
          <w:t>LC 101/2000, art. 1</w:t>
        </w:r>
      </w:hyperlink>
      <w:r>
        <w:rPr>
          <w:rFonts w:ascii="Arial" w:hAnsi="Arial"/>
          <w:b w:val="0"/>
          <w:i w:val="0"/>
          <w:color w:val="1E242A"/>
          <w:sz w:val="21"/>
        </w:rPr>
        <w:t>). This was not simply an executive austerity programme: it bound the Union, states and municipalities, interacted with Senate debt authority, audit courts and disclosure, and survived changes in governing party.</w:t>
      </w:r>
    </w:p>
    <w:p>
      <w:r>
        <w:rPr>
          <w:rFonts w:ascii="Arial" w:hAnsi="Arial"/>
          <w:b w:val="0"/>
          <w:i w:val="0"/>
          <w:color w:val="1E242A"/>
          <w:sz w:val="21"/>
        </w:rPr>
        <w:t>The 2016 EC 95 ceiling responded to recession and fiscal deterioration by capping federal primary expenditure through a constitutional rule (</w:t>
      </w:r>
      <w:hyperlink r:id="rId16">
        <w:r>
          <w:rPr>
            <w:color w:val="2C5F80"/>
            <w:u w:val="single"/>
            <w:rFonts w:ascii="Arial" w:hAnsi="Arial"/>
            <w:sz w:val="21"/>
          </w:rPr>
          <w:t>EC 95/2016</w:t>
        </w:r>
      </w:hyperlink>
      <w:r>
        <w:rPr>
          <w:rFonts w:ascii="Arial" w:hAnsi="Arial"/>
          <w:b w:val="0"/>
          <w:i w:val="0"/>
          <w:color w:val="1E242A"/>
          <w:sz w:val="21"/>
        </w:rPr>
        <w:t>). Enactment required three-fifths votes twice in each house. Its rigidity increased predictability but pushed distributive choices inside a fixed aggregate and generated disputes about health, education, investment and feasibility. Pandemic amendments suspended or worked around normal constraints during an extraordinary shock.</w:t>
      </w:r>
    </w:p>
    <w:p>
      <w:r>
        <w:rPr>
          <w:rFonts w:ascii="Arial" w:hAnsi="Arial"/>
          <w:b w:val="0"/>
          <w:i w:val="0"/>
          <w:color w:val="1E242A"/>
          <w:sz w:val="21"/>
        </w:rPr>
        <w:t>EC 126/2022 enabled transition spending and required a replacement regime; LC 200/2023 then tied real expenditure growth to revenue performance within bands and retained fiscal targets and corrective mechanisms (</w:t>
      </w:r>
      <w:hyperlink r:id="rId17">
        <w:r>
          <w:rPr>
            <w:color w:val="2C5F80"/>
            <w:u w:val="single"/>
            <w:rFonts w:ascii="Arial" w:hAnsi="Arial"/>
            <w:sz w:val="21"/>
          </w:rPr>
          <w:t>LC 200/2023</w:t>
        </w:r>
      </w:hyperlink>
      <w:r>
        <w:rPr>
          <w:rFonts w:ascii="Arial" w:hAnsi="Arial"/>
          <w:b w:val="0"/>
          <w:i w:val="0"/>
          <w:color w:val="1E242A"/>
          <w:sz w:val="21"/>
        </w:rPr>
        <w:t xml:space="preserve">). </w:t>
      </w:r>
      <w:r>
        <w:rPr>
          <w:rFonts w:ascii="Arial" w:hAnsi="Arial"/>
          <w:b/>
          <w:i w:val="0"/>
          <w:color w:val="1E242A"/>
          <w:sz w:val="21"/>
        </w:rPr>
        <w:t>SCENARIO-SPECIFIC:</w:t>
      </w:r>
      <w:r>
        <w:rPr>
          <w:rFonts w:ascii="Arial" w:hAnsi="Arial"/>
          <w:b w:val="0"/>
          <w:i w:val="0"/>
          <w:color w:val="1E242A"/>
          <w:sz w:val="21"/>
        </w:rPr>
        <w:t xml:space="preserve"> by the cutoff this framework had operated for too short a period, amid repeated revenue-package and target debates, to establish long-run credibility or service effects.</w:t>
      </w:r>
    </w:p>
    <w:p>
      <w:r>
        <w:rPr>
          <w:rFonts w:ascii="Arial" w:hAnsi="Arial"/>
          <w:b w:val="0"/>
          <w:i w:val="0"/>
          <w:color w:val="1E242A"/>
          <w:sz w:val="21"/>
        </w:rPr>
        <w:t>The precedent is iterative institutionalisation. A president may propose a constitutional ceiling, complementary-law regime, tax package, contingency decree or target change, but Congress can amend assumptions and exemptions; courts and TCU can review legality; revenue performance and mandatory expenditure determine actual space; future constitutional majorities can replace the rule. “Fiscal adjustment” therefore names multiple instruments with different incidence and timing.</w:t>
      </w:r>
    </w:p>
    <w:p>
      <w:pPr>
        <w:pStyle w:val="Heading2"/>
      </w:pPr>
      <w:r>
        <w:rPr>
          <w:rFonts w:ascii="Arial" w:hAnsi="Arial"/>
          <w:b w:val="0"/>
          <w:i w:val="0"/>
          <w:color w:val="2C5F80"/>
          <w:sz w:val="27"/>
        </w:rPr>
        <w:t>3.3 Monetary–fiscal interaction</w:t>
      </w:r>
    </w:p>
    <w:p>
      <w:r>
        <w:rPr>
          <w:rFonts w:ascii="Arial" w:hAnsi="Arial"/>
          <w:b w:val="0"/>
          <w:i w:val="0"/>
          <w:color w:val="1E242A"/>
          <w:sz w:val="21"/>
        </w:rPr>
        <w:t>The 1999 adoption of inflation targeting and a floating exchange rate followed external-pressure and currency events; primary-surplus commitments and debt management supported the new regime. Later inflation shocks repeatedly combined administered prices, exchange rates, food/energy shocks, expectations and fiscal perceptions. LC 179/2021 gave the BCB fixed leadership terms and formal autonomy, changing—not eliminating—the political relationship. Government criticism of interest rates cannot legally substitute a presidential rate decision; fiscal measures, appointments when terms expire, target-setting institutions and public signalling remain consequential.</w:t>
      </w:r>
    </w:p>
    <w:p>
      <w:r>
        <w:rPr>
          <w:rFonts w:ascii="Arial" w:hAnsi="Arial"/>
          <w:b w:val="0"/>
          <w:i w:val="0"/>
          <w:color w:val="1E242A"/>
          <w:sz w:val="21"/>
        </w:rPr>
        <w:t>Historical episodes support a conditional proposition: weak fiscal credibility can complicate monetary disinflation, while high rates change debt service, credit and political conflict. They do not support a fixed conversion from spending to inflation or rates. External commodity prices, exchange rates, slack, expectations and BCB credibility differ across episodes.</w:t>
      </w:r>
    </w:p>
    <w:p>
      <w:pPr>
        <w:pStyle w:val="Heading1"/>
      </w:pPr>
      <w:r>
        <w:rPr>
          <w:rFonts w:ascii="Arial" w:hAnsi="Arial"/>
          <w:b w:val="0"/>
          <w:i w:val="0"/>
          <w:color w:val="183752"/>
          <w:sz w:val="34"/>
        </w:rPr>
        <w:t>4. Structural reform through Congress</w:t>
      </w:r>
    </w:p>
    <w:p>
      <w:pPr>
        <w:pStyle w:val="Heading2"/>
      </w:pPr>
      <w:r>
        <w:rPr>
          <w:rFonts w:ascii="Arial" w:hAnsi="Arial"/>
          <w:b w:val="0"/>
          <w:i w:val="0"/>
          <w:color w:val="2C5F80"/>
          <w:sz w:val="27"/>
        </w:rPr>
        <w:t>4.1 Pensions as cumulative constitutional bargaining (P06)</w:t>
      </w:r>
    </w:p>
    <w:p>
      <w:r>
        <w:rPr>
          <w:rFonts w:ascii="Arial" w:hAnsi="Arial"/>
          <w:b w:val="0"/>
          <w:i w:val="0"/>
          <w:color w:val="1E242A"/>
          <w:sz w:val="21"/>
        </w:rPr>
        <w:t>EC 20/1998 shifted core rules toward contributory and actuarial principles (</w:t>
      </w:r>
      <w:hyperlink r:id="rId18">
        <w:r>
          <w:rPr>
            <w:color w:val="2C5F80"/>
            <w:u w:val="single"/>
            <w:rFonts w:ascii="Arial" w:hAnsi="Arial"/>
            <w:sz w:val="21"/>
          </w:rPr>
          <w:t>EC 20</w:t>
        </w:r>
      </w:hyperlink>
      <w:r>
        <w:rPr>
          <w:rFonts w:ascii="Arial" w:hAnsi="Arial"/>
          <w:b w:val="0"/>
          <w:i w:val="0"/>
          <w:color w:val="1E242A"/>
          <w:sz w:val="21"/>
        </w:rPr>
        <w:t>). EC 41/2003 altered public-servant pensions and introduced solidarity contributions including for retirees above thresholds (</w:t>
      </w:r>
      <w:hyperlink r:id="rId19">
        <w:r>
          <w:rPr>
            <w:color w:val="2C5F80"/>
            <w:u w:val="single"/>
            <w:rFonts w:ascii="Arial" w:hAnsi="Arial"/>
            <w:sz w:val="21"/>
          </w:rPr>
          <w:t>EC 41</w:t>
        </w:r>
      </w:hyperlink>
      <w:r>
        <w:rPr>
          <w:rFonts w:ascii="Arial" w:hAnsi="Arial"/>
          <w:b w:val="0"/>
          <w:i w:val="0"/>
          <w:color w:val="1E242A"/>
          <w:sz w:val="21"/>
        </w:rPr>
        <w:t>). The Temer government proposed another broad reform but did not secure enactment before the electoral calendar and political crisis closed the window. The Bolsonaro government proposed PEC 6/2019; Congress enacted EC 103 after changing transition rules, categories and fiscal reach (</w:t>
      </w:r>
      <w:hyperlink r:id="rId20">
        <w:r>
          <w:rPr>
            <w:color w:val="2C5F80"/>
            <w:u w:val="single"/>
            <w:rFonts w:ascii="Arial" w:hAnsi="Arial"/>
            <w:sz w:val="21"/>
          </w:rPr>
          <w:t>EC 103</w:t>
        </w:r>
      </w:hyperlink>
      <w:r>
        <w:rPr>
          <w:rFonts w:ascii="Arial" w:hAnsi="Arial"/>
          <w:b w:val="0"/>
          <w:i w:val="0"/>
          <w:color w:val="1E242A"/>
          <w:sz w:val="21"/>
        </w:rPr>
        <w:t>). States and municipalities retained important implementation choices under the amendment.</w:t>
      </w:r>
    </w:p>
    <w:p>
      <w:r>
        <w:rPr>
          <w:rFonts w:ascii="Arial" w:hAnsi="Arial"/>
          <w:b/>
          <w:i w:val="0"/>
          <w:color w:val="1E242A"/>
          <w:sz w:val="21"/>
        </w:rPr>
        <w:t>POLITICAL PRACTICE:</w:t>
      </w:r>
      <w:r>
        <w:rPr>
          <w:rFonts w:ascii="Arial" w:hAnsi="Arial"/>
          <w:b w:val="0"/>
          <w:i w:val="0"/>
          <w:color w:val="1E242A"/>
          <w:sz w:val="21"/>
        </w:rPr>
        <w:t xml:space="preserve"> losses are salient and concentrated, whereas fiscal gains are delayed; affected careers, unions, governors and legislators therefore bargain intensely over ages, contribution periods, special regimes and transitions. Presidents provide diagnosis and agenda impetus, but legislative leaders and rapporteurs can become co-authors. The enacted text must be modelled separately from the initial presidential proposal.</w:t>
      </w:r>
    </w:p>
    <w:p>
      <w:r>
        <w:rPr>
          <w:rFonts w:ascii="Arial" w:hAnsi="Arial"/>
          <w:b/>
          <w:i w:val="0"/>
          <w:color w:val="1E242A"/>
          <w:sz w:val="21"/>
        </w:rPr>
        <w:t>Failure and recovery:</w:t>
      </w:r>
      <w:r>
        <w:rPr>
          <w:rFonts w:ascii="Arial" w:hAnsi="Arial"/>
          <w:b w:val="0"/>
          <w:i w:val="0"/>
          <w:color w:val="1E242A"/>
          <w:sz w:val="21"/>
        </w:rPr>
        <w:t xml:space="preserve"> Temer's failure did not erase the policy family. A later administration returned under a changed congressional leadership, electoral mandate and design. This is evidence for institutional memory and proposal inheritance, not proof that delay guarantees success.</w:t>
      </w:r>
    </w:p>
    <w:p>
      <w:pPr>
        <w:pStyle w:val="Heading2"/>
      </w:pPr>
      <w:r>
        <w:rPr>
          <w:rFonts w:ascii="Arial" w:hAnsi="Arial"/>
          <w:b w:val="0"/>
          <w:i w:val="0"/>
          <w:color w:val="2C5F80"/>
          <w:sz w:val="27"/>
        </w:rPr>
        <w:t>4.2 Tax reform after repeated failure (P07)</w:t>
      </w:r>
    </w:p>
    <w:p>
      <w:r>
        <w:rPr>
          <w:rFonts w:ascii="Arial" w:hAnsi="Arial"/>
          <w:b w:val="0"/>
          <w:i w:val="0"/>
          <w:color w:val="1E242A"/>
          <w:sz w:val="21"/>
        </w:rPr>
        <w:t>For decades consumption-tax reform stalled over state ICMS autonomy, municipal ISS revenue, destination versus origin, sectoral rates, accumulated credits and transition losses. EC 132/2023 created a dual VAT architecture—federal CBS and shared state/municipal IBS—plus selective tax, transition and an IBS governing committee (</w:t>
      </w:r>
      <w:hyperlink r:id="rId21">
        <w:r>
          <w:rPr>
            <w:color w:val="2C5F80"/>
            <w:u w:val="single"/>
            <w:rFonts w:ascii="Arial" w:hAnsi="Arial"/>
            <w:sz w:val="21"/>
          </w:rPr>
          <w:t>EC 132/2023</w:t>
        </w:r>
      </w:hyperlink>
      <w:r>
        <w:rPr>
          <w:rFonts w:ascii="Arial" w:hAnsi="Arial"/>
          <w:b w:val="0"/>
          <w:i w:val="0"/>
          <w:color w:val="1E242A"/>
          <w:sz w:val="21"/>
        </w:rPr>
        <w:t>). LC 214/2025 instituted IBS, CBS and IS rules and confirmed shared competence (</w:t>
      </w:r>
      <w:hyperlink r:id="rId22">
        <w:r>
          <w:rPr>
            <w:color w:val="2C5F80"/>
            <w:u w:val="single"/>
            <w:rFonts w:ascii="Arial" w:hAnsi="Arial"/>
            <w:sz w:val="21"/>
          </w:rPr>
          <w:t>LC 214/2025</w:t>
        </w:r>
      </w:hyperlink>
      <w:r>
        <w:rPr>
          <w:rFonts w:ascii="Arial" w:hAnsi="Arial"/>
          <w:b w:val="0"/>
          <w:i w:val="0"/>
          <w:color w:val="1E242A"/>
          <w:sz w:val="21"/>
        </w:rPr>
        <w:t>). Full replacement stretches to 2033.</w:t>
      </w:r>
    </w:p>
    <w:p>
      <w:r>
        <w:rPr>
          <w:rFonts w:ascii="Arial" w:hAnsi="Arial"/>
          <w:b w:val="0"/>
          <w:i w:val="0"/>
          <w:color w:val="1E242A"/>
          <w:sz w:val="21"/>
        </w:rPr>
        <w:t xml:space="preserve">This success was not a simple presidential victory. Long technical work, a mature congressional PEC, Chamber leadership, Finance Ministry engagement, governors, mayors, sectoral concessions, differentiated rates and transition/compensation devices assembled the supermajority. </w:t>
      </w:r>
      <w:r>
        <w:rPr>
          <w:rFonts w:ascii="Arial" w:hAnsi="Arial"/>
          <w:b/>
          <w:i w:val="0"/>
          <w:color w:val="1E242A"/>
          <w:sz w:val="21"/>
        </w:rPr>
        <w:t>INDEPENDENT OR NON-PRESIDENTIAL ACTOR CAPABILITY:</w:t>
      </w:r>
      <w:r>
        <w:rPr>
          <w:rFonts w:ascii="Arial" w:hAnsi="Arial"/>
          <w:b w:val="0"/>
          <w:i w:val="0"/>
          <w:color w:val="1E242A"/>
          <w:sz w:val="21"/>
        </w:rPr>
        <w:t xml:space="preserve"> Congress can originate and own structural policy while the executive supplies negotiation, fiscal estimates and implementation.</w:t>
      </w:r>
    </w:p>
    <w:p>
      <w:r>
        <w:rPr>
          <w:rFonts w:ascii="Arial" w:hAnsi="Arial"/>
          <w:b/>
          <w:i w:val="0"/>
          <w:color w:val="1E242A"/>
          <w:sz w:val="21"/>
        </w:rPr>
        <w:t>SCENARIO-SPECIFIC:</w:t>
      </w:r>
      <w:r>
        <w:rPr>
          <w:rFonts w:ascii="Arial" w:hAnsi="Arial"/>
          <w:b w:val="0"/>
          <w:i w:val="0"/>
          <w:color w:val="1E242A"/>
          <w:sz w:val="21"/>
        </w:rPr>
        <w:t xml:space="preserve"> implementation regulations, rates, litigation, the committee's operation and distributional effects remained incomplete at cutoff. Enactment proves feasibility, not eventual simplification, neutrality or growth gains.</w:t>
      </w:r>
    </w:p>
    <w:p>
      <w:pPr>
        <w:pStyle w:val="Heading2"/>
      </w:pPr>
      <w:r>
        <w:rPr>
          <w:rFonts w:ascii="Arial" w:hAnsi="Arial"/>
          <w:b w:val="0"/>
          <w:i w:val="0"/>
          <w:color w:val="2C5F80"/>
          <w:sz w:val="27"/>
        </w:rPr>
        <w:t>4.3 Administrative reform and limits of executive reorganisation (P08–P09)</w:t>
      </w:r>
    </w:p>
    <w:p>
      <w:r>
        <w:rPr>
          <w:rFonts w:ascii="Arial" w:hAnsi="Arial"/>
          <w:b w:val="0"/>
          <w:i w:val="0"/>
          <w:color w:val="1E242A"/>
          <w:sz w:val="21"/>
        </w:rPr>
        <w:t>FHC's state-reform programme used ministry-level managerial change, statutes and EC 19/1998 to alter administrative principles and personnel possibilities. Some organisational changes were executive; tenure, remuneration ceilings and constitutional employment rules required amendment. Implementation varied across agencies and was affected by later judicial rulings and public-sector resistance.</w:t>
      </w:r>
    </w:p>
    <w:p>
      <w:r>
        <w:rPr>
          <w:rFonts w:ascii="Arial" w:hAnsi="Arial"/>
          <w:b w:val="0"/>
          <w:i w:val="0"/>
          <w:color w:val="1E242A"/>
          <w:sz w:val="21"/>
        </w:rPr>
        <w:t>Bolsonaro-era ministry mergers and digital-service expansion again showed that the executive can reorganise portfolios and processes within statutory boundaries. PEC 32/2020 showed the boundary: a president may submit a far-reaching personnel amendment, but cannot enact it. The proposal advanced in committee but stalled in the Chamber amid scope, service-quality, stability and category disputes.</w:t>
      </w:r>
    </w:p>
    <w:p>
      <w:r>
        <w:rPr>
          <w:rFonts w:ascii="Arial" w:hAnsi="Arial"/>
          <w:b w:val="0"/>
          <w:i w:val="0"/>
          <w:color w:val="1E242A"/>
          <w:sz w:val="21"/>
        </w:rPr>
        <w:t>For a proposed 15% administrative-expenditure reduction, history supplies no defensible automatic saving. Personnel stocks, constitutional floors, earmarks, pensions, procurement contracts, transition rights and subnational payrolls limit immediate cuts. Reorganisation can also reduce specialist capacity, generate transition costs and move expenditure rather than eliminate it.</w:t>
      </w:r>
    </w:p>
    <w:p>
      <w:pPr>
        <w:pStyle w:val="Heading1"/>
      </w:pPr>
      <w:r>
        <w:rPr>
          <w:rFonts w:ascii="Arial" w:hAnsi="Arial"/>
          <w:b w:val="0"/>
          <w:i w:val="0"/>
          <w:color w:val="183752"/>
          <w:sz w:val="34"/>
        </w:rPr>
        <w:t>5. State ownership, regulation, industry and infrastructure</w:t>
      </w:r>
    </w:p>
    <w:p>
      <w:pPr>
        <w:pStyle w:val="Heading2"/>
      </w:pPr>
      <w:r>
        <w:rPr>
          <w:rFonts w:ascii="Arial" w:hAnsi="Arial"/>
          <w:b w:val="0"/>
          <w:i w:val="0"/>
          <w:color w:val="2C5F80"/>
          <w:sz w:val="27"/>
        </w:rPr>
        <w:t>5.1 Privatisation is a programme, not a sale instruction (P10–P11)</w:t>
      </w:r>
    </w:p>
    <w:p>
      <w:r>
        <w:rPr>
          <w:rFonts w:ascii="Arial" w:hAnsi="Arial"/>
          <w:b w:val="0"/>
          <w:i w:val="0"/>
          <w:color w:val="1E242A"/>
          <w:sz w:val="21"/>
        </w:rPr>
        <w:t>The PND's legal objectives included reordering the state's role, improving public finances, enabling investment and strengthening capital markets. Law 9,491/1997 defined desestatização to include transfer of control and delegation of public services, and established the programme architecture (</w:t>
      </w:r>
      <w:hyperlink r:id="rId23">
        <w:r>
          <w:rPr>
            <w:color w:val="2C5F80"/>
            <w:u w:val="single"/>
            <w:rFonts w:ascii="Arial" w:hAnsi="Arial"/>
            <w:sz w:val="21"/>
          </w:rPr>
          <w:t>Law 9,491/1997</w:t>
        </w:r>
      </w:hyperlink>
      <w:r>
        <w:rPr>
          <w:rFonts w:ascii="Arial" w:hAnsi="Arial"/>
          <w:b w:val="0"/>
          <w:i w:val="0"/>
          <w:color w:val="1E242A"/>
          <w:sz w:val="21"/>
        </w:rPr>
        <w:t>). Vale's sale and telecommunications restructuring involved valuation, BNDES process capacity, auctions, sector legislation and regulation. Telecommunications outcomes reflect privatisation plus technology, competition rules, universalisation obligations and investment—not ownership change alone.</w:t>
      </w:r>
    </w:p>
    <w:p>
      <w:r>
        <w:rPr>
          <w:rFonts w:ascii="Arial" w:hAnsi="Arial"/>
          <w:b w:val="0"/>
          <w:i w:val="0"/>
          <w:color w:val="1E242A"/>
          <w:sz w:val="21"/>
        </w:rPr>
        <w:t>Eletrobras in 2022 followed a distinct capitalisation route: new shares diluted Union voting control, while legislation attached sectoral spending obligations and governance rules. This is not equivalent to selling a ministry asset. STF litigation and continuing golden-share/governance disputes illustrate that post-transaction control is legally structured and politically contestable.</w:t>
      </w:r>
    </w:p>
    <w:p>
      <w:r>
        <w:rPr>
          <w:rFonts w:ascii="Arial" w:hAnsi="Arial"/>
          <w:b/>
          <w:i w:val="0"/>
          <w:color w:val="1E242A"/>
          <w:sz w:val="21"/>
        </w:rPr>
        <w:t>GOVERNMENT ACTION INSTRUMENTS:</w:t>
      </w:r>
      <w:r>
        <w:rPr>
          <w:rFonts w:ascii="Arial" w:hAnsi="Arial"/>
          <w:b w:val="0"/>
          <w:i w:val="0"/>
          <w:color w:val="1E242A"/>
          <w:sz w:val="21"/>
        </w:rPr>
        <w:t xml:space="preserve"> sale of control under statutory programme; concession or PPP; capitalisation/dilution; asset divestment by an SOE under governance rules; regulatory restructuring. Their fiscal timing, risk transfer and control consequences differ.</w:t>
      </w:r>
    </w:p>
    <w:p>
      <w:pPr>
        <w:pStyle w:val="Heading2"/>
      </w:pPr>
      <w:r>
        <w:rPr>
          <w:rFonts w:ascii="Arial" w:hAnsi="Arial"/>
          <w:b w:val="0"/>
          <w:i w:val="0"/>
          <w:color w:val="2C5F80"/>
          <w:sz w:val="27"/>
        </w:rPr>
        <w:t>5.2 BNDES, industrial policy and the PAC (P12–P14)</w:t>
      </w:r>
    </w:p>
    <w:p>
      <w:r>
        <w:rPr>
          <w:rFonts w:ascii="Arial" w:hAnsi="Arial"/>
          <w:b w:val="0"/>
          <w:i w:val="0"/>
          <w:color w:val="1E242A"/>
          <w:sz w:val="21"/>
        </w:rPr>
        <w:t>During the 2008 shock the Union combined BNDES credit expansion, public-bank lending, tax reductions, monetary easing and later infrastructure/industrial programmes. This demonstrated capacity for coordinated countercyclical action. Subsequent Treasury transfers to BNDES and subsidised lending supported investment and selected firms, but credible work disputes additionality, productivity effects and whether “national champions” concentrated rents or generated capability. Fiscal subsidy and credit risk often appeared later than the announcement.</w:t>
      </w:r>
    </w:p>
    <w:p>
      <w:r>
        <w:rPr>
          <w:rFonts w:ascii="Arial" w:hAnsi="Arial"/>
          <w:b w:val="0"/>
          <w:i w:val="0"/>
          <w:color w:val="1E242A"/>
          <w:sz w:val="21"/>
        </w:rPr>
        <w:t>PAC assembled and politically branded projects financed by the budget, SOEs, public banks, private concessionaires and subnational partners. It improved central monitoring for priority projects but did not turn announced values into immediate expenditure or completion. TCU's later cross-programme audit found 37.5% of roughly 38,400 federally financed works in its 2018 universe paralysed or unfinished; project deficiencies, funding/contrapartida and subnational capacity were prominent causes (</w:t>
      </w:r>
      <w:hyperlink r:id="rId24">
        <w:r>
          <w:rPr>
            <w:color w:val="2C5F80"/>
            <w:u w:val="single"/>
            <w:rFonts w:ascii="Arial" w:hAnsi="Arial"/>
            <w:sz w:val="21"/>
          </w:rPr>
          <w:t>TCU operational audit</w:t>
        </w:r>
      </w:hyperlink>
      <w:r>
        <w:rPr>
          <w:rFonts w:ascii="Arial" w:hAnsi="Arial"/>
          <w:b w:val="0"/>
          <w:i w:val="0"/>
          <w:color w:val="1E242A"/>
          <w:sz w:val="21"/>
        </w:rPr>
        <w:t>). The universe is not a causal evaluation of PAC and must not be quoted as “37.5% of all PAC failed.”</w:t>
      </w:r>
    </w:p>
    <w:p>
      <w:r>
        <w:rPr>
          <w:rFonts w:ascii="Arial" w:hAnsi="Arial"/>
          <w:b w:val="0"/>
          <w:i w:val="0"/>
          <w:color w:val="1E242A"/>
          <w:sz w:val="21"/>
        </w:rPr>
        <w:t>Concessions survived ideological change because they mobilise capital within contracts and create operators/investors with durable stakes. Yet auctions require bankable projects, licensing, demand allocation, regulatory credibility and judicial/audit resilience. Renegotiation and re-tendering are part of the historical record.</w:t>
      </w:r>
    </w:p>
    <w:p>
      <w:pPr>
        <w:pStyle w:val="Heading1"/>
      </w:pPr>
      <w:r>
        <w:rPr>
          <w:rFonts w:ascii="Arial" w:hAnsi="Arial"/>
          <w:b w:val="0"/>
          <w:i w:val="0"/>
          <w:color w:val="183752"/>
          <w:sz w:val="34"/>
        </w:rPr>
        <w:t>6. Social policy and crisis delivery</w:t>
      </w:r>
    </w:p>
    <w:p>
      <w:pPr>
        <w:pStyle w:val="Heading2"/>
      </w:pPr>
      <w:r>
        <w:rPr>
          <w:rFonts w:ascii="Arial" w:hAnsi="Arial"/>
          <w:b w:val="0"/>
          <w:i w:val="0"/>
          <w:color w:val="2C5F80"/>
          <w:sz w:val="27"/>
        </w:rPr>
        <w:t>6.1 Bolsa Família and programme durability (P15)</w:t>
      </w:r>
    </w:p>
    <w:p>
      <w:r>
        <w:rPr>
          <w:rFonts w:ascii="Arial" w:hAnsi="Arial"/>
          <w:b w:val="0"/>
          <w:i w:val="0"/>
          <w:color w:val="1E242A"/>
          <w:sz w:val="21"/>
        </w:rPr>
        <w:t>Law 10,836/2004 unified Bolsa Escola, Bolsa Alimentação, Auxílio-Gás and other transfers, while relying on the Cadastro Único and local administration (</w:t>
      </w:r>
      <w:hyperlink r:id="rId25">
        <w:r>
          <w:rPr>
            <w:color w:val="2C5F80"/>
            <w:u w:val="single"/>
            <w:rFonts w:ascii="Arial" w:hAnsi="Arial"/>
            <w:sz w:val="21"/>
          </w:rPr>
          <w:t>original law</w:t>
        </w:r>
      </w:hyperlink>
      <w:r>
        <w:rPr>
          <w:rFonts w:ascii="Arial" w:hAnsi="Arial"/>
          <w:b w:val="0"/>
          <w:i w:val="0"/>
          <w:color w:val="1E242A"/>
          <w:sz w:val="21"/>
        </w:rPr>
        <w:t>). The Union financed and specified benefits; municipalities registered families and supported conditionality monitoring; Caixa paid. This distributed chain made programme integrity depend on local data and federal coordination.</w:t>
      </w:r>
    </w:p>
    <w:p>
      <w:r>
        <w:rPr>
          <w:rFonts w:ascii="Arial" w:hAnsi="Arial"/>
          <w:b w:val="0"/>
          <w:i w:val="0"/>
          <w:color w:val="1E242A"/>
          <w:sz w:val="21"/>
        </w:rPr>
        <w:t>IPEA-linked evaluation of the first fifteen years attributes a substantial share of poverty and inequality reduction to the programme despite expenditure below one percent of GDP, with good targeting (</w:t>
      </w:r>
      <w:hyperlink r:id="rId26">
        <w:r>
          <w:rPr>
            <w:color w:val="2C5F80"/>
            <w:u w:val="single"/>
            <w:rFonts w:ascii="Arial" w:hAnsi="Arial"/>
            <w:sz w:val="21"/>
          </w:rPr>
          <w:t>Souza et al., 2019</w:t>
        </w:r>
      </w:hyperlink>
      <w:r>
        <w:rPr>
          <w:rFonts w:ascii="Arial" w:hAnsi="Arial"/>
          <w:b w:val="0"/>
          <w:i w:val="0"/>
          <w:color w:val="1E242A"/>
          <w:sz w:val="21"/>
        </w:rPr>
        <w:t>). Labour income, minimum wages and demography also mattered. The programme created beneficiaries, a delivery bureaucracy and cross-party political costs of abolition.</w:t>
      </w:r>
    </w:p>
    <w:p>
      <w:r>
        <w:rPr>
          <w:rFonts w:ascii="Arial" w:hAnsi="Arial"/>
          <w:b w:val="0"/>
          <w:i w:val="0"/>
          <w:color w:val="1E242A"/>
          <w:sz w:val="21"/>
        </w:rPr>
        <w:t>Auxílio Brasil replaced the programme in 2021, altering design and branding; Law 14,601/2023 restored Bolsa Família with redesigned benefits (</w:t>
      </w:r>
      <w:hyperlink r:id="rId27">
        <w:r>
          <w:rPr>
            <w:color w:val="2C5F80"/>
            <w:u w:val="single"/>
            <w:rFonts w:ascii="Arial" w:hAnsi="Arial"/>
            <w:sz w:val="21"/>
          </w:rPr>
          <w:t>Law 14,601</w:t>
        </w:r>
      </w:hyperlink>
      <w:r>
        <w:rPr>
          <w:rFonts w:ascii="Arial" w:hAnsi="Arial"/>
          <w:b w:val="0"/>
          <w:i w:val="0"/>
          <w:color w:val="1E242A"/>
          <w:sz w:val="21"/>
        </w:rPr>
        <w:t>). Continuity existed beneath reversal: mass cash transfer, registry and payment infrastructure endured. Durable policy can therefore change name, benefit formula and conditionality without disappearing.</w:t>
      </w:r>
    </w:p>
    <w:p>
      <w:pPr>
        <w:pStyle w:val="Heading2"/>
      </w:pPr>
      <w:r>
        <w:rPr>
          <w:rFonts w:ascii="Arial" w:hAnsi="Arial"/>
          <w:b w:val="0"/>
          <w:i w:val="0"/>
          <w:color w:val="2C5F80"/>
          <w:sz w:val="27"/>
        </w:rPr>
        <w:t>6.2 Emergency aid and pandemic federalism (P18–P19)</w:t>
      </w:r>
    </w:p>
    <w:p>
      <w:r>
        <w:rPr>
          <w:rFonts w:ascii="Arial" w:hAnsi="Arial"/>
          <w:b w:val="0"/>
          <w:i w:val="0"/>
          <w:color w:val="1E242A"/>
          <w:sz w:val="21"/>
        </w:rPr>
        <w:t>The executive initially proposed narrower emergency support; Congress legislated R$600 monthly aid for eligible informal and low-income workers in Law 13,982/2020, with payment through public financial institutions and automatically opened digital social accounts (</w:t>
      </w:r>
      <w:hyperlink r:id="rId28">
        <w:r>
          <w:rPr>
            <w:color w:val="2C5F80"/>
            <w:u w:val="single"/>
            <w:rFonts w:ascii="Arial" w:hAnsi="Arial"/>
            <w:sz w:val="21"/>
          </w:rPr>
          <w:t>Law 13,982</w:t>
        </w:r>
      </w:hyperlink>
      <w:r>
        <w:rPr>
          <w:rFonts w:ascii="Arial" w:hAnsi="Arial"/>
          <w:b w:val="0"/>
          <w:i w:val="0"/>
          <w:color w:val="1E242A"/>
          <w:sz w:val="21"/>
        </w:rPr>
        <w:t>). Congress thereby became a policy entrepreneur. Caixa, Dataprev, CadÚnico and self-declaration systems converted law and emergency appropriations into mass delivery.</w:t>
      </w:r>
    </w:p>
    <w:p>
      <w:r>
        <w:rPr>
          <w:rFonts w:ascii="Arial" w:hAnsi="Arial"/>
          <w:b w:val="0"/>
          <w:i w:val="0"/>
          <w:color w:val="1E242A"/>
          <w:sz w:val="21"/>
        </w:rPr>
        <w:t>The rapid rollout cushioned income and temporarily reduced measured poverty in 2020, but contemporaneous outcomes were affected by mobility restrictions, labour collapse and other fiscal measures. Coverage errors, queues, digital exclusion, fraud and later benefit reduction show the control–speed trade-off.</w:t>
      </w:r>
    </w:p>
    <w:p>
      <w:r>
        <w:rPr>
          <w:rFonts w:ascii="Arial" w:hAnsi="Arial"/>
          <w:b w:val="0"/>
          <w:i w:val="0"/>
          <w:color w:val="1E242A"/>
          <w:sz w:val="21"/>
        </w:rPr>
        <w:t>Health measures exposed concurrent federalism. In ADI 6341 the STF preserved state and municipal competence to adopt isolation and related health measures; it did not hold that the Union lacked responsibility (</w:t>
      </w:r>
      <w:hyperlink r:id="rId29">
        <w:r>
          <w:rPr>
            <w:color w:val="2C5F80"/>
            <w:u w:val="single"/>
            <w:rFonts w:ascii="Arial" w:hAnsi="Arial"/>
            <w:sz w:val="21"/>
          </w:rPr>
          <w:t>STF COVID-19 ADI summary</w:t>
        </w:r>
      </w:hyperlink>
      <w:r>
        <w:rPr>
          <w:rFonts w:ascii="Arial" w:hAnsi="Arial"/>
          <w:b w:val="0"/>
          <w:i w:val="0"/>
          <w:color w:val="1E242A"/>
          <w:sz w:val="21"/>
        </w:rPr>
        <w:t>). In ADPF 709 the Court ordered federal planning and protections for Indigenous peoples (</w:t>
      </w:r>
      <w:hyperlink r:id="rId30">
        <w:r>
          <w:rPr>
            <w:color w:val="2C5F80"/>
            <w:u w:val="single"/>
            <w:rFonts w:ascii="Arial" w:hAnsi="Arial"/>
            <w:sz w:val="21"/>
          </w:rPr>
          <w:t>STF case record</w:t>
        </w:r>
      </w:hyperlink>
      <w:r>
        <w:rPr>
          <w:rFonts w:ascii="Arial" w:hAnsi="Arial"/>
          <w:b w:val="0"/>
          <w:i w:val="0"/>
          <w:color w:val="1E242A"/>
          <w:sz w:val="21"/>
        </w:rPr>
        <w:t>). Congress authorised emergency fiscal measures and later investigated federal conduct. Vaccine acquisition depended on federal purchasing, regulator decisions, state pressure and suppliers.</w:t>
      </w:r>
    </w:p>
    <w:p>
      <w:r>
        <w:rPr>
          <w:rFonts w:ascii="Arial" w:hAnsi="Arial"/>
          <w:b/>
          <w:i w:val="0"/>
          <w:color w:val="1E242A"/>
          <w:sz w:val="21"/>
        </w:rPr>
        <w:t>Causal limit:</w:t>
      </w:r>
      <w:r>
        <w:rPr>
          <w:rFonts w:ascii="Arial" w:hAnsi="Arial"/>
          <w:b w:val="0"/>
          <w:i w:val="0"/>
          <w:color w:val="1E242A"/>
          <w:sz w:val="21"/>
        </w:rPr>
        <w:t xml:space="preserve"> comparisons among jurisdictions are confounded by epidemic timing, demography, health capacity, compliance and data. The robust institutional finding is that conflicting executives, legislatures, courts and governors acted simultaneously; federal supremacy did not erase shared health authority.</w:t>
      </w:r>
    </w:p>
    <w:p>
      <w:pPr>
        <w:pStyle w:val="Heading1"/>
      </w:pPr>
      <w:r>
        <w:rPr>
          <w:rFonts w:ascii="Arial" w:hAnsi="Arial"/>
          <w:b w:val="0"/>
          <w:i w:val="0"/>
          <w:color w:val="183752"/>
          <w:sz w:val="34"/>
        </w:rPr>
        <w:t>7. Energy, fuel and rapid economic coercion</w:t>
      </w:r>
    </w:p>
    <w:p>
      <w:pPr>
        <w:pStyle w:val="Heading2"/>
      </w:pPr>
      <w:r>
        <w:rPr>
          <w:rFonts w:ascii="Arial" w:hAnsi="Arial"/>
          <w:b w:val="0"/>
          <w:i w:val="0"/>
          <w:color w:val="2C5F80"/>
          <w:sz w:val="27"/>
        </w:rPr>
        <w:t>7.1 Electricity rationing (P20)</w:t>
      </w:r>
    </w:p>
    <w:p>
      <w:r>
        <w:rPr>
          <w:rFonts w:ascii="Arial" w:hAnsi="Arial"/>
          <w:b w:val="0"/>
          <w:i w:val="0"/>
          <w:color w:val="1E242A"/>
          <w:sz w:val="21"/>
        </w:rPr>
        <w:t>The 2001 crisis combined drought with insufficient generation/transmission investment and regulatory transition. The federal response created an interministerial crisis structure, assigned regional consumption-reduction targets and used bonuses, surcharges and threatened interruption. Households and firms reduced demand enough to avoid uncontrolled rolling blackouts. Political costs were immediate; institutional consequences included renewed attention to planning, auctions, transmission and diversification.</w:t>
      </w:r>
    </w:p>
    <w:p>
      <w:r>
        <w:rPr>
          <w:rFonts w:ascii="Arial" w:hAnsi="Arial"/>
          <w:b w:val="0"/>
          <w:i w:val="0"/>
          <w:color w:val="1E242A"/>
          <w:sz w:val="21"/>
        </w:rPr>
        <w:t>This is a high-value precedent because implementation relied on millions of consumers responding to a credible, measured rule. It does not show that rationing is harmless: output, welfare and distributional costs depended on duration and sector exposure.</w:t>
      </w:r>
    </w:p>
    <w:p>
      <w:pPr>
        <w:pStyle w:val="Heading2"/>
      </w:pPr>
      <w:r>
        <w:rPr>
          <w:rFonts w:ascii="Arial" w:hAnsi="Arial"/>
          <w:b w:val="0"/>
          <w:i w:val="0"/>
          <w:color w:val="2C5F80"/>
          <w:sz w:val="27"/>
        </w:rPr>
        <w:t>7.2 Petrobras pricing and the 2018 truckers' strike (P21–P22)</w:t>
      </w:r>
    </w:p>
    <w:p>
      <w:r>
        <w:rPr>
          <w:rFonts w:ascii="Arial" w:hAnsi="Arial"/>
          <w:b w:val="0"/>
          <w:i w:val="0"/>
          <w:color w:val="1E242A"/>
          <w:sz w:val="21"/>
        </w:rPr>
        <w:t>Petrobras adopted more market-linked fuel pricing after major losses and governance stress; frequent diesel-price changes in a period of exchange-rate and oil-price pressure preceded the May 2018 stoppage. Self-employed truckers and firms mobilised through decentralised networks; Brazil's road dependence rapidly created shortages and production stoppages.</w:t>
      </w:r>
    </w:p>
    <w:p>
      <w:r>
        <w:rPr>
          <w:rFonts w:ascii="Arial" w:hAnsi="Arial"/>
          <w:b w:val="0"/>
          <w:i w:val="0"/>
          <w:color w:val="1E242A"/>
          <w:sz w:val="21"/>
        </w:rPr>
        <w:t>The Temer government negotiated diesel-price reductions, federal tax measures, a temporary subsidy, minimum-freight rules and operational clearing of roads; Congress exerted pressure and converted parts into law. The package shifted costs to the budget, Petrobras/shareholders, shippers and future consumers. Freight-table litigation and market adaptation continued.</w:t>
      </w:r>
    </w:p>
    <w:p>
      <w:r>
        <w:rPr>
          <w:rFonts w:ascii="Arial" w:hAnsi="Arial"/>
          <w:b/>
          <w:i w:val="0"/>
          <w:color w:val="1E242A"/>
          <w:sz w:val="21"/>
        </w:rPr>
        <w:t>What appears to have mattered:</w:t>
      </w:r>
      <w:r>
        <w:rPr>
          <w:rFonts w:ascii="Arial" w:hAnsi="Arial"/>
          <w:b w:val="0"/>
          <w:i w:val="0"/>
          <w:color w:val="1E242A"/>
          <w:sz w:val="21"/>
        </w:rPr>
        <w:t xml:space="preserve"> concentrated livelihood pressure; rapid pass-through; fragmented but digitally coordinated mobilisation; limited logistics substitutes; weak government approval; and expectations that disruption would force concessions. </w:t>
      </w:r>
      <w:r>
        <w:rPr>
          <w:rFonts w:ascii="Arial" w:hAnsi="Arial"/>
          <w:b/>
          <w:i w:val="0"/>
          <w:color w:val="1E242A"/>
          <w:sz w:val="21"/>
        </w:rPr>
        <w:t>What cannot be concluded:</w:t>
      </w:r>
      <w:r>
        <w:rPr>
          <w:rFonts w:ascii="Arial" w:hAnsi="Arial"/>
          <w:b w:val="0"/>
          <w:i w:val="0"/>
          <w:color w:val="1E242A"/>
          <w:sz w:val="21"/>
        </w:rPr>
        <w:t xml:space="preserve"> any price increase triggers a strike, or the negotiated package solved freight-sector structure. Causal confidence is </w:t>
      </w:r>
      <w:r>
        <w:rPr>
          <w:rFonts w:ascii="Arial" w:hAnsi="Arial"/>
          <w:b/>
          <w:i w:val="0"/>
          <w:color w:val="1E242A"/>
          <w:sz w:val="21"/>
        </w:rPr>
        <w:t>High</w:t>
      </w:r>
      <w:r>
        <w:rPr>
          <w:rFonts w:ascii="Arial" w:hAnsi="Arial"/>
          <w:b w:val="0"/>
          <w:i w:val="0"/>
          <w:color w:val="1E242A"/>
          <w:sz w:val="21"/>
        </w:rPr>
        <w:t xml:space="preserve"> on disruption and response sequence, </w:t>
      </w:r>
      <w:r>
        <w:rPr>
          <w:rFonts w:ascii="Arial" w:hAnsi="Arial"/>
          <w:b/>
          <w:i w:val="0"/>
          <w:color w:val="1E242A"/>
          <w:sz w:val="21"/>
        </w:rPr>
        <w:t>Moderate</w:t>
      </w:r>
      <w:r>
        <w:rPr>
          <w:rFonts w:ascii="Arial" w:hAnsi="Arial"/>
          <w:b w:val="0"/>
          <w:i w:val="0"/>
          <w:color w:val="1E242A"/>
          <w:sz w:val="21"/>
        </w:rPr>
        <w:t xml:space="preserve"> on mobilisation causes, and </w:t>
      </w:r>
      <w:r>
        <w:rPr>
          <w:rFonts w:ascii="Arial" w:hAnsi="Arial"/>
          <w:b/>
          <w:i w:val="0"/>
          <w:color w:val="1E242A"/>
          <w:sz w:val="21"/>
        </w:rPr>
        <w:t>Low</w:t>
      </w:r>
      <w:r>
        <w:rPr>
          <w:rFonts w:ascii="Arial" w:hAnsi="Arial"/>
          <w:b w:val="0"/>
          <w:i w:val="0"/>
          <w:color w:val="1E242A"/>
          <w:sz w:val="21"/>
        </w:rPr>
        <w:t xml:space="preserve"> on durable benefit.</w:t>
      </w:r>
    </w:p>
    <w:p>
      <w:pPr>
        <w:pStyle w:val="Heading1"/>
      </w:pPr>
      <w:r>
        <w:rPr>
          <w:rFonts w:ascii="Arial" w:hAnsi="Arial"/>
          <w:b w:val="0"/>
          <w:i w:val="0"/>
          <w:color w:val="183752"/>
          <w:sz w:val="34"/>
        </w:rPr>
        <w:t>8. Environment and implementation capacity</w:t>
      </w:r>
    </w:p>
    <w:p>
      <w:pPr>
        <w:pStyle w:val="Heading2"/>
      </w:pPr>
      <w:r>
        <w:rPr>
          <w:rFonts w:ascii="Arial" w:hAnsi="Arial"/>
          <w:b w:val="0"/>
          <w:i w:val="0"/>
          <w:color w:val="2C5F80"/>
          <w:sz w:val="27"/>
        </w:rPr>
        <w:t>8.1 PPCDAm and the 2000s deforestation decline (P23)</w:t>
      </w:r>
    </w:p>
    <w:p>
      <w:r>
        <w:rPr>
          <w:rFonts w:ascii="Arial" w:hAnsi="Arial"/>
          <w:b w:val="0"/>
          <w:i w:val="0"/>
          <w:color w:val="1E242A"/>
          <w:sz w:val="21"/>
        </w:rPr>
        <w:t>PPCDAm coordinated territorial planning, satellite monitoring, enforcement and sustainable-production measures across ministries. INPE monitoring enabled targeted operations; IBAMA enforcement, protected areas, municipal prioritisation, rural-credit restrictions and supply-chain initiatives altered risk. Deforestation fell steeply from its 2004 peak into the early 2010s.</w:t>
      </w:r>
    </w:p>
    <w:p>
      <w:r>
        <w:rPr>
          <w:rFonts w:ascii="Arial" w:hAnsi="Arial"/>
          <w:b w:val="0"/>
          <w:i w:val="0"/>
          <w:color w:val="1E242A"/>
          <w:sz w:val="21"/>
        </w:rPr>
        <w:t>Quasi-experimental and institutional research attributes a meaningful part of the decline to monitoring/enforcement and credit controls, while commodity prices, exchange rates, agricultural intensification and private soy/cattle agreements also contributed. The programme's own evaluation documents cross-ministerial sequencing (</w:t>
      </w:r>
      <w:hyperlink r:id="rId31">
        <w:r>
          <w:rPr>
            <w:color w:val="2C5F80"/>
            <w:u w:val="single"/>
            <w:rFonts w:ascii="Arial" w:hAnsi="Arial"/>
            <w:sz w:val="21"/>
          </w:rPr>
          <w:t>IPEA/GIZ evaluation</w:t>
        </w:r>
      </w:hyperlink>
      <w:r>
        <w:rPr>
          <w:rFonts w:ascii="Arial" w:hAnsi="Arial"/>
          <w:b w:val="0"/>
          <w:i w:val="0"/>
          <w:color w:val="1E242A"/>
          <w:sz w:val="21"/>
        </w:rPr>
        <w:t xml:space="preserve">). Causal confidence is </w:t>
      </w:r>
      <w:r>
        <w:rPr>
          <w:rFonts w:ascii="Arial" w:hAnsi="Arial"/>
          <w:b/>
          <w:i w:val="0"/>
          <w:color w:val="1E242A"/>
          <w:sz w:val="21"/>
        </w:rPr>
        <w:t>Moderate to High</w:t>
      </w:r>
      <w:r>
        <w:rPr>
          <w:rFonts w:ascii="Arial" w:hAnsi="Arial"/>
          <w:b w:val="0"/>
          <w:i w:val="0"/>
          <w:color w:val="1E242A"/>
          <w:sz w:val="21"/>
        </w:rPr>
        <w:t xml:space="preserve"> for specific enforcement/credit channels, not for a single programme-wide percentage.</w:t>
      </w:r>
    </w:p>
    <w:p>
      <w:pPr>
        <w:pStyle w:val="Heading2"/>
      </w:pPr>
      <w:r>
        <w:rPr>
          <w:rFonts w:ascii="Arial" w:hAnsi="Arial"/>
          <w:b w:val="0"/>
          <w:i w:val="0"/>
          <w:color w:val="2C5F80"/>
          <w:sz w:val="27"/>
        </w:rPr>
        <w:t>8.2 Administrative dismantling and restoration (P24)</w:t>
      </w:r>
    </w:p>
    <w:p>
      <w:r>
        <w:rPr>
          <w:rFonts w:ascii="Arial" w:hAnsi="Arial"/>
          <w:b w:val="0"/>
          <w:i w:val="0"/>
          <w:color w:val="1E242A"/>
          <w:sz w:val="21"/>
        </w:rPr>
        <w:t>From 2019, budget, staffing, command, enforcement practice, council participation and political signalling changed even though constitutional environmental duties remained. Deforestation rose; Norway and Germany suspended new Amazon Fund transfers amid governance dispute. This shows policy reversal by administration and organisational capacity, not only statute.</w:t>
      </w:r>
    </w:p>
    <w:p>
      <w:r>
        <w:rPr>
          <w:rFonts w:ascii="Arial" w:hAnsi="Arial"/>
          <w:b w:val="0"/>
          <w:i w:val="0"/>
          <w:color w:val="1E242A"/>
          <w:sz w:val="21"/>
        </w:rPr>
        <w:t xml:space="preserve">From 2023 the federal government restored PPCDAm coordination, enforcement emphasis and Amazon Fund cooperation. </w:t>
      </w:r>
      <w:r>
        <w:rPr>
          <w:rFonts w:ascii="Arial" w:hAnsi="Arial"/>
          <w:b/>
          <w:i w:val="0"/>
          <w:color w:val="1E242A"/>
          <w:sz w:val="21"/>
        </w:rPr>
        <w:t>SCENARIO-SPECIFIC:</w:t>
      </w:r>
      <w:r>
        <w:rPr>
          <w:rFonts w:ascii="Arial" w:hAnsi="Arial"/>
          <w:b w:val="0"/>
          <w:i w:val="0"/>
          <w:color w:val="1E242A"/>
          <w:sz w:val="21"/>
        </w:rPr>
        <w:t xml:space="preserve"> early declines in monitored deforestation are consistent with renewed enforcement but the durability, displacement and livelihood consequences were not mature by the cutoff. International finance and market access influence incentives, but foreign donors do not command IBAMA or state land policy.</w:t>
      </w:r>
    </w:p>
    <w:p>
      <w:pPr>
        <w:pStyle w:val="Heading1"/>
      </w:pPr>
      <w:r>
        <w:rPr>
          <w:rFonts w:ascii="Arial" w:hAnsi="Arial"/>
          <w:b w:val="0"/>
          <w:i w:val="0"/>
          <w:color w:val="183752"/>
          <w:sz w:val="34"/>
        </w:rPr>
        <w:t>9. Public security and organised crime</w:t>
      </w:r>
    </w:p>
    <w:p>
      <w:pPr>
        <w:pStyle w:val="Heading2"/>
      </w:pPr>
      <w:r>
        <w:rPr>
          <w:rFonts w:ascii="Arial" w:hAnsi="Arial"/>
          <w:b w:val="0"/>
          <w:i w:val="0"/>
          <w:color w:val="2C5F80"/>
          <w:sz w:val="27"/>
        </w:rPr>
        <w:t>9.1 Rio federal intervention (P26)</w:t>
      </w:r>
    </w:p>
    <w:p>
      <w:r>
        <w:rPr>
          <w:rFonts w:ascii="Arial" w:hAnsi="Arial"/>
          <w:b w:val="0"/>
          <w:i w:val="0"/>
          <w:color w:val="1E242A"/>
          <w:sz w:val="21"/>
        </w:rPr>
        <w:t>President Temer decreed federal intervention in Rio de Janeiro's public-security area in February 2018; Congress approved the exceptional constitutional measure. A military intervener took command over state security organs while the elected state government otherwise remained. Because constitutional amendments cannot be enacted during federal intervention, the government suspended intervention temporarily only after abandoning or reprioritising other constitutional agenda ambitions would have raised legal/political complications.</w:t>
      </w:r>
    </w:p>
    <w:p>
      <w:r>
        <w:rPr>
          <w:rFonts w:ascii="Arial" w:hAnsi="Arial"/>
          <w:b w:val="0"/>
          <w:i w:val="0"/>
          <w:color w:val="1E242A"/>
          <w:sz w:val="21"/>
        </w:rPr>
        <w:t>Operations, management changes and spending followed, but audit and research do not establish durable reductions in violent crime attributable to the intervention. The short period, concurrent trends, data changes and persistent police/fiscal institutions frustrate inference. The precedent establishes an available emergency command route—not that military command substitutes for police reform, prosecution, prisons and social governance.</w:t>
      </w:r>
    </w:p>
    <w:p>
      <w:pPr>
        <w:pStyle w:val="Heading2"/>
      </w:pPr>
      <w:r>
        <w:rPr>
          <w:rFonts w:ascii="Arial" w:hAnsi="Arial"/>
          <w:b w:val="0"/>
          <w:i w:val="0"/>
          <w:color w:val="2C5F80"/>
          <w:sz w:val="27"/>
        </w:rPr>
        <w:t>9.2 PCC and integrated enforcement (P25, P27)</w:t>
      </w:r>
    </w:p>
    <w:p>
      <w:r>
        <w:rPr>
          <w:rFonts w:ascii="Arial" w:hAnsi="Arial"/>
          <w:b w:val="0"/>
          <w:i w:val="0"/>
          <w:color w:val="1E242A"/>
          <w:sz w:val="21"/>
        </w:rPr>
        <w:t>The 2006 São Paulo attacks demonstrated a prison-based organisation's capacity to coordinate violence and negotiate coercively with the state. Governments responded with leadership isolation, transfers, prison security, intelligence, financial investigations and interstate/federal cooperation. Federal maximum-security prisons created a lawful route to separate high-risk leaders, but communication networks, delegated authority and territorial markets adapted.</w:t>
      </w:r>
    </w:p>
    <w:p>
      <w:r>
        <w:rPr>
          <w:rFonts w:ascii="Arial" w:hAnsi="Arial"/>
          <w:b w:val="0"/>
          <w:i w:val="0"/>
          <w:color w:val="1E242A"/>
          <w:sz w:val="21"/>
        </w:rPr>
        <w:t xml:space="preserve">PF investigations, integrated financial/intelligence work and state–federal task forces can disrupt routes, seize assets and prosecute networks. </w:t>
      </w:r>
      <w:r>
        <w:rPr>
          <w:rFonts w:ascii="Arial" w:hAnsi="Arial"/>
          <w:b/>
          <w:i w:val="0"/>
          <w:color w:val="1E242A"/>
          <w:sz w:val="21"/>
        </w:rPr>
        <w:t>INDEPENDENT OR NON-PRESIDENTIAL ACTOR CAPABILITY:</w:t>
      </w:r>
      <w:r>
        <w:rPr>
          <w:rFonts w:ascii="Arial" w:hAnsi="Arial"/>
          <w:b w:val="0"/>
          <w:i w:val="0"/>
          <w:color w:val="1E242A"/>
          <w:sz w:val="21"/>
        </w:rPr>
        <w:t xml:space="preserve"> governors command ordinary state policing; prosecutors control charging; courts authorise coercive measures and sentence; prison administrations control custody. A president can fund, coordinate, deploy federal bodies within law and propose legislation, but cannot directly order state police investigations.</w:t>
      </w:r>
    </w:p>
    <w:p>
      <w:r>
        <w:rPr>
          <w:rFonts w:ascii="Arial" w:hAnsi="Arial"/>
          <w:b w:val="0"/>
          <w:i w:val="0"/>
          <w:color w:val="1E242A"/>
          <w:sz w:val="21"/>
        </w:rPr>
        <w:t xml:space="preserve">Arrests and seizures are outputs, not adequate measures of durable success. Relevant outcomes include replacement speed, prices/routes, homicide/extortion, prison governance, financial recovery and court sustainability. Open-source evidence about PCC adaptation is incomplete and sometimes based on leaked investigations; confidence is </w:t>
      </w:r>
      <w:r>
        <w:rPr>
          <w:rFonts w:ascii="Arial" w:hAnsi="Arial"/>
          <w:b/>
          <w:i w:val="0"/>
          <w:color w:val="1E242A"/>
          <w:sz w:val="21"/>
        </w:rPr>
        <w:t>Moderate</w:t>
      </w:r>
      <w:r>
        <w:rPr>
          <w:rFonts w:ascii="Arial" w:hAnsi="Arial"/>
          <w:b w:val="0"/>
          <w:i w:val="0"/>
          <w:color w:val="1E242A"/>
          <w:sz w:val="21"/>
        </w:rPr>
        <w:t xml:space="preserve"> on organisational adaptation and </w:t>
      </w:r>
      <w:r>
        <w:rPr>
          <w:rFonts w:ascii="Arial" w:hAnsi="Arial"/>
          <w:b/>
          <w:i w:val="0"/>
          <w:color w:val="1E242A"/>
          <w:sz w:val="21"/>
        </w:rPr>
        <w:t>Low</w:t>
      </w:r>
      <w:r>
        <w:rPr>
          <w:rFonts w:ascii="Arial" w:hAnsi="Arial"/>
          <w:b w:val="0"/>
          <w:i w:val="0"/>
          <w:color w:val="1E242A"/>
          <w:sz w:val="21"/>
        </w:rPr>
        <w:t xml:space="preserve"> for precise causal effects of individual operations.</w:t>
      </w:r>
    </w:p>
    <w:p>
      <w:pPr>
        <w:pStyle w:val="Heading1"/>
      </w:pPr>
      <w:r>
        <w:rPr>
          <w:rFonts w:ascii="Arial" w:hAnsi="Arial"/>
          <w:b w:val="0"/>
          <w:i w:val="0"/>
          <w:color w:val="183752"/>
          <w:sz w:val="34"/>
        </w:rPr>
        <w:t>10. Integrity institutions: capacity and legal reversibility</w:t>
      </w:r>
    </w:p>
    <w:p>
      <w:pPr>
        <w:pStyle w:val="Heading2"/>
      </w:pPr>
      <w:r>
        <w:rPr>
          <w:rFonts w:ascii="Arial" w:hAnsi="Arial"/>
          <w:b w:val="0"/>
          <w:i w:val="0"/>
          <w:color w:val="2C5F80"/>
          <w:sz w:val="27"/>
        </w:rPr>
        <w:t>10.1 Mensalão (P28)</w:t>
      </w:r>
    </w:p>
    <w:p>
      <w:r>
        <w:rPr>
          <w:rFonts w:ascii="Arial" w:hAnsi="Arial"/>
          <w:b w:val="0"/>
          <w:i w:val="0"/>
          <w:color w:val="1E242A"/>
          <w:sz w:val="21"/>
        </w:rPr>
        <w:t>The 2005 scandal began through political disclosure and congressional inquiry, then involved PF, prosecutors and the STF because defendants included officeholders with special forum. In Criminal Action 470 the STF convicted senior party and government-linked figures. The case showed that coalition maintenance through unlawful transfers could generate autonomous investigation and punishment even without presidential initiation.</w:t>
      </w:r>
    </w:p>
    <w:p>
      <w:r>
        <w:rPr>
          <w:rFonts w:ascii="Arial" w:hAnsi="Arial"/>
          <w:b w:val="0"/>
          <w:i w:val="0"/>
          <w:color w:val="1E242A"/>
          <w:sz w:val="21"/>
        </w:rPr>
        <w:t>Institutional consequences included compliance and transparency reforms in a longer sequence that also produced the Clean Record Law, Access to Information Law, Anti-Corruption Law and strengthened internal control. It would be overclaiming to attribute all those laws or a durable deterrent effect to Mensalão alone.</w:t>
      </w:r>
    </w:p>
    <w:p>
      <w:pPr>
        <w:pStyle w:val="Heading2"/>
      </w:pPr>
      <w:r>
        <w:rPr>
          <w:rFonts w:ascii="Arial" w:hAnsi="Arial"/>
          <w:b w:val="0"/>
          <w:i w:val="0"/>
          <w:color w:val="2C5F80"/>
          <w:sz w:val="27"/>
        </w:rPr>
        <w:t>10.2 Lava Jato (P29)</w:t>
      </w:r>
    </w:p>
    <w:p>
      <w:r>
        <w:rPr>
          <w:rFonts w:ascii="Arial" w:hAnsi="Arial"/>
          <w:b w:val="0"/>
          <w:i w:val="0"/>
          <w:color w:val="1E242A"/>
          <w:sz w:val="21"/>
        </w:rPr>
        <w:t>Beginning in 2014, PF investigations, MPF prosecutions, judicial warrants, plea bargains and corporate leniency agreements exposed procurement corruption involving Petrobras, contractors and parties. Asset recovery and convictions were substantial; business disruption, political spillover and electoral consequences were also large. Congress and the executive enacted or debated integrity measures in this environment.</w:t>
      </w:r>
    </w:p>
    <w:p>
      <w:r>
        <w:rPr>
          <w:rFonts w:ascii="Arial" w:hAnsi="Arial"/>
          <w:b w:val="0"/>
          <w:i w:val="0"/>
          <w:color w:val="1E242A"/>
          <w:sz w:val="21"/>
        </w:rPr>
        <w:t>Later STF decisions held that the Curitiba federal court lacked jurisdiction over Lula cases and that Judge Sergio Moro was partial in one case, nullifying central proceedings and requiring lawful reassignment. The STF also constrained coercive investigative practices and plea-related assumptions. These rulings do not establish that all underlying corruption was invented; they establish that jurisdiction and impartial adjudication are conditions of valid enforcement.</w:t>
      </w:r>
    </w:p>
    <w:p>
      <w:r>
        <w:rPr>
          <w:rFonts w:ascii="Arial" w:hAnsi="Arial"/>
          <w:b w:val="0"/>
          <w:i w:val="0"/>
          <w:color w:val="1E242A"/>
          <w:sz w:val="21"/>
        </w:rPr>
        <w:t>Credible scholarship disputes Lava Jato's net institutional legacy, economic cost, prosecutorial strategy and role in the 2018 election. Any Experience Library record must preserve at least three layers separately: proven/acknowledged conduct in valid cases; investigative claims or later-annulled convictions; and macro-political interpretations.</w:t>
      </w:r>
    </w:p>
    <w:p>
      <w:pPr>
        <w:pStyle w:val="Heading1"/>
      </w:pPr>
      <w:r>
        <w:rPr>
          <w:rFonts w:ascii="Arial" w:hAnsi="Arial"/>
          <w:b w:val="0"/>
          <w:i w:val="0"/>
          <w:color w:val="183752"/>
          <w:sz w:val="34"/>
        </w:rPr>
        <w:t>11. Coalition government, legislative agency and political survival</w:t>
      </w:r>
    </w:p>
    <w:p>
      <w:pPr>
        <w:pStyle w:val="Heading2"/>
      </w:pPr>
      <w:r>
        <w:rPr>
          <w:rFonts w:ascii="Arial" w:hAnsi="Arial"/>
          <w:b w:val="0"/>
          <w:i w:val="0"/>
          <w:color w:val="2C5F80"/>
          <w:sz w:val="27"/>
        </w:rPr>
        <w:t>11.1 Coalition management across administrations (P30)</w:t>
      </w:r>
    </w:p>
    <w:p>
      <w:r>
        <w:rPr>
          <w:rFonts w:ascii="Arial" w:hAnsi="Arial"/>
          <w:b w:val="0"/>
          <w:i w:val="0"/>
          <w:color w:val="1E242A"/>
          <w:sz w:val="21"/>
        </w:rPr>
        <w:t>FHC combined strong agenda instruments with a broad centre-right coalition and legislative leadership to pass constitutional reforms. Lula initially combined PT control with a broad coalition; after Mensalão, coalition and cabinet management changed while high approval and economic performance strengthened later governing room. Dilma's coalition was numerically large but increasingly heterogeneous and poorly coordinated; recession, congressional leadership conflict, fiscal disputes and scandal accelerated defection. Temer granted coalition parties substantial cabinet and agenda access and passed EC 95 and labour reform, while pension reform failed. Bolsonaro initially rejected traditional coalition branding, relying on unilateral instruments and issue blocs, then moved toward a closer alliance with Centrão parties and congressional budget power.</w:t>
      </w:r>
    </w:p>
    <w:p>
      <w:r>
        <w:rPr>
          <w:rFonts w:ascii="Arial" w:hAnsi="Arial"/>
          <w:b w:val="0"/>
          <w:i w:val="0"/>
          <w:color w:val="1E242A"/>
          <w:sz w:val="21"/>
        </w:rPr>
        <w:t>The correct unit is issue-specific support, not nominal coalition size. Research on roll-call behaviour finds high executive success in much of the democratic period, but formal coalition votes alone often would not have guaranteed it; opposition or non-coalition support mattered (</w:t>
      </w:r>
      <w:hyperlink r:id="rId32">
        <w:r>
          <w:rPr>
            <w:color w:val="2C5F80"/>
            <w:u w:val="single"/>
            <w:rFonts w:ascii="Arial" w:hAnsi="Arial"/>
            <w:sz w:val="21"/>
          </w:rPr>
          <w:t>Assis &amp; Silva, 2026</w:t>
        </w:r>
      </w:hyperlink>
      <w:r>
        <w:rPr>
          <w:rFonts w:ascii="Arial" w:hAnsi="Arial"/>
          <w:b w:val="0"/>
          <w:i w:val="0"/>
          <w:color w:val="1E242A"/>
          <w:sz w:val="21"/>
        </w:rPr>
        <w:t xml:space="preserve">). </w:t>
      </w:r>
      <w:r>
        <w:rPr>
          <w:rFonts w:ascii="Arial" w:hAnsi="Arial"/>
          <w:b/>
          <w:i w:val="0"/>
          <w:color w:val="1E242A"/>
          <w:sz w:val="21"/>
        </w:rPr>
        <w:t>SCENARIO-SPECIFIC:</w:t>
      </w:r>
      <w:r>
        <w:rPr>
          <w:rFonts w:ascii="Arial" w:hAnsi="Arial"/>
          <w:b w:val="0"/>
          <w:i w:val="0"/>
          <w:color w:val="1E242A"/>
          <w:sz w:val="21"/>
        </w:rPr>
        <w:t xml:space="preserve"> post-2015 mandatory amendments and greater congressional command of budget allocation strengthened legislative leaders relative to the earlier executive-dominant pattern.</w:t>
      </w:r>
    </w:p>
    <w:p>
      <w:pPr>
        <w:pStyle w:val="Heading2"/>
      </w:pPr>
      <w:r>
        <w:rPr>
          <w:rFonts w:ascii="Arial" w:hAnsi="Arial"/>
          <w:b w:val="0"/>
          <w:i w:val="0"/>
          <w:color w:val="2C5F80"/>
          <w:sz w:val="27"/>
        </w:rPr>
        <w:t>11.2 Defeat, adaptation and Congress-originated policy</w:t>
      </w:r>
    </w:p>
    <w:p>
      <w:r>
        <w:rPr>
          <w:rFonts w:ascii="Arial" w:hAnsi="Arial"/>
          <w:b w:val="0"/>
          <w:i w:val="0"/>
          <w:color w:val="1E242A"/>
          <w:sz w:val="21"/>
        </w:rPr>
        <w:t>Temer's pension proposal failed as his political capital fell and election proximity increased; Bolsonaro's narrower successor passed with congressional leadership. Dilma's fiscal-adjustment proposals were amended, delayed or defeated as Chamber relations deteriorated. Bolsonaro's proposed administrative reform stalled. These cases show four recovery routes: narrow scope; accept a legislative substitute; wait for a new coalition/window; or abandon the issue.</w:t>
      </w:r>
    </w:p>
    <w:p>
      <w:r>
        <w:rPr>
          <w:rFonts w:ascii="Arial" w:hAnsi="Arial"/>
          <w:b w:val="0"/>
          <w:i w:val="0"/>
          <w:color w:val="1E242A"/>
          <w:sz w:val="21"/>
        </w:rPr>
        <w:t>Congress originated or enlarged major policies including emergency aid, budget amendments, elements of tax reform and responses to fuel crises. Veto overrides—often around spending, sectoral benefits or distributive measures—show that a veto is an agenda signal and temporary barrier, not final control when absolute majorities in both houses mobilise.</w:t>
      </w:r>
    </w:p>
    <w:p>
      <w:pPr>
        <w:pStyle w:val="Heading2"/>
      </w:pPr>
      <w:r>
        <w:rPr>
          <w:rFonts w:ascii="Arial" w:hAnsi="Arial"/>
          <w:b w:val="0"/>
          <w:i w:val="0"/>
          <w:color w:val="2C5F80"/>
          <w:sz w:val="27"/>
        </w:rPr>
        <w:t>11.3 Collor and Dilma: presidential breakdown (P31)</w:t>
      </w:r>
    </w:p>
    <w:p>
      <w:r>
        <w:rPr>
          <w:rFonts w:ascii="Arial" w:hAnsi="Arial"/>
          <w:b w:val="0"/>
          <w:i w:val="0"/>
          <w:color w:val="1E242A"/>
          <w:sz w:val="21"/>
        </w:rPr>
        <w:t>Collor entered with a weak party base, suffered economic-policy failure and faced corruption allegations amplified by a congressional inquiry, media and the student “caras-pintadas” movement. The Chamber authorised proceedings 441–38 on 29 September 1992; the Senate opened trial, Itamar assumed temporarily, and after Collor resigned the Senate imposed disqualification (</w:t>
      </w:r>
      <w:hyperlink r:id="rId33">
        <w:r>
          <w:rPr>
            <w:color w:val="2C5F80"/>
            <w:u w:val="single"/>
            <w:rFonts w:ascii="Arial" w:hAnsi="Arial"/>
            <w:sz w:val="21"/>
          </w:rPr>
          <w:t>Câmara historical record</w:t>
        </w:r>
      </w:hyperlink>
      <w:r>
        <w:rPr>
          <w:rFonts w:ascii="Arial" w:hAnsi="Arial"/>
          <w:b w:val="0"/>
          <w:i w:val="0"/>
          <w:color w:val="1E242A"/>
          <w:sz w:val="21"/>
        </w:rPr>
        <w:t>). The case links legal allegations to coalition desertion and public legitimacy collapse.</w:t>
      </w:r>
    </w:p>
    <w:p>
      <w:r>
        <w:rPr>
          <w:rFonts w:ascii="Arial" w:hAnsi="Arial"/>
          <w:b w:val="0"/>
          <w:i w:val="0"/>
          <w:color w:val="1E242A"/>
          <w:sz w:val="21"/>
        </w:rPr>
        <w:t>Dilma's case formally concerned budget decrees and public-bank financing practices (“pedaladas fiscais”), against a backdrop of deep recession, very low approval, mass protests, Lava Jato, conflict with Chamber President Eduardo Cunha and PMDB defection. The Senate convicted by 61–20 on 31 August 2016 but separately preserved political rights (</w:t>
      </w:r>
      <w:hyperlink r:id="rId34">
        <w:r>
          <w:rPr>
            <w:color w:val="2C5F80"/>
            <w:u w:val="single"/>
            <w:rFonts w:ascii="Arial" w:hAnsi="Arial"/>
            <w:sz w:val="21"/>
          </w:rPr>
          <w:t>Senado record</w:t>
        </w:r>
      </w:hyperlink>
      <w:r>
        <w:rPr>
          <w:rFonts w:ascii="Arial" w:hAnsi="Arial"/>
          <w:b w:val="0"/>
          <w:i w:val="0"/>
          <w:color w:val="1E242A"/>
          <w:sz w:val="21"/>
        </w:rPr>
        <w:t>). Scholars and political actors remain divided between a valid constitutional accountability process and a parliamentary rupture/golpe interpretation; the legal and political controversy must be retained.</w:t>
      </w:r>
    </w:p>
    <w:p>
      <w:r>
        <w:rPr>
          <w:rFonts w:ascii="Arial" w:hAnsi="Arial"/>
          <w:b/>
          <w:i w:val="0"/>
          <w:color w:val="1E242A"/>
          <w:sz w:val="21"/>
        </w:rPr>
        <w:t>What cannot be concluded:</w:t>
      </w:r>
      <w:r>
        <w:rPr>
          <w:rFonts w:ascii="Arial" w:hAnsi="Arial"/>
          <w:b w:val="0"/>
          <w:i w:val="0"/>
          <w:color w:val="1E242A"/>
          <w:sz w:val="21"/>
        </w:rPr>
        <w:t xml:space="preserve"> low approval, recession, protest, scandal or coalition loss alone automatically triggers removal. Chamber leadership must admit and advance a petition; two-thirds in the Chamber authorise; the Senate tries; the vice-presidential succession creates strategic incentives; courts police procedure but do not replace legislative judgment.</w:t>
      </w:r>
    </w:p>
    <w:p>
      <w:pPr>
        <w:pStyle w:val="Heading2"/>
      </w:pPr>
      <w:r>
        <w:rPr>
          <w:rFonts w:ascii="Arial" w:hAnsi="Arial"/>
          <w:b w:val="0"/>
          <w:i w:val="0"/>
          <w:color w:val="2C5F80"/>
          <w:sz w:val="27"/>
        </w:rPr>
        <w:t>11.4 Temer survival (P32)</w:t>
      </w:r>
    </w:p>
    <w:p>
      <w:r>
        <w:rPr>
          <w:rFonts w:ascii="Arial" w:hAnsi="Arial"/>
          <w:b w:val="0"/>
          <w:i w:val="0"/>
          <w:color w:val="1E242A"/>
          <w:sz w:val="21"/>
        </w:rPr>
        <w:t>In 2017 the Prosecutor-General submitted two sets of criminal accusations against President Temer. Under the Constitution, an STF trial required two-thirds Chamber authorisation. The government retained more than one-third through coalition management, cabinet/budget relations and agenda concessions, so both requests were blocked. Temer completed the term and enacted important legislation despite extraordinarily low approval.</w:t>
      </w:r>
    </w:p>
    <w:p>
      <w:r>
        <w:rPr>
          <w:rFonts w:ascii="Arial" w:hAnsi="Arial"/>
          <w:b w:val="0"/>
          <w:i w:val="0"/>
          <w:color w:val="1E242A"/>
          <w:sz w:val="21"/>
        </w:rPr>
        <w:t>This is the essential counter-case to impeachment. Political survival can coexist with popular weakness when legislative actors prefer continuity, fear succession/uncertainty, receive policy or distributive accommodation, or cannot coordinate around removal. This does not prove that spending “buys” survival; motives are multiple and individual vote causation is difficult.</w:t>
      </w:r>
    </w:p>
    <w:p>
      <w:pPr>
        <w:pStyle w:val="Heading2"/>
      </w:pPr>
      <w:r>
        <w:rPr>
          <w:rFonts w:ascii="Arial" w:hAnsi="Arial"/>
          <w:b w:val="0"/>
          <w:i w:val="0"/>
          <w:color w:val="2C5F80"/>
          <w:sz w:val="27"/>
        </w:rPr>
        <w:t>11.5 The 2013 protest cycle (P33)</w:t>
      </w:r>
    </w:p>
    <w:p>
      <w:r>
        <w:rPr>
          <w:rFonts w:ascii="Arial" w:hAnsi="Arial"/>
          <w:b w:val="0"/>
          <w:i w:val="0"/>
          <w:color w:val="1E242A"/>
          <w:sz w:val="21"/>
        </w:rPr>
        <w:t>Local transport-fare protests organised by Movimento Passe Livre expanded after police repression and media attention, diffusing into heterogeneous grievances about services, corruption, representation and mega-event spending. Municipal and state authorities reversed fare increases. President Dilma proposed five national pacts and a constituent/plebiscitary route that Congress and legal actors did not adopt as announced; Congress accelerated a varied agenda.</w:t>
      </w:r>
    </w:p>
    <w:p>
      <w:r>
        <w:rPr>
          <w:rFonts w:ascii="Arial" w:hAnsi="Arial"/>
          <w:b w:val="0"/>
          <w:i w:val="0"/>
          <w:color w:val="1E242A"/>
          <w:sz w:val="21"/>
        </w:rPr>
        <w:t>The sequence shows that national executives may face mobilisation they did not cause and cannot settle through one concession. Diffuse networks complicate negotiation because no actor can bind the crowd. Longer links from 2013 to impeachment or later electoral change are plausible but contested; they should not become a deterministic protest escalation chain.</w:t>
      </w:r>
    </w:p>
    <w:p>
      <w:pPr>
        <w:pStyle w:val="Heading1"/>
      </w:pPr>
      <w:r>
        <w:rPr>
          <w:rFonts w:ascii="Arial" w:hAnsi="Arial"/>
          <w:b w:val="0"/>
          <w:i w:val="0"/>
          <w:color w:val="183752"/>
          <w:sz w:val="34"/>
        </w:rPr>
        <w:t>12. Judicial intervention as policy experience (P34)</w:t>
      </w:r>
    </w:p>
    <w:p>
      <w:r>
        <w:rPr>
          <w:rFonts w:ascii="Arial" w:hAnsi="Arial"/>
          <w:b w:val="0"/>
          <w:i w:val="0"/>
          <w:color w:val="1E242A"/>
          <w:sz w:val="21"/>
        </w:rPr>
        <w:t>The STF's policy role is clearest where constitutional rights, federal competence or institutional omission produce reviewable claims. Pandemic cases preserved concurrent subnational measures and ordered Indigenous protection. Environmental cases have required federal plans or enforcement information. ADPF 347 recognised an unconstitutional state of affairs in prisons and generated continuing judicial–executive interaction. Budget-transparency cases constrained opaque rapporteur amendments. Intelligence cases limited indiscriminate data sharing.</w:t>
      </w:r>
    </w:p>
    <w:p>
      <w:r>
        <w:rPr>
          <w:rFonts w:ascii="Arial" w:hAnsi="Arial"/>
          <w:b w:val="0"/>
          <w:i w:val="0"/>
          <w:color w:val="1E242A"/>
          <w:sz w:val="21"/>
        </w:rPr>
        <w:t>The sequence varies: interim order may change conduct before merits judgment; a merits holding may require a plan; implementation can return repeatedly to the rapporteur; Congress may legislate around a ruling; agencies can comply partially. Judicial capacity is therefore neither random nor self-executing. A plausible government must assess standing, constitutional text, precedent, evidentiary record, remedy and implementability—not merely “STF approval.”</w:t>
      </w:r>
    </w:p>
    <w:p>
      <w:pPr>
        <w:pStyle w:val="Heading1"/>
      </w:pPr>
      <w:r>
        <w:rPr>
          <w:rFonts w:ascii="Arial" w:hAnsi="Arial"/>
          <w:b w:val="0"/>
          <w:i w:val="0"/>
          <w:color w:val="183752"/>
          <w:sz w:val="34"/>
        </w:rPr>
        <w:t>13. Foreign-policy and international-shock experience</w:t>
      </w:r>
    </w:p>
    <w:p>
      <w:pPr>
        <w:pStyle w:val="Heading2"/>
      </w:pPr>
      <w:r>
        <w:rPr>
          <w:rFonts w:ascii="Arial" w:hAnsi="Arial"/>
          <w:b w:val="0"/>
          <w:i w:val="0"/>
          <w:color w:val="2C5F80"/>
          <w:sz w:val="27"/>
        </w:rPr>
        <w:t>13.1 Upland Cotton: law, coalition and credible retaliation (P35)</w:t>
      </w:r>
    </w:p>
    <w:p>
      <w:r>
        <w:rPr>
          <w:rFonts w:ascii="Arial" w:hAnsi="Arial"/>
          <w:b w:val="0"/>
          <w:i w:val="0"/>
          <w:color w:val="1E242A"/>
          <w:sz w:val="21"/>
        </w:rPr>
        <w:t>Brazil challenged US cotton subsidies at the WTO in 2002. It coordinated technical evidence, domestic producer interests and diplomacy, won findings, and eventually received authorisation for countermeasures including possible cross-retaliation in intellectual property. The credible preparation of retaliation changed bargaining leverage; a 2010 framework and 2014 settlement followed, including US payments to the Brazilian Cotton Institute and policy changes (</w:t>
      </w:r>
      <w:hyperlink r:id="rId35">
        <w:r>
          <w:rPr>
            <w:color w:val="2C5F80"/>
            <w:u w:val="single"/>
            <w:rFonts w:ascii="Arial" w:hAnsi="Arial"/>
            <w:sz w:val="21"/>
          </w:rPr>
          <w:t>WTO dispute DS267</w:t>
        </w:r>
      </w:hyperlink>
      <w:r>
        <w:rPr>
          <w:rFonts w:ascii="Arial" w:hAnsi="Arial"/>
          <w:b w:val="0"/>
          <w:i w:val="0"/>
          <w:color w:val="1E242A"/>
          <w:sz w:val="21"/>
        </w:rPr>
        <w:t>).</w:t>
      </w:r>
    </w:p>
    <w:p>
      <w:r>
        <w:rPr>
          <w:rFonts w:ascii="Arial" w:hAnsi="Arial"/>
          <w:b w:val="0"/>
          <w:i w:val="0"/>
          <w:color w:val="1E242A"/>
          <w:sz w:val="21"/>
        </w:rPr>
        <w:t>The outcome required years, specialist state capacity and a forum with enforceable rules. It does not imply litigation always beats negotiation: Brazil selected a strong case, sustained producer support and possessed a credible retaliation market.</w:t>
      </w:r>
    </w:p>
    <w:p>
      <w:pPr>
        <w:pStyle w:val="Heading2"/>
      </w:pPr>
      <w:r>
        <w:rPr>
          <w:rFonts w:ascii="Arial" w:hAnsi="Arial"/>
          <w:b w:val="0"/>
          <w:i w:val="0"/>
          <w:color w:val="2C5F80"/>
          <w:sz w:val="27"/>
        </w:rPr>
        <w:t>13.2 Haiti and the Iran–Turkey initiative (P36–P37)</w:t>
      </w:r>
    </w:p>
    <w:p>
      <w:r>
        <w:rPr>
          <w:rFonts w:ascii="Arial" w:hAnsi="Arial"/>
          <w:b w:val="0"/>
          <w:i w:val="0"/>
          <w:color w:val="1E242A"/>
          <w:sz w:val="21"/>
        </w:rPr>
        <w:t>Brazil led MINUSTAH's military component from 2004 to 2017, combining UN authorisation, Brazilian military deployment and a diplomatic claim to responsible regional/global leadership. The mission produced operational experience and influence, alongside criticism over force, sovereignty, cholera governance and the durability of Haitian institutions. Brazilian control was bounded by the UN mandate, host conditions and other contributors.</w:t>
      </w:r>
    </w:p>
    <w:p>
      <w:r>
        <w:rPr>
          <w:rFonts w:ascii="Arial" w:hAnsi="Arial"/>
          <w:b w:val="0"/>
          <w:i w:val="0"/>
          <w:color w:val="1E242A"/>
          <w:sz w:val="21"/>
        </w:rPr>
        <w:t>In May 2010 Brazil and Turkey negotiated the Tehran Declaration under which Iran would transfer low-enriched uranium for fuel arrangements. The United States and other Security Council powers judged the text insufficient and proceeded with sanctions. The case demonstrates diplomatic initiative and counterpart access, but also hierarchy: an agreement among negotiating parties cannot bind pivotal third states or replace their threat assessment.</w:t>
      </w:r>
    </w:p>
    <w:p>
      <w:pPr>
        <w:pStyle w:val="Heading2"/>
      </w:pPr>
      <w:r>
        <w:rPr>
          <w:rFonts w:ascii="Arial" w:hAnsi="Arial"/>
          <w:b w:val="0"/>
          <w:i w:val="0"/>
          <w:color w:val="2C5F80"/>
          <w:sz w:val="27"/>
        </w:rPr>
        <w:t>13.3 Mercosur, China, BRICS and climate diplomacy (P38)</w:t>
      </w:r>
    </w:p>
    <w:p>
      <w:r>
        <w:rPr>
          <w:rFonts w:ascii="Arial" w:hAnsi="Arial"/>
          <w:b w:val="0"/>
          <w:i w:val="0"/>
          <w:color w:val="1E242A"/>
          <w:sz w:val="21"/>
        </w:rPr>
        <w:t>Mercosur survived ideological turns because treaties, trade flows, bureaucracies and Brazil–Argentina strategic accommodation raised reversal costs. Governments nevertheless changed emphasis and repeatedly sought flexibility. External trade agreements require consensus/coordination within Mercosur and domestic legal implementation.</w:t>
      </w:r>
    </w:p>
    <w:p>
      <w:r>
        <w:rPr>
          <w:rFonts w:ascii="Arial" w:hAnsi="Arial"/>
          <w:b w:val="0"/>
          <w:i w:val="0"/>
          <w:color w:val="1E242A"/>
          <w:sz w:val="21"/>
        </w:rPr>
        <w:t>China's rise shifted Brazilian trade and investment opportunities while creating commodity concentration and sectoral pressures. BRICS institutions, particularly the New Development Bank, enlarged diplomatic and financing options without eliminating Western institutions. Climate diplomacy links Amazon enforcement at home to credibility and bargaining abroad: international pledges cannot substitute for IBAMA, INPE, land governance, Congress and subnational implementation.</w:t>
      </w:r>
    </w:p>
    <w:p>
      <w:pPr>
        <w:pStyle w:val="Heading2"/>
      </w:pPr>
      <w:r>
        <w:rPr>
          <w:rFonts w:ascii="Arial" w:hAnsi="Arial"/>
          <w:b w:val="0"/>
          <w:i w:val="0"/>
          <w:color w:val="2C5F80"/>
          <w:sz w:val="27"/>
        </w:rPr>
        <w:t>13.4 External shocks and response portfolios</w:t>
      </w:r>
    </w:p>
    <w:p>
      <w:r>
        <w:rPr>
          <w:rFonts w:ascii="Arial" w:hAnsi="Arial"/>
          <w:b w:val="0"/>
          <w:i w:val="0"/>
          <w:color w:val="1E242A"/>
          <w:sz w:val="21"/>
        </w:rPr>
        <w:t>In 2008 Brazil used reserves/liquidity, public-bank credit, tax relief, social transfers and later fiscal stimulus. Recovery also benefited from China's demand and commodity conditions; later intervention persistence and domestic imbalances complicate claims about what caused the rebound or subsequent slowdown. COVID combined a global supply/health shock with domestic restrictions and unusually large transfers. Energy and foreign-rate shocks affected inflation and capital flows but met different fiscal and monetary credibility conditions.</w:t>
      </w:r>
    </w:p>
    <w:p>
      <w:r>
        <w:rPr>
          <w:rFonts w:ascii="Arial" w:hAnsi="Arial"/>
          <w:b w:val="0"/>
          <w:i w:val="0"/>
          <w:color w:val="1E242A"/>
          <w:sz w:val="21"/>
        </w:rPr>
        <w:t>The reusable structure is: identify shock separately; identify each response instrument and implementing institution; observe response by households, firms, markets and foreign actors; then assess outcome with counterfactual caution.</w:t>
      </w:r>
    </w:p>
    <w:p>
      <w:pPr>
        <w:pStyle w:val="Heading1"/>
      </w:pPr>
      <w:r>
        <w:rPr>
          <w:rFonts w:ascii="Arial" w:hAnsi="Arial"/>
          <w:b w:val="0"/>
          <w:i w:val="0"/>
          <w:color w:val="183752"/>
          <w:sz w:val="34"/>
        </w:rPr>
        <w:t>14. Cross-case findings on durability, reversal and capacity</w:t>
      </w:r>
    </w:p>
    <w:p>
      <w:r>
        <w:rPr>
          <w:rFonts w:ascii="Arial" w:hAnsi="Arial"/>
          <w:b w:val="0"/>
          <w:i w:val="0"/>
          <w:color w:val="1E242A"/>
          <w:sz w:val="21"/>
        </w:rPr>
        <w:t>Policies proved durable when they combined legal entrenchment, capable delivery organisations, beneficiaries or investors with a stake, cross-party usefulness and high reversal costs. The real's institutions, cash transfers, concessions and Mercosur exemplify continuity with redesign. A constitutional level raises the cost of reversal but does not make policy permanent: EC 95 was replaced, and pension provisions were repeatedly amended.</w:t>
      </w:r>
    </w:p>
    <w:p>
      <w:r>
        <w:rPr>
          <w:rFonts w:ascii="Arial" w:hAnsi="Arial"/>
          <w:b w:val="0"/>
          <w:i w:val="0"/>
          <w:color w:val="1E242A"/>
          <w:sz w:val="21"/>
        </w:rPr>
        <w:t>Reversal can occur through repeal, new amendment, replacement programme, budget starvation, changed appointments, regulation, non-enforcement or renegotiation. Amazon policy shows administrative reversal without repeal of constitutional duties. Bolsa Família/Auxílio Brasil shows branding and formula reversal with infrastructure continuity. Petrobras pricing shows governance and leadership signals affecting an SOE within, not outside, corporate and market constraints.</w:t>
      </w:r>
    </w:p>
    <w:p>
      <w:r>
        <w:rPr>
          <w:rFonts w:ascii="Arial" w:hAnsi="Arial"/>
          <w:b w:val="0"/>
          <w:i w:val="0"/>
          <w:color w:val="1E242A"/>
          <w:sz w:val="21"/>
        </w:rPr>
        <w:t>Capacity is institution- and period-specific. BCB/Casa da Moeda executed a technically demanding currency conversion; Caixa and Dataprev delivered emergency aid at mass scale but with data problems; INPE monitoring enabled targeted enforcement while IBAMA capacity varied; TCU found persistent project-design and subnational-execution weaknesses in infrastructure. Sovereign should retain capacity as a set of concrete dependencies—staff, data, procurement, coordination, legal durability and project management—not one national value.</w:t>
      </w:r>
    </w:p>
    <w:p>
      <w:pPr>
        <w:pStyle w:val="Heading1"/>
      </w:pPr>
      <w:r>
        <w:rPr>
          <w:rFonts w:ascii="Arial" w:hAnsi="Arial"/>
          <w:b w:val="0"/>
          <w:i w:val="0"/>
          <w:color w:val="183752"/>
          <w:sz w:val="34"/>
        </w:rPr>
        <w:t>15. Government Action Instruments revealed by history</w:t>
      </w:r>
    </w:p>
    <w:tbl>
      <w:tblPr>
        <w:tblW w:type="dxa" w:w="9360"/>
        <w:jc w:val="center"/>
        <w:tblLayout w:type="fixed"/>
        <w:tblLook w:firstColumn="1" w:firstRow="1" w:lastColumn="0" w:lastRow="0" w:noHBand="0" w:noVBand="1" w:val="04A0"/>
        <w:tblInd w:type="dxa" w:w="120"/>
      </w:tblPr>
      <w:tblGrid>
        <w:gridCol w:w="1152"/>
        <w:gridCol w:w="2376"/>
        <w:gridCol w:w="3096"/>
        <w:gridCol w:w="2736"/>
      </w:tblGrid>
      <w:tr>
        <w:trPr>
          <w:tblHeader w:val="true"/>
          <w:cantSplit/>
        </w:trPr>
        <w:tc>
          <w:tcPr>
            <w:tcW w:type="dxa" w:w="1152"/>
            <w:vAlign w:val="top"/>
            <w:shd w:fill="EAF1F5"/>
          </w:tcPr>
          <w:p>
            <w:r/>
            <w:r>
              <w:rPr>
                <w:rFonts w:ascii="Arial" w:hAnsi="Arial"/>
                <w:b w:val="0"/>
                <w:i w:val="0"/>
                <w:color w:val="183752"/>
                <w:sz w:val="16"/>
              </w:rPr>
              <w:t>Instrument</w:t>
            </w:r>
          </w:p>
        </w:tc>
        <w:tc>
          <w:tcPr>
            <w:tcW w:type="dxa" w:w="2376"/>
            <w:vAlign w:val="top"/>
            <w:shd w:fill="EAF1F5"/>
          </w:tcPr>
          <w:p>
            <w:r/>
            <w:r>
              <w:rPr>
                <w:rFonts w:ascii="Arial" w:hAnsi="Arial"/>
                <w:b w:val="0"/>
                <w:i w:val="0"/>
                <w:color w:val="183752"/>
                <w:sz w:val="16"/>
              </w:rPr>
              <w:t>Historical use</w:t>
            </w:r>
          </w:p>
        </w:tc>
        <w:tc>
          <w:tcPr>
            <w:tcW w:type="dxa" w:w="3096"/>
            <w:vAlign w:val="top"/>
            <w:shd w:fill="EAF1F5"/>
          </w:tcPr>
          <w:p>
            <w:r/>
            <w:r>
              <w:rPr>
                <w:rFonts w:ascii="Arial" w:hAnsi="Arial"/>
                <w:b w:val="0"/>
                <w:i w:val="0"/>
                <w:color w:val="183752"/>
                <w:sz w:val="16"/>
              </w:rPr>
              <w:t>Authority/implementation dependency</w:t>
            </w:r>
          </w:p>
        </w:tc>
        <w:tc>
          <w:tcPr>
            <w:tcW w:type="dxa" w:w="2736"/>
            <w:vAlign w:val="top"/>
            <w:shd w:fill="EAF1F5"/>
          </w:tcPr>
          <w:p>
            <w:r/>
            <w:r>
              <w:rPr>
                <w:rFonts w:ascii="Arial" w:hAnsi="Arial"/>
                <w:b w:val="0"/>
                <w:i w:val="0"/>
                <w:color w:val="183752"/>
                <w:sz w:val="16"/>
              </w:rPr>
              <w:t>Typical limit exposed by precedent</w:t>
            </w:r>
          </w:p>
        </w:tc>
      </w:tr>
      <w:tr>
        <w:trPr>
          <w:cantSplit/>
        </w:trPr>
        <w:tc>
          <w:tcPr>
            <w:tcW w:type="dxa" w:w="1152"/>
            <w:vAlign w:val="top"/>
          </w:tcPr>
          <w:p>
            <w:r/>
            <w:r>
              <w:rPr>
                <w:rFonts w:ascii="Arial" w:hAnsi="Arial"/>
                <w:b w:val="0"/>
                <w:i w:val="0"/>
                <w:color w:val="1E242A"/>
                <w:sz w:val="16"/>
              </w:rPr>
              <w:t>Constitutional amendment proposal</w:t>
            </w:r>
          </w:p>
        </w:tc>
        <w:tc>
          <w:tcPr>
            <w:tcW w:type="dxa" w:w="2376"/>
            <w:vAlign w:val="top"/>
          </w:tcPr>
          <w:p>
            <w:r/>
            <w:r>
              <w:rPr>
                <w:rFonts w:ascii="Arial" w:hAnsi="Arial"/>
                <w:b w:val="0"/>
                <w:i w:val="0"/>
                <w:color w:val="1E242A"/>
                <w:sz w:val="16"/>
              </w:rPr>
              <w:t>Pensions, fiscal rules, tax, administration</w:t>
            </w:r>
          </w:p>
        </w:tc>
        <w:tc>
          <w:tcPr>
            <w:tcW w:type="dxa" w:w="3096"/>
            <w:vAlign w:val="top"/>
          </w:tcPr>
          <w:p>
            <w:r/>
            <w:r>
              <w:rPr>
                <w:rFonts w:ascii="Arial" w:hAnsi="Arial"/>
                <w:b w:val="0"/>
                <w:i w:val="0"/>
                <w:color w:val="1E242A"/>
                <w:sz w:val="16"/>
              </w:rPr>
              <w:t>Presidential or congressional proposal; three-fifths twice in each house; promulgated by Congress</w:t>
            </w:r>
          </w:p>
        </w:tc>
        <w:tc>
          <w:tcPr>
            <w:tcW w:type="dxa" w:w="2736"/>
            <w:vAlign w:val="top"/>
          </w:tcPr>
          <w:p>
            <w:r/>
            <w:r>
              <w:rPr>
                <w:rFonts w:ascii="Arial" w:hAnsi="Arial"/>
                <w:b w:val="0"/>
                <w:i w:val="0"/>
                <w:color w:val="1E242A"/>
                <w:sz w:val="16"/>
              </w:rPr>
              <w:t>Bargaining changes text; cannot be enacted during federal intervention</w:t>
            </w:r>
          </w:p>
        </w:tc>
      </w:tr>
      <w:tr>
        <w:trPr>
          <w:cantSplit/>
        </w:trPr>
        <w:tc>
          <w:tcPr>
            <w:tcW w:type="dxa" w:w="1152"/>
            <w:vAlign w:val="top"/>
          </w:tcPr>
          <w:p>
            <w:r/>
            <w:r>
              <w:rPr>
                <w:rFonts w:ascii="Arial" w:hAnsi="Arial"/>
                <w:b w:val="0"/>
                <w:i w:val="0"/>
                <w:color w:val="1E242A"/>
                <w:sz w:val="16"/>
              </w:rPr>
              <w:t>Complementary/ordinary bill</w:t>
            </w:r>
          </w:p>
        </w:tc>
        <w:tc>
          <w:tcPr>
            <w:tcW w:type="dxa" w:w="2376"/>
            <w:vAlign w:val="top"/>
          </w:tcPr>
          <w:p>
            <w:r/>
            <w:r>
              <w:rPr>
                <w:rFonts w:ascii="Arial" w:hAnsi="Arial"/>
                <w:b w:val="0"/>
                <w:i w:val="0"/>
                <w:color w:val="1E242A"/>
                <w:sz w:val="16"/>
              </w:rPr>
              <w:t>LRF, fiscal framework, programmes, regulation</w:t>
            </w:r>
          </w:p>
        </w:tc>
        <w:tc>
          <w:tcPr>
            <w:tcW w:type="dxa" w:w="3096"/>
            <w:vAlign w:val="top"/>
          </w:tcPr>
          <w:p>
            <w:r/>
            <w:r>
              <w:rPr>
                <w:rFonts w:ascii="Arial" w:hAnsi="Arial"/>
                <w:b w:val="0"/>
                <w:i w:val="0"/>
                <w:color w:val="1E242A"/>
                <w:sz w:val="16"/>
              </w:rPr>
              <w:t>Bicameral passage and sanction/override</w:t>
            </w:r>
          </w:p>
        </w:tc>
        <w:tc>
          <w:tcPr>
            <w:tcW w:type="dxa" w:w="2736"/>
            <w:vAlign w:val="top"/>
          </w:tcPr>
          <w:p>
            <w:r/>
            <w:r>
              <w:rPr>
                <w:rFonts w:ascii="Arial" w:hAnsi="Arial"/>
                <w:b w:val="0"/>
                <w:i w:val="0"/>
                <w:color w:val="1E242A"/>
                <w:sz w:val="16"/>
              </w:rPr>
              <w:t>Committees, leaders, federative and sectoral interests reshape design</w:t>
            </w:r>
          </w:p>
        </w:tc>
      </w:tr>
      <w:tr>
        <w:trPr>
          <w:cantSplit/>
        </w:trPr>
        <w:tc>
          <w:tcPr>
            <w:tcW w:type="dxa" w:w="1152"/>
            <w:vAlign w:val="top"/>
          </w:tcPr>
          <w:p>
            <w:r/>
            <w:r>
              <w:rPr>
                <w:rFonts w:ascii="Arial" w:hAnsi="Arial"/>
                <w:b w:val="0"/>
                <w:i w:val="0"/>
                <w:color w:val="1E242A"/>
                <w:sz w:val="16"/>
              </w:rPr>
              <w:t>Provisional measure</w:t>
            </w:r>
          </w:p>
        </w:tc>
        <w:tc>
          <w:tcPr>
            <w:tcW w:type="dxa" w:w="2376"/>
            <w:vAlign w:val="top"/>
          </w:tcPr>
          <w:p>
            <w:r/>
            <w:r>
              <w:rPr>
                <w:rFonts w:ascii="Arial" w:hAnsi="Arial"/>
                <w:b w:val="0"/>
                <w:i w:val="0"/>
                <w:color w:val="1E242A"/>
                <w:sz w:val="16"/>
              </w:rPr>
              <w:t>Monetary/social/administrative urgency</w:t>
            </w:r>
          </w:p>
        </w:tc>
        <w:tc>
          <w:tcPr>
            <w:tcW w:type="dxa" w:w="3096"/>
            <w:vAlign w:val="top"/>
          </w:tcPr>
          <w:p>
            <w:r/>
            <w:r>
              <w:rPr>
                <w:rFonts w:ascii="Arial" w:hAnsi="Arial"/>
                <w:b w:val="0"/>
                <w:i w:val="0"/>
                <w:color w:val="1E242A"/>
                <w:sz w:val="16"/>
              </w:rPr>
              <w:t>Immediate legal effect within constitutional scope; congressional conversion</w:t>
            </w:r>
          </w:p>
        </w:tc>
        <w:tc>
          <w:tcPr>
            <w:tcW w:type="dxa" w:w="2736"/>
            <w:vAlign w:val="top"/>
          </w:tcPr>
          <w:p>
            <w:r/>
            <w:r>
              <w:rPr>
                <w:rFonts w:ascii="Arial" w:hAnsi="Arial"/>
                <w:b w:val="0"/>
                <w:i w:val="0"/>
                <w:color w:val="1E242A"/>
                <w:sz w:val="16"/>
              </w:rPr>
              <w:t>Expiry, amendment, admissibility and litigation</w:t>
            </w:r>
          </w:p>
        </w:tc>
      </w:tr>
      <w:tr>
        <w:trPr>
          <w:cantSplit/>
        </w:trPr>
        <w:tc>
          <w:tcPr>
            <w:tcW w:type="dxa" w:w="1152"/>
            <w:vAlign w:val="top"/>
          </w:tcPr>
          <w:p>
            <w:r/>
            <w:r>
              <w:rPr>
                <w:rFonts w:ascii="Arial" w:hAnsi="Arial"/>
                <w:b w:val="0"/>
                <w:i w:val="0"/>
                <w:color w:val="1E242A"/>
                <w:sz w:val="16"/>
              </w:rPr>
              <w:t>Budget/contingency/revenue package</w:t>
            </w:r>
          </w:p>
        </w:tc>
        <w:tc>
          <w:tcPr>
            <w:tcW w:type="dxa" w:w="2376"/>
            <w:vAlign w:val="top"/>
          </w:tcPr>
          <w:p>
            <w:r/>
            <w:r>
              <w:rPr>
                <w:rFonts w:ascii="Arial" w:hAnsi="Arial"/>
                <w:b w:val="0"/>
                <w:i w:val="0"/>
                <w:color w:val="1E242A"/>
                <w:sz w:val="16"/>
              </w:rPr>
              <w:t>Fiscal adjustment, investment, emergency</w:t>
            </w:r>
          </w:p>
        </w:tc>
        <w:tc>
          <w:tcPr>
            <w:tcW w:type="dxa" w:w="3096"/>
            <w:vAlign w:val="top"/>
          </w:tcPr>
          <w:p>
            <w:r/>
            <w:r>
              <w:rPr>
                <w:rFonts w:ascii="Arial" w:hAnsi="Arial"/>
                <w:b w:val="0"/>
                <w:i w:val="0"/>
                <w:color w:val="1E242A"/>
                <w:sz w:val="16"/>
              </w:rPr>
              <w:t>LDO/LOA, fiscal rules, congressional amendments, execution systems</w:t>
            </w:r>
          </w:p>
        </w:tc>
        <w:tc>
          <w:tcPr>
            <w:tcW w:type="dxa" w:w="2736"/>
            <w:vAlign w:val="top"/>
          </w:tcPr>
          <w:p>
            <w:r/>
            <w:r>
              <w:rPr>
                <w:rFonts w:ascii="Arial" w:hAnsi="Arial"/>
                <w:b w:val="0"/>
                <w:i w:val="0"/>
                <w:color w:val="1E242A"/>
                <w:sz w:val="16"/>
              </w:rPr>
              <w:t>Mandatory spending, cash flow, earmarks and political allocation</w:t>
            </w:r>
          </w:p>
        </w:tc>
      </w:tr>
      <w:tr>
        <w:trPr>
          <w:cantSplit/>
        </w:trPr>
        <w:tc>
          <w:tcPr>
            <w:tcW w:type="dxa" w:w="1152"/>
            <w:vAlign w:val="top"/>
          </w:tcPr>
          <w:p>
            <w:r/>
            <w:r>
              <w:rPr>
                <w:rFonts w:ascii="Arial" w:hAnsi="Arial"/>
                <w:b w:val="0"/>
                <w:i w:val="0"/>
                <w:color w:val="1E242A"/>
                <w:sz w:val="16"/>
              </w:rPr>
              <w:t>Administrative reorganisation</w:t>
            </w:r>
          </w:p>
        </w:tc>
        <w:tc>
          <w:tcPr>
            <w:tcW w:type="dxa" w:w="2376"/>
            <w:vAlign w:val="top"/>
          </w:tcPr>
          <w:p>
            <w:r/>
            <w:r>
              <w:rPr>
                <w:rFonts w:ascii="Arial" w:hAnsi="Arial"/>
                <w:b w:val="0"/>
                <w:i w:val="0"/>
                <w:color w:val="1E242A"/>
                <w:sz w:val="16"/>
              </w:rPr>
              <w:t>Ministry/agency structures and priorities</w:t>
            </w:r>
          </w:p>
        </w:tc>
        <w:tc>
          <w:tcPr>
            <w:tcW w:type="dxa" w:w="3096"/>
            <w:vAlign w:val="top"/>
          </w:tcPr>
          <w:p>
            <w:r/>
            <w:r>
              <w:rPr>
                <w:rFonts w:ascii="Arial" w:hAnsi="Arial"/>
                <w:b w:val="0"/>
                <w:i w:val="0"/>
                <w:color w:val="1E242A"/>
                <w:sz w:val="16"/>
              </w:rPr>
              <w:t>Executive decree where authorised; statute for protected structures</w:t>
            </w:r>
          </w:p>
        </w:tc>
        <w:tc>
          <w:tcPr>
            <w:tcW w:type="dxa" w:w="2736"/>
            <w:vAlign w:val="top"/>
          </w:tcPr>
          <w:p>
            <w:r/>
            <w:r>
              <w:rPr>
                <w:rFonts w:ascii="Arial" w:hAnsi="Arial"/>
                <w:b w:val="0"/>
                <w:i w:val="0"/>
                <w:color w:val="1E242A"/>
                <w:sz w:val="16"/>
              </w:rPr>
              <w:t>Personnel rights, transition cost and capacity loss</w:t>
            </w:r>
          </w:p>
        </w:tc>
      </w:tr>
      <w:tr>
        <w:trPr>
          <w:cantSplit/>
        </w:trPr>
        <w:tc>
          <w:tcPr>
            <w:tcW w:type="dxa" w:w="1152"/>
            <w:vAlign w:val="top"/>
          </w:tcPr>
          <w:p>
            <w:r/>
            <w:r>
              <w:rPr>
                <w:rFonts w:ascii="Arial" w:hAnsi="Arial"/>
                <w:b w:val="0"/>
                <w:i w:val="0"/>
                <w:color w:val="1E242A"/>
                <w:sz w:val="16"/>
              </w:rPr>
              <w:t>Programme coordination centre</w:t>
            </w:r>
          </w:p>
        </w:tc>
        <w:tc>
          <w:tcPr>
            <w:tcW w:type="dxa" w:w="2376"/>
            <w:vAlign w:val="top"/>
          </w:tcPr>
          <w:p>
            <w:r/>
            <w:r>
              <w:rPr>
                <w:rFonts w:ascii="Arial" w:hAnsi="Arial"/>
                <w:b w:val="0"/>
                <w:i w:val="0"/>
                <w:color w:val="1E242A"/>
                <w:sz w:val="16"/>
              </w:rPr>
              <w:t>Real Plan, PAC, rationing, PPCDAm</w:t>
            </w:r>
          </w:p>
        </w:tc>
        <w:tc>
          <w:tcPr>
            <w:tcW w:type="dxa" w:w="3096"/>
            <w:vAlign w:val="top"/>
          </w:tcPr>
          <w:p>
            <w:r/>
            <w:r>
              <w:rPr>
                <w:rFonts w:ascii="Arial" w:hAnsi="Arial"/>
                <w:b w:val="0"/>
                <w:i w:val="0"/>
                <w:color w:val="1E242A"/>
                <w:sz w:val="16"/>
              </w:rPr>
              <w:t>Presidency/Casa Civil/ministry coordination plus line-agency delivery</w:t>
            </w:r>
          </w:p>
        </w:tc>
        <w:tc>
          <w:tcPr>
            <w:tcW w:type="dxa" w:w="2736"/>
            <w:vAlign w:val="top"/>
          </w:tcPr>
          <w:p>
            <w:r/>
            <w:r>
              <w:rPr>
                <w:rFonts w:ascii="Arial" w:hAnsi="Arial"/>
                <w:b w:val="0"/>
                <w:i w:val="0"/>
                <w:color w:val="1E242A"/>
                <w:sz w:val="16"/>
              </w:rPr>
              <w:t>Announcement cannot cure weak projects or subnational execution</w:t>
            </w:r>
          </w:p>
        </w:tc>
      </w:tr>
      <w:tr>
        <w:trPr>
          <w:cantSplit/>
        </w:trPr>
        <w:tc>
          <w:tcPr>
            <w:tcW w:type="dxa" w:w="1152"/>
            <w:vAlign w:val="top"/>
          </w:tcPr>
          <w:p>
            <w:r/>
            <w:r>
              <w:rPr>
                <w:rFonts w:ascii="Arial" w:hAnsi="Arial"/>
                <w:b w:val="0"/>
                <w:i w:val="0"/>
                <w:color w:val="1E242A"/>
                <w:sz w:val="16"/>
              </w:rPr>
              <w:t>Federal transfer/conditional grant</w:t>
            </w:r>
          </w:p>
        </w:tc>
        <w:tc>
          <w:tcPr>
            <w:tcW w:type="dxa" w:w="2376"/>
            <w:vAlign w:val="top"/>
          </w:tcPr>
          <w:p>
            <w:r/>
            <w:r>
              <w:rPr>
                <w:rFonts w:ascii="Arial" w:hAnsi="Arial"/>
                <w:b w:val="0"/>
                <w:i w:val="0"/>
                <w:color w:val="1E242A"/>
                <w:sz w:val="16"/>
              </w:rPr>
              <w:t>Health, social policy, security, infrastructure</w:t>
            </w:r>
          </w:p>
        </w:tc>
        <w:tc>
          <w:tcPr>
            <w:tcW w:type="dxa" w:w="3096"/>
            <w:vAlign w:val="top"/>
          </w:tcPr>
          <w:p>
            <w:r/>
            <w:r>
              <w:rPr>
                <w:rFonts w:ascii="Arial" w:hAnsi="Arial"/>
                <w:b w:val="0"/>
                <w:i w:val="0"/>
                <w:color w:val="1E242A"/>
                <w:sz w:val="16"/>
              </w:rPr>
              <w:t>Statute/budget and recipient implementation</w:t>
            </w:r>
          </w:p>
        </w:tc>
        <w:tc>
          <w:tcPr>
            <w:tcW w:type="dxa" w:w="2736"/>
            <w:vAlign w:val="top"/>
          </w:tcPr>
          <w:p>
            <w:r/>
            <w:r>
              <w:rPr>
                <w:rFonts w:ascii="Arial" w:hAnsi="Arial"/>
                <w:b w:val="0"/>
                <w:i w:val="0"/>
                <w:color w:val="1E242A"/>
                <w:sz w:val="16"/>
              </w:rPr>
              <w:t>Local capacity, reporting and political cooperation</w:t>
            </w:r>
          </w:p>
        </w:tc>
      </w:tr>
      <w:tr>
        <w:trPr>
          <w:cantSplit/>
        </w:trPr>
        <w:tc>
          <w:tcPr>
            <w:tcW w:type="dxa" w:w="1152"/>
            <w:vAlign w:val="top"/>
          </w:tcPr>
          <w:p>
            <w:r/>
            <w:r>
              <w:rPr>
                <w:rFonts w:ascii="Arial" w:hAnsi="Arial"/>
                <w:b w:val="0"/>
                <w:i w:val="0"/>
                <w:color w:val="1E242A"/>
                <w:sz w:val="16"/>
              </w:rPr>
              <w:t>Public-bank/SOE policy channel</w:t>
            </w:r>
          </w:p>
        </w:tc>
        <w:tc>
          <w:tcPr>
            <w:tcW w:type="dxa" w:w="2376"/>
            <w:vAlign w:val="top"/>
          </w:tcPr>
          <w:p>
            <w:r/>
            <w:r>
              <w:rPr>
                <w:rFonts w:ascii="Arial" w:hAnsi="Arial"/>
                <w:b w:val="0"/>
                <w:i w:val="0"/>
                <w:color w:val="1E242A"/>
                <w:sz w:val="16"/>
              </w:rPr>
              <w:t>BNDES credit, Caixa payments, Petrobras/Eletrobras investment</w:t>
            </w:r>
          </w:p>
        </w:tc>
        <w:tc>
          <w:tcPr>
            <w:tcW w:type="dxa" w:w="3096"/>
            <w:vAlign w:val="top"/>
          </w:tcPr>
          <w:p>
            <w:r/>
            <w:r>
              <w:rPr>
                <w:rFonts w:ascii="Arial" w:hAnsi="Arial"/>
                <w:b w:val="0"/>
                <w:i w:val="0"/>
                <w:color w:val="1E242A"/>
                <w:sz w:val="16"/>
              </w:rPr>
              <w:t>Corporate governance, boards, regulators, fiscal authorisation</w:t>
            </w:r>
          </w:p>
        </w:tc>
        <w:tc>
          <w:tcPr>
            <w:tcW w:type="dxa" w:w="2736"/>
            <w:vAlign w:val="top"/>
          </w:tcPr>
          <w:p>
            <w:r/>
            <w:r>
              <w:rPr>
                <w:rFonts w:ascii="Arial" w:hAnsi="Arial"/>
                <w:b w:val="0"/>
                <w:i w:val="0"/>
                <w:color w:val="1E242A"/>
                <w:sz w:val="16"/>
              </w:rPr>
              <w:t>Quasi-fiscal cost, minority rights, pricing and credibility</w:t>
            </w:r>
          </w:p>
        </w:tc>
      </w:tr>
      <w:tr>
        <w:trPr>
          <w:cantSplit/>
        </w:trPr>
        <w:tc>
          <w:tcPr>
            <w:tcW w:type="dxa" w:w="1152"/>
            <w:vAlign w:val="top"/>
          </w:tcPr>
          <w:p>
            <w:r/>
            <w:r>
              <w:rPr>
                <w:rFonts w:ascii="Arial" w:hAnsi="Arial"/>
                <w:b w:val="0"/>
                <w:i w:val="0"/>
                <w:color w:val="1E242A"/>
                <w:sz w:val="16"/>
              </w:rPr>
              <w:t>Privatisation/capitalisation</w:t>
            </w:r>
          </w:p>
        </w:tc>
        <w:tc>
          <w:tcPr>
            <w:tcW w:type="dxa" w:w="2376"/>
            <w:vAlign w:val="top"/>
          </w:tcPr>
          <w:p>
            <w:r/>
            <w:r>
              <w:rPr>
                <w:rFonts w:ascii="Arial" w:hAnsi="Arial"/>
                <w:b w:val="0"/>
                <w:i w:val="0"/>
                <w:color w:val="1E242A"/>
                <w:sz w:val="16"/>
              </w:rPr>
              <w:t>PND, Eletrobras</w:t>
            </w:r>
          </w:p>
        </w:tc>
        <w:tc>
          <w:tcPr>
            <w:tcW w:type="dxa" w:w="3096"/>
            <w:vAlign w:val="top"/>
          </w:tcPr>
          <w:p>
            <w:r/>
            <w:r>
              <w:rPr>
                <w:rFonts w:ascii="Arial" w:hAnsi="Arial"/>
                <w:b w:val="0"/>
                <w:i w:val="0"/>
                <w:color w:val="1E242A"/>
                <w:sz w:val="16"/>
              </w:rPr>
              <w:t>Enabling law/programme, valuation, auction/capital market and regulation</w:t>
            </w:r>
          </w:p>
        </w:tc>
        <w:tc>
          <w:tcPr>
            <w:tcW w:type="dxa" w:w="2736"/>
            <w:vAlign w:val="top"/>
          </w:tcPr>
          <w:p>
            <w:r/>
            <w:r>
              <w:rPr>
                <w:rFonts w:ascii="Arial" w:hAnsi="Arial"/>
                <w:b w:val="0"/>
                <w:i w:val="0"/>
                <w:color w:val="1E242A"/>
                <w:sz w:val="16"/>
              </w:rPr>
              <w:t>Litigation, contractual obligations and post-sale regulation</w:t>
            </w:r>
          </w:p>
        </w:tc>
      </w:tr>
      <w:tr>
        <w:trPr>
          <w:cantSplit/>
        </w:trPr>
        <w:tc>
          <w:tcPr>
            <w:tcW w:type="dxa" w:w="1152"/>
            <w:vAlign w:val="top"/>
          </w:tcPr>
          <w:p>
            <w:r/>
            <w:r>
              <w:rPr>
                <w:rFonts w:ascii="Arial" w:hAnsi="Arial"/>
                <w:b w:val="0"/>
                <w:i w:val="0"/>
                <w:color w:val="1E242A"/>
                <w:sz w:val="16"/>
              </w:rPr>
              <w:t>Concession/PPP</w:t>
            </w:r>
          </w:p>
        </w:tc>
        <w:tc>
          <w:tcPr>
            <w:tcW w:type="dxa" w:w="2376"/>
            <w:vAlign w:val="top"/>
          </w:tcPr>
          <w:p>
            <w:r/>
            <w:r>
              <w:rPr>
                <w:rFonts w:ascii="Arial" w:hAnsi="Arial"/>
                <w:b w:val="0"/>
                <w:i w:val="0"/>
                <w:color w:val="1E242A"/>
                <w:sz w:val="16"/>
              </w:rPr>
              <w:t>Transport, airports, sanitation, energy</w:t>
            </w:r>
          </w:p>
        </w:tc>
        <w:tc>
          <w:tcPr>
            <w:tcW w:type="dxa" w:w="3096"/>
            <w:vAlign w:val="top"/>
          </w:tcPr>
          <w:p>
            <w:r/>
            <w:r>
              <w:rPr>
                <w:rFonts w:ascii="Arial" w:hAnsi="Arial"/>
                <w:b w:val="0"/>
                <w:i w:val="0"/>
                <w:color w:val="1E242A"/>
                <w:sz w:val="16"/>
              </w:rPr>
              <w:t>Auction and long-term regulatory contract</w:t>
            </w:r>
          </w:p>
        </w:tc>
        <w:tc>
          <w:tcPr>
            <w:tcW w:type="dxa" w:w="2736"/>
            <w:vAlign w:val="top"/>
          </w:tcPr>
          <w:p>
            <w:r/>
            <w:r>
              <w:rPr>
                <w:rFonts w:ascii="Arial" w:hAnsi="Arial"/>
                <w:b w:val="0"/>
                <w:i w:val="0"/>
                <w:color w:val="1E242A"/>
                <w:sz w:val="16"/>
              </w:rPr>
              <w:t>Demand risk, licensing, renegotiation and regulator credibility</w:t>
            </w:r>
          </w:p>
        </w:tc>
      </w:tr>
      <w:tr>
        <w:trPr>
          <w:cantSplit/>
        </w:trPr>
        <w:tc>
          <w:tcPr>
            <w:tcW w:type="dxa" w:w="1152"/>
            <w:vAlign w:val="top"/>
          </w:tcPr>
          <w:p>
            <w:r/>
            <w:r>
              <w:rPr>
                <w:rFonts w:ascii="Arial" w:hAnsi="Arial"/>
                <w:b w:val="0"/>
                <w:i w:val="0"/>
                <w:color w:val="1E242A"/>
                <w:sz w:val="16"/>
              </w:rPr>
              <w:t>Federal intervention</w:t>
            </w:r>
          </w:p>
        </w:tc>
        <w:tc>
          <w:tcPr>
            <w:tcW w:type="dxa" w:w="2376"/>
            <w:vAlign w:val="top"/>
          </w:tcPr>
          <w:p>
            <w:r/>
            <w:r>
              <w:rPr>
                <w:rFonts w:ascii="Arial" w:hAnsi="Arial"/>
                <w:b w:val="0"/>
                <w:i w:val="0"/>
                <w:color w:val="1E242A"/>
                <w:sz w:val="16"/>
              </w:rPr>
              <w:t>Rio 2018</w:t>
            </w:r>
          </w:p>
        </w:tc>
        <w:tc>
          <w:tcPr>
            <w:tcW w:type="dxa" w:w="3096"/>
            <w:vAlign w:val="top"/>
          </w:tcPr>
          <w:p>
            <w:r/>
            <w:r>
              <w:rPr>
                <w:rFonts w:ascii="Arial" w:hAnsi="Arial"/>
                <w:b w:val="0"/>
                <w:i w:val="0"/>
                <w:color w:val="1E242A"/>
                <w:sz w:val="16"/>
              </w:rPr>
              <w:t>Presidential decree specifying scope/duration; congressional review</w:t>
            </w:r>
          </w:p>
        </w:tc>
        <w:tc>
          <w:tcPr>
            <w:tcW w:type="dxa" w:w="2736"/>
            <w:vAlign w:val="top"/>
          </w:tcPr>
          <w:p>
            <w:r/>
            <w:r>
              <w:rPr>
                <w:rFonts w:ascii="Arial" w:hAnsi="Arial"/>
                <w:b w:val="0"/>
                <w:i w:val="0"/>
                <w:color w:val="1E242A"/>
                <w:sz w:val="16"/>
              </w:rPr>
              <w:t>Exceptional, temporary; freezes constitutional amendment process</w:t>
            </w:r>
          </w:p>
        </w:tc>
      </w:tr>
      <w:tr>
        <w:trPr>
          <w:cantSplit/>
        </w:trPr>
        <w:tc>
          <w:tcPr>
            <w:tcW w:type="dxa" w:w="1152"/>
            <w:vAlign w:val="top"/>
          </w:tcPr>
          <w:p>
            <w:r/>
            <w:r>
              <w:rPr>
                <w:rFonts w:ascii="Arial" w:hAnsi="Arial"/>
                <w:b w:val="0"/>
                <w:i w:val="0"/>
                <w:color w:val="1E242A"/>
                <w:sz w:val="16"/>
              </w:rPr>
              <w:t>GLO/Força Nacional/federal task force</w:t>
            </w:r>
          </w:p>
        </w:tc>
        <w:tc>
          <w:tcPr>
            <w:tcW w:type="dxa" w:w="2376"/>
            <w:vAlign w:val="top"/>
          </w:tcPr>
          <w:p>
            <w:r/>
            <w:r>
              <w:rPr>
                <w:rFonts w:ascii="Arial" w:hAnsi="Arial"/>
                <w:b w:val="0"/>
                <w:i w:val="0"/>
                <w:color w:val="1E242A"/>
                <w:sz w:val="16"/>
              </w:rPr>
              <w:t>Security crises and coordination</w:t>
            </w:r>
          </w:p>
        </w:tc>
        <w:tc>
          <w:tcPr>
            <w:tcW w:type="dxa" w:w="3096"/>
            <w:vAlign w:val="top"/>
          </w:tcPr>
          <w:p>
            <w:r/>
            <w:r>
              <w:rPr>
                <w:rFonts w:ascii="Arial" w:hAnsi="Arial"/>
                <w:b w:val="0"/>
                <w:i w:val="0"/>
                <w:color w:val="1E242A"/>
                <w:sz w:val="16"/>
              </w:rPr>
              <w:t>Distinct legal predicates; state request/consent often relevant</w:t>
            </w:r>
          </w:p>
        </w:tc>
        <w:tc>
          <w:tcPr>
            <w:tcW w:type="dxa" w:w="2736"/>
            <w:vAlign w:val="top"/>
          </w:tcPr>
          <w:p>
            <w:r/>
            <w:r>
              <w:rPr>
                <w:rFonts w:ascii="Arial" w:hAnsi="Arial"/>
                <w:b w:val="0"/>
                <w:i w:val="0"/>
                <w:color w:val="1E242A"/>
                <w:sz w:val="16"/>
              </w:rPr>
              <w:t>Temporary deployment does not replace state institutions</w:t>
            </w:r>
          </w:p>
        </w:tc>
      </w:tr>
      <w:tr>
        <w:trPr>
          <w:cantSplit/>
        </w:trPr>
        <w:tc>
          <w:tcPr>
            <w:tcW w:type="dxa" w:w="1152"/>
            <w:vAlign w:val="top"/>
          </w:tcPr>
          <w:p>
            <w:r/>
            <w:r>
              <w:rPr>
                <w:rFonts w:ascii="Arial" w:hAnsi="Arial"/>
                <w:b w:val="0"/>
                <w:i w:val="0"/>
                <w:color w:val="1E242A"/>
                <w:sz w:val="16"/>
              </w:rPr>
              <w:t>Investigation/prosecution request</w:t>
            </w:r>
          </w:p>
        </w:tc>
        <w:tc>
          <w:tcPr>
            <w:tcW w:type="dxa" w:w="2376"/>
            <w:vAlign w:val="top"/>
          </w:tcPr>
          <w:p>
            <w:r/>
            <w:r>
              <w:rPr>
                <w:rFonts w:ascii="Arial" w:hAnsi="Arial"/>
                <w:b w:val="0"/>
                <w:i w:val="0"/>
                <w:color w:val="1E242A"/>
                <w:sz w:val="16"/>
              </w:rPr>
              <w:t>Corruption/organised crime</w:t>
            </w:r>
          </w:p>
        </w:tc>
        <w:tc>
          <w:tcPr>
            <w:tcW w:type="dxa" w:w="3096"/>
            <w:vAlign w:val="top"/>
          </w:tcPr>
          <w:p>
            <w:r/>
            <w:r>
              <w:rPr>
                <w:rFonts w:ascii="Arial" w:hAnsi="Arial"/>
                <w:b w:val="0"/>
                <w:i w:val="0"/>
                <w:color w:val="1E242A"/>
                <w:sz w:val="16"/>
              </w:rPr>
              <w:t>Belongs to PF/MP/courts within legal competence, not presidential direction</w:t>
            </w:r>
          </w:p>
        </w:tc>
        <w:tc>
          <w:tcPr>
            <w:tcW w:type="dxa" w:w="2736"/>
            <w:vAlign w:val="top"/>
          </w:tcPr>
          <w:p>
            <w:r/>
            <w:r>
              <w:rPr>
                <w:rFonts w:ascii="Arial" w:hAnsi="Arial"/>
                <w:b w:val="0"/>
                <w:i w:val="0"/>
                <w:color w:val="1E242A"/>
                <w:sz w:val="16"/>
              </w:rPr>
              <w:t>Jurisdiction, evidence, due process and institutional autonomy</w:t>
            </w:r>
          </w:p>
        </w:tc>
      </w:tr>
      <w:tr>
        <w:trPr>
          <w:cantSplit/>
        </w:trPr>
        <w:tc>
          <w:tcPr>
            <w:tcW w:type="dxa" w:w="1152"/>
            <w:vAlign w:val="top"/>
          </w:tcPr>
          <w:p>
            <w:r/>
            <w:r>
              <w:rPr>
                <w:rFonts w:ascii="Arial" w:hAnsi="Arial"/>
                <w:b w:val="0"/>
                <w:i w:val="0"/>
                <w:color w:val="1E242A"/>
                <w:sz w:val="16"/>
              </w:rPr>
              <w:t>International litigation/retaliation</w:t>
            </w:r>
          </w:p>
        </w:tc>
        <w:tc>
          <w:tcPr>
            <w:tcW w:type="dxa" w:w="2376"/>
            <w:vAlign w:val="top"/>
          </w:tcPr>
          <w:p>
            <w:r/>
            <w:r>
              <w:rPr>
                <w:rFonts w:ascii="Arial" w:hAnsi="Arial"/>
                <w:b w:val="0"/>
                <w:i w:val="0"/>
                <w:color w:val="1E242A"/>
                <w:sz w:val="16"/>
              </w:rPr>
              <w:t>WTO cotton</w:t>
            </w:r>
          </w:p>
        </w:tc>
        <w:tc>
          <w:tcPr>
            <w:tcW w:type="dxa" w:w="3096"/>
            <w:vAlign w:val="top"/>
          </w:tcPr>
          <w:p>
            <w:r/>
            <w:r>
              <w:rPr>
                <w:rFonts w:ascii="Arial" w:hAnsi="Arial"/>
                <w:b w:val="0"/>
                <w:i w:val="0"/>
                <w:color w:val="1E242A"/>
                <w:sz w:val="16"/>
              </w:rPr>
              <w:t>Interministerial/private evidence; adjudication; lawful countermeasures</w:t>
            </w:r>
          </w:p>
        </w:tc>
        <w:tc>
          <w:tcPr>
            <w:tcW w:type="dxa" w:w="2736"/>
            <w:vAlign w:val="top"/>
          </w:tcPr>
          <w:p>
            <w:r/>
            <w:r>
              <w:rPr>
                <w:rFonts w:ascii="Arial" w:hAnsi="Arial"/>
                <w:b w:val="0"/>
                <w:i w:val="0"/>
                <w:color w:val="1E242A"/>
                <w:sz w:val="16"/>
              </w:rPr>
              <w:t>Long time horizon and counterpart response</w:t>
            </w:r>
          </w:p>
        </w:tc>
      </w:tr>
      <w:tr>
        <w:trPr>
          <w:cantSplit/>
        </w:trPr>
        <w:tc>
          <w:tcPr>
            <w:tcW w:type="dxa" w:w="1152"/>
            <w:vAlign w:val="top"/>
          </w:tcPr>
          <w:p>
            <w:r/>
            <w:r>
              <w:rPr>
                <w:rFonts w:ascii="Arial" w:hAnsi="Arial"/>
                <w:b w:val="0"/>
                <w:i w:val="0"/>
                <w:color w:val="1E242A"/>
                <w:sz w:val="16"/>
              </w:rPr>
              <w:t>Treaty/negotiated declaration</w:t>
            </w:r>
          </w:p>
        </w:tc>
        <w:tc>
          <w:tcPr>
            <w:tcW w:type="dxa" w:w="2376"/>
            <w:vAlign w:val="top"/>
          </w:tcPr>
          <w:p>
            <w:r/>
            <w:r>
              <w:rPr>
                <w:rFonts w:ascii="Arial" w:hAnsi="Arial"/>
                <w:b w:val="0"/>
                <w:i w:val="0"/>
                <w:color w:val="1E242A"/>
                <w:sz w:val="16"/>
              </w:rPr>
              <w:t>Mercosur, Iran, climate</w:t>
            </w:r>
          </w:p>
        </w:tc>
        <w:tc>
          <w:tcPr>
            <w:tcW w:type="dxa" w:w="3096"/>
            <w:vAlign w:val="top"/>
          </w:tcPr>
          <w:p>
            <w:r/>
            <w:r>
              <w:rPr>
                <w:rFonts w:ascii="Arial" w:hAnsi="Arial"/>
                <w:b w:val="0"/>
                <w:i w:val="0"/>
                <w:color w:val="1E242A"/>
                <w:sz w:val="16"/>
              </w:rPr>
              <w:t>Executive negotiation; Congress where constitutional approval is required; domestic implementation</w:t>
            </w:r>
          </w:p>
        </w:tc>
        <w:tc>
          <w:tcPr>
            <w:tcW w:type="dxa" w:w="2736"/>
            <w:vAlign w:val="top"/>
          </w:tcPr>
          <w:p>
            <w:r/>
            <w:r>
              <w:rPr>
                <w:rFonts w:ascii="Arial" w:hAnsi="Arial"/>
                <w:b w:val="0"/>
                <w:i w:val="0"/>
                <w:color w:val="1E242A"/>
                <w:sz w:val="16"/>
              </w:rPr>
              <w:t>Other states may reject, delay or condition performance</w:t>
            </w:r>
          </w:p>
        </w:tc>
      </w:tr>
      <w:tr>
        <w:trPr>
          <w:cantSplit/>
        </w:trPr>
        <w:tc>
          <w:tcPr>
            <w:tcW w:type="dxa" w:w="1152"/>
            <w:vAlign w:val="top"/>
          </w:tcPr>
          <w:p>
            <w:r/>
            <w:r>
              <w:rPr>
                <w:rFonts w:ascii="Arial" w:hAnsi="Arial"/>
                <w:b w:val="0"/>
                <w:i w:val="0"/>
                <w:color w:val="1E242A"/>
                <w:sz w:val="16"/>
              </w:rPr>
              <w:t>Veto</w:t>
            </w:r>
          </w:p>
        </w:tc>
        <w:tc>
          <w:tcPr>
            <w:tcW w:type="dxa" w:w="2376"/>
            <w:vAlign w:val="top"/>
          </w:tcPr>
          <w:p>
            <w:r/>
            <w:r>
              <w:rPr>
                <w:rFonts w:ascii="Arial" w:hAnsi="Arial"/>
                <w:b w:val="0"/>
                <w:i w:val="0"/>
                <w:color w:val="1E242A"/>
                <w:sz w:val="16"/>
              </w:rPr>
              <w:t>Fiscal/distributive legislation</w:t>
            </w:r>
          </w:p>
        </w:tc>
        <w:tc>
          <w:tcPr>
            <w:tcW w:type="dxa" w:w="3096"/>
            <w:vAlign w:val="top"/>
          </w:tcPr>
          <w:p>
            <w:r/>
            <w:r>
              <w:rPr>
                <w:rFonts w:ascii="Arial" w:hAnsi="Arial"/>
                <w:b w:val="0"/>
                <w:i w:val="0"/>
                <w:color w:val="1E242A"/>
                <w:sz w:val="16"/>
              </w:rPr>
              <w:t>Presidential total/partial veto on constitutional/public-interest grounds</w:t>
            </w:r>
          </w:p>
        </w:tc>
        <w:tc>
          <w:tcPr>
            <w:tcW w:type="dxa" w:w="2736"/>
            <w:vAlign w:val="top"/>
          </w:tcPr>
          <w:p>
            <w:r/>
            <w:r>
              <w:rPr>
                <w:rFonts w:ascii="Arial" w:hAnsi="Arial"/>
                <w:b w:val="0"/>
                <w:i w:val="0"/>
                <w:color w:val="1E242A"/>
                <w:sz w:val="16"/>
              </w:rPr>
              <w:t>Congress may override by absolute majority of all members in joint session</w:t>
            </w:r>
          </w:p>
        </w:tc>
      </w:tr>
    </w:tbl>
    <w:p>
      <w:pPr>
        <w:spacing w:after="40"/>
      </w:pPr>
    </w:p>
    <w:p>
      <w:pPr>
        <w:pStyle w:val="Heading1"/>
      </w:pPr>
      <w:r>
        <w:rPr>
          <w:rFonts w:ascii="Arial" w:hAnsi="Arial"/>
          <w:b w:val="0"/>
          <w:i w:val="0"/>
          <w:color w:val="183752"/>
          <w:sz w:val="34"/>
        </w:rPr>
        <w:t>A. Major Historical Experience Findings</w:t>
      </w:r>
    </w:p>
    <w:p>
      <w:pPr>
        <w:pStyle w:val="ListNumber"/>
        <w:numPr>
          <w:ilvl w:val="0"/>
          <w:numId w:val="3"/>
        </w:numPr>
      </w:pPr>
      <w:r>
        <w:rPr>
          <w:rFonts w:ascii="Arial" w:hAnsi="Arial"/>
          <w:b/>
          <w:i w:val="0"/>
          <w:color w:val="1E242A"/>
          <w:sz w:val="20"/>
        </w:rPr>
        <w:t>Agenda power is not outcome control.</w:t>
      </w:r>
      <w:r>
        <w:rPr>
          <w:rFonts w:ascii="Arial" w:hAnsi="Arial"/>
          <w:b w:val="0"/>
          <w:i w:val="0"/>
          <w:color w:val="1E242A"/>
          <w:sz w:val="20"/>
        </w:rPr>
        <w:t xml:space="preserve"> Presidents can initiate, prioritise, veto, regulate and coordinate, but constitutional reform, budgets, federal implementation and judicially sensitive action depend on other institutions.</w:t>
      </w:r>
    </w:p>
    <w:p>
      <w:pPr>
        <w:pStyle w:val="ListNumber"/>
        <w:numPr>
          <w:ilvl w:val="0"/>
          <w:numId w:val="3"/>
        </w:numPr>
      </w:pPr>
      <w:r>
        <w:rPr>
          <w:rFonts w:ascii="Arial" w:hAnsi="Arial"/>
          <w:b/>
          <w:i w:val="0"/>
          <w:color w:val="1E242A"/>
          <w:sz w:val="20"/>
        </w:rPr>
        <w:t>Sequencing can be a policy instrument.</w:t>
      </w:r>
      <w:r>
        <w:rPr>
          <w:rFonts w:ascii="Arial" w:hAnsi="Arial"/>
          <w:b w:val="0"/>
          <w:i w:val="0"/>
          <w:color w:val="1E242A"/>
          <w:sz w:val="20"/>
        </w:rPr>
        <w:t xml:space="preserve"> The Real Plan's fiscal bridge, URV and currency transition; tax reform's amendment–regulation–transition; and concessions' law–auction–regulation chains show why simultaneous announcement is not implementation.</w:t>
      </w:r>
    </w:p>
    <w:p>
      <w:pPr>
        <w:pStyle w:val="ListNumber"/>
        <w:numPr>
          <w:ilvl w:val="0"/>
          <w:numId w:val="3"/>
        </w:numPr>
      </w:pPr>
      <w:r>
        <w:rPr>
          <w:rFonts w:ascii="Arial" w:hAnsi="Arial"/>
          <w:b/>
          <w:i w:val="0"/>
          <w:color w:val="1E242A"/>
          <w:sz w:val="20"/>
        </w:rPr>
        <w:t>Congress is both gatekeeper and entrepreneur.</w:t>
      </w:r>
      <w:r>
        <w:rPr>
          <w:rFonts w:ascii="Arial" w:hAnsi="Arial"/>
          <w:b w:val="0"/>
          <w:i w:val="0"/>
          <w:color w:val="1E242A"/>
          <w:sz w:val="20"/>
        </w:rPr>
        <w:t xml:space="preserve"> It altered pension packages, owned tax reform, enlarged emergency aid, controlled impeachment authorisation and can override vetoes.</w:t>
      </w:r>
    </w:p>
    <w:p>
      <w:pPr>
        <w:pStyle w:val="ListNumber"/>
        <w:numPr>
          <w:ilvl w:val="0"/>
          <w:numId w:val="3"/>
        </w:numPr>
      </w:pPr>
      <w:r>
        <w:rPr>
          <w:rFonts w:ascii="Arial" w:hAnsi="Arial"/>
          <w:b/>
          <w:i w:val="0"/>
          <w:color w:val="1E242A"/>
          <w:sz w:val="20"/>
        </w:rPr>
        <w:t>Coalitions are dynamic and issue-specific.</w:t>
      </w:r>
      <w:r>
        <w:rPr>
          <w:rFonts w:ascii="Arial" w:hAnsi="Arial"/>
          <w:b w:val="0"/>
          <w:i w:val="0"/>
          <w:color w:val="1E242A"/>
          <w:sz w:val="20"/>
        </w:rPr>
        <w:t xml:space="preserve"> Cabinet membership does not guarantee every vote; non-coalition support can pass policy; a nominal majority can dissolve under leadership conflict, recession or scandal.</w:t>
      </w:r>
    </w:p>
    <w:p>
      <w:pPr>
        <w:pStyle w:val="ListNumber"/>
        <w:numPr>
          <w:ilvl w:val="0"/>
          <w:numId w:val="3"/>
        </w:numPr>
      </w:pPr>
      <w:r>
        <w:rPr>
          <w:rFonts w:ascii="Arial" w:hAnsi="Arial"/>
          <w:b/>
          <w:i w:val="0"/>
          <w:color w:val="1E242A"/>
          <w:sz w:val="20"/>
        </w:rPr>
        <w:t>Implementation frequently dominates enactment.</w:t>
      </w:r>
      <w:r>
        <w:rPr>
          <w:rFonts w:ascii="Arial" w:hAnsi="Arial"/>
          <w:b w:val="0"/>
          <w:i w:val="0"/>
          <w:color w:val="1E242A"/>
          <w:sz w:val="20"/>
        </w:rPr>
        <w:t xml:space="preserve"> Registers, payment rails, technical staff, project preparation, state/municipal cooperation, procurement and enforcement determine whether legal authority becomes output.</w:t>
      </w:r>
    </w:p>
    <w:p>
      <w:pPr>
        <w:pStyle w:val="ListNumber"/>
        <w:numPr>
          <w:ilvl w:val="0"/>
          <w:numId w:val="3"/>
        </w:numPr>
      </w:pPr>
      <w:r>
        <w:rPr>
          <w:rFonts w:ascii="Arial" w:hAnsi="Arial"/>
          <w:b/>
          <w:i w:val="0"/>
          <w:color w:val="1E242A"/>
          <w:sz w:val="20"/>
        </w:rPr>
        <w:t>Federalism produces veto points and redundancy.</w:t>
      </w:r>
      <w:r>
        <w:rPr>
          <w:rFonts w:ascii="Arial" w:hAnsi="Arial"/>
          <w:b w:val="0"/>
          <w:i w:val="0"/>
          <w:color w:val="1E242A"/>
          <w:sz w:val="20"/>
        </w:rPr>
        <w:t xml:space="preserve"> Health, security, environment, infrastructure and taxation show both coordination gains and conflict. Governors implement significant policy but do not act as a single bloc.</w:t>
      </w:r>
    </w:p>
    <w:p>
      <w:pPr>
        <w:pStyle w:val="ListNumber"/>
        <w:numPr>
          <w:ilvl w:val="0"/>
          <w:numId w:val="3"/>
        </w:numPr>
      </w:pPr>
      <w:r>
        <w:rPr>
          <w:rFonts w:ascii="Arial" w:hAnsi="Arial"/>
          <w:b/>
          <w:i w:val="0"/>
          <w:color w:val="1E242A"/>
          <w:sz w:val="20"/>
        </w:rPr>
        <w:t>Autonomous institutions create both capacity and constraint.</w:t>
      </w:r>
      <w:r>
        <w:rPr>
          <w:rFonts w:ascii="Arial" w:hAnsi="Arial"/>
          <w:b w:val="0"/>
          <w:i w:val="0"/>
          <w:color w:val="1E242A"/>
          <w:sz w:val="20"/>
        </w:rPr>
        <w:t xml:space="preserve"> BCB, STF, PF, MPF, TCU, regulators and SOE boards can sustain policy, expose wrongdoing or invalidate unlawful routes.</w:t>
      </w:r>
    </w:p>
    <w:p>
      <w:pPr>
        <w:pStyle w:val="ListNumber"/>
        <w:numPr>
          <w:ilvl w:val="0"/>
          <w:numId w:val="3"/>
        </w:numPr>
      </w:pPr>
      <w:r>
        <w:rPr>
          <w:rFonts w:ascii="Arial" w:hAnsi="Arial"/>
          <w:b/>
          <w:i w:val="0"/>
          <w:color w:val="1E242A"/>
          <w:sz w:val="20"/>
        </w:rPr>
        <w:t>Crisis opens windows but shortens decision time.</w:t>
      </w:r>
      <w:r>
        <w:rPr>
          <w:rFonts w:ascii="Arial" w:hAnsi="Arial"/>
          <w:b w:val="0"/>
          <w:i w:val="0"/>
          <w:color w:val="1E242A"/>
          <w:sz w:val="20"/>
        </w:rPr>
        <w:t xml:space="preserve"> Fiscal deterioration enabled EC 95; pandemic emergency enabled mass aid; the truckers' strike forced a rapid subsidy/regulatory package. Crisis enactment can embed later costs.</w:t>
      </w:r>
    </w:p>
    <w:p>
      <w:pPr>
        <w:pStyle w:val="ListNumber"/>
        <w:numPr>
          <w:ilvl w:val="0"/>
          <w:numId w:val="3"/>
        </w:numPr>
      </w:pPr>
      <w:r>
        <w:rPr>
          <w:rFonts w:ascii="Arial" w:hAnsi="Arial"/>
          <w:b/>
          <w:i w:val="0"/>
          <w:color w:val="1E242A"/>
          <w:sz w:val="20"/>
        </w:rPr>
        <w:t>Legal entrenchment raises, but does not eliminate, reversal costs.</w:t>
      </w:r>
      <w:r>
        <w:rPr>
          <w:rFonts w:ascii="Arial" w:hAnsi="Arial"/>
          <w:b w:val="0"/>
          <w:i w:val="0"/>
          <w:color w:val="1E242A"/>
          <w:sz w:val="20"/>
        </w:rPr>
        <w:t xml:space="preserve"> Constitutional fiscal and pension rules changed; administrative enforcement shifted without constitutional change.</w:t>
      </w:r>
    </w:p>
    <w:p>
      <w:pPr>
        <w:pStyle w:val="ListNumber"/>
        <w:numPr>
          <w:ilvl w:val="0"/>
          <w:numId w:val="3"/>
        </w:numPr>
      </w:pPr>
      <w:r>
        <w:rPr>
          <w:rFonts w:ascii="Arial" w:hAnsi="Arial"/>
          <w:b/>
          <w:i w:val="0"/>
          <w:color w:val="1E242A"/>
          <w:sz w:val="20"/>
        </w:rPr>
        <w:t>External conditions are endogenous to observed success.</w:t>
      </w:r>
      <w:r>
        <w:rPr>
          <w:rFonts w:ascii="Arial" w:hAnsi="Arial"/>
          <w:b w:val="0"/>
          <w:i w:val="0"/>
          <w:color w:val="1E242A"/>
          <w:sz w:val="20"/>
        </w:rPr>
        <w:t xml:space="preserve"> Commodity demand, capital flows, drought, disease, oil prices and counterpart choices alter results and must be separated from government action.</w:t>
      </w:r>
    </w:p>
    <w:p>
      <w:pPr>
        <w:pStyle w:val="ListNumber"/>
        <w:numPr>
          <w:ilvl w:val="0"/>
          <w:numId w:val="3"/>
        </w:numPr>
      </w:pPr>
      <w:r>
        <w:rPr>
          <w:rFonts w:ascii="Arial" w:hAnsi="Arial"/>
          <w:b/>
          <w:i w:val="0"/>
          <w:color w:val="1E242A"/>
          <w:sz w:val="20"/>
        </w:rPr>
        <w:t>Political survival has no single trigger.</w:t>
      </w:r>
      <w:r>
        <w:rPr>
          <w:rFonts w:ascii="Arial" w:hAnsi="Arial"/>
          <w:b w:val="0"/>
          <w:i w:val="0"/>
          <w:color w:val="1E242A"/>
          <w:sz w:val="20"/>
        </w:rPr>
        <w:t xml:space="preserve"> Collor and Dilma fell after legal process and supermajority coalition formation; Temer survived accusations through a blocking minority despite low approval.</w:t>
      </w:r>
    </w:p>
    <w:p>
      <w:pPr>
        <w:pStyle w:val="ListNumber"/>
        <w:numPr>
          <w:ilvl w:val="0"/>
          <w:numId w:val="3"/>
        </w:numPr>
      </w:pPr>
      <w:r>
        <w:rPr>
          <w:rFonts w:ascii="Arial" w:hAnsi="Arial"/>
          <w:b/>
          <w:i w:val="0"/>
          <w:color w:val="1E242A"/>
          <w:sz w:val="20"/>
        </w:rPr>
        <w:t>Institutional learning is real but selective.</w:t>
      </w:r>
      <w:r>
        <w:rPr>
          <w:rFonts w:ascii="Arial" w:hAnsi="Arial"/>
          <w:b w:val="0"/>
          <w:i w:val="0"/>
          <w:color w:val="1E242A"/>
          <w:sz w:val="20"/>
        </w:rPr>
        <w:t xml:space="preserve"> Failed stabilisation shaped non-confiscatory sequencing; infrastructure failures generated monitoring systems; earlier pension proposals informed later texts. Some claimed “learning” remains retrospective storytelling.</w:t>
      </w:r>
    </w:p>
    <w:p>
      <w:pPr>
        <w:pStyle w:val="Heading1"/>
      </w:pPr>
      <w:r>
        <w:rPr>
          <w:rFonts w:ascii="Arial" w:hAnsi="Arial"/>
          <w:b w:val="0"/>
          <w:i w:val="0"/>
          <w:color w:val="183752"/>
          <w:sz w:val="34"/>
        </w:rPr>
        <w:t>B. Priority Precedent Library</w:t>
      </w:r>
    </w:p>
    <w:p>
      <w:pPr>
        <w:pStyle w:val="Heading2"/>
      </w:pPr>
      <w:r>
        <w:rPr>
          <w:rFonts w:ascii="Arial" w:hAnsi="Arial"/>
          <w:b w:val="0"/>
          <w:i w:val="0"/>
          <w:color w:val="2C5F80"/>
          <w:sz w:val="27"/>
        </w:rPr>
        <w:t>Tier 1 — essential</w:t>
      </w:r>
    </w:p>
    <w:tbl>
      <w:tblPr>
        <w:tblW w:type="dxa" w:w="9360"/>
        <w:jc w:val="center"/>
        <w:tblLayout w:type="fixed"/>
        <w:tblLook w:firstColumn="1" w:firstRow="1" w:lastColumn="0" w:lastRow="0" w:noHBand="0" w:noVBand="1" w:val="04A0"/>
        <w:tblInd w:type="dxa" w:w="120"/>
      </w:tblPr>
      <w:tblGrid>
        <w:gridCol w:w="1560"/>
        <w:gridCol w:w="1560"/>
        <w:gridCol w:w="1560"/>
        <w:gridCol w:w="1560"/>
        <w:gridCol w:w="1560"/>
        <w:gridCol w:w="1560"/>
      </w:tblGrid>
      <w:tr>
        <w:trPr>
          <w:tblHeader w:val="true"/>
          <w:cantSplit/>
        </w:trPr>
        <w:tc>
          <w:tcPr>
            <w:tcW w:type="dxa" w:w="1560"/>
            <w:vAlign w:val="top"/>
            <w:shd w:fill="EAF1F5"/>
          </w:tcPr>
          <w:p>
            <w:r/>
            <w:r>
              <w:rPr>
                <w:rFonts w:ascii="Arial" w:hAnsi="Arial"/>
                <w:b w:val="0"/>
                <w:i w:val="0"/>
                <w:color w:val="183752"/>
                <w:sz w:val="16"/>
              </w:rPr>
              <w:t>Case</w:t>
            </w:r>
          </w:p>
        </w:tc>
        <w:tc>
          <w:tcPr>
            <w:tcW w:type="dxa" w:w="1560"/>
            <w:vAlign w:val="top"/>
            <w:shd w:fill="EAF1F5"/>
          </w:tcPr>
          <w:p>
            <w:r/>
            <w:r>
              <w:rPr>
                <w:rFonts w:ascii="Arial" w:hAnsi="Arial"/>
                <w:b w:val="0"/>
                <w:i w:val="0"/>
                <w:color w:val="183752"/>
                <w:sz w:val="16"/>
              </w:rPr>
              <w:t>Period/domain</w:t>
            </w:r>
          </w:p>
        </w:tc>
        <w:tc>
          <w:tcPr>
            <w:tcW w:type="dxa" w:w="1560"/>
            <w:vAlign w:val="top"/>
            <w:shd w:fill="EAF1F5"/>
          </w:tcPr>
          <w:p>
            <w:r/>
            <w:r>
              <w:rPr>
                <w:rFonts w:ascii="Arial" w:hAnsi="Arial"/>
                <w:b w:val="0"/>
                <w:i w:val="0"/>
                <w:color w:val="183752"/>
                <w:sz w:val="16"/>
              </w:rPr>
              <w:t>Governing problem and action family</w:t>
            </w:r>
          </w:p>
        </w:tc>
        <w:tc>
          <w:tcPr>
            <w:tcW w:type="dxa" w:w="1560"/>
            <w:vAlign w:val="top"/>
            <w:shd w:fill="EAF1F5"/>
          </w:tcPr>
          <w:p>
            <w:r/>
            <w:r>
              <w:rPr>
                <w:rFonts w:ascii="Arial" w:hAnsi="Arial"/>
                <w:b w:val="0"/>
                <w:i w:val="0"/>
                <w:color w:val="183752"/>
                <w:sz w:val="16"/>
              </w:rPr>
              <w:t>Principal institutions</w:t>
            </w:r>
          </w:p>
        </w:tc>
        <w:tc>
          <w:tcPr>
            <w:tcW w:type="dxa" w:w="1560"/>
            <w:vAlign w:val="top"/>
            <w:shd w:fill="EAF1F5"/>
          </w:tcPr>
          <w:p>
            <w:r/>
            <w:r>
              <w:rPr>
                <w:rFonts w:ascii="Arial" w:hAnsi="Arial"/>
                <w:b w:val="0"/>
                <w:i w:val="0"/>
                <w:color w:val="183752"/>
                <w:sz w:val="16"/>
              </w:rPr>
              <w:t>Outcome confidence</w:t>
            </w:r>
          </w:p>
        </w:tc>
        <w:tc>
          <w:tcPr>
            <w:tcW w:type="dxa" w:w="1560"/>
            <w:vAlign w:val="top"/>
            <w:shd w:fill="EAF1F5"/>
          </w:tcPr>
          <w:p>
            <w:r/>
            <w:r>
              <w:rPr>
                <w:rFonts w:ascii="Arial" w:hAnsi="Arial"/>
                <w:b w:val="0"/>
                <w:i w:val="0"/>
                <w:color w:val="183752"/>
                <w:sz w:val="16"/>
              </w:rPr>
              <w:t>Sovereign relevance</w:t>
            </w:r>
          </w:p>
        </w:tc>
      </w:tr>
      <w:tr>
        <w:trPr>
          <w:cantSplit/>
        </w:trPr>
        <w:tc>
          <w:tcPr>
            <w:tcW w:type="dxa" w:w="1560"/>
            <w:vAlign w:val="top"/>
          </w:tcPr>
          <w:p>
            <w:r/>
            <w:r>
              <w:rPr>
                <w:rFonts w:ascii="Arial" w:hAnsi="Arial"/>
                <w:b w:val="0"/>
                <w:i w:val="0"/>
                <w:color w:val="1E242A"/>
                <w:sz w:val="16"/>
              </w:rPr>
              <w:t>Real Plan</w:t>
            </w:r>
          </w:p>
        </w:tc>
        <w:tc>
          <w:tcPr>
            <w:tcW w:type="dxa" w:w="1560"/>
            <w:vAlign w:val="top"/>
          </w:tcPr>
          <w:p>
            <w:r/>
            <w:r>
              <w:rPr>
                <w:rFonts w:ascii="Arial" w:hAnsi="Arial"/>
                <w:b w:val="0"/>
                <w:i w:val="0"/>
                <w:color w:val="1E242A"/>
                <w:sz w:val="16"/>
              </w:rPr>
              <w:t>1993–99; macro</w:t>
            </w:r>
          </w:p>
        </w:tc>
        <w:tc>
          <w:tcPr>
            <w:tcW w:type="dxa" w:w="1560"/>
            <w:vAlign w:val="top"/>
          </w:tcPr>
          <w:p>
            <w:r/>
            <w:r>
              <w:rPr>
                <w:rFonts w:ascii="Arial" w:hAnsi="Arial"/>
                <w:b w:val="0"/>
                <w:i w:val="0"/>
                <w:color w:val="1E242A"/>
                <w:sz w:val="16"/>
              </w:rPr>
              <w:t>Chronic inflation; fiscal bridge, URV, currency and later regime</w:t>
            </w:r>
          </w:p>
        </w:tc>
        <w:tc>
          <w:tcPr>
            <w:tcW w:type="dxa" w:w="1560"/>
            <w:vAlign w:val="top"/>
          </w:tcPr>
          <w:p>
            <w:r/>
            <w:r>
              <w:rPr>
                <w:rFonts w:ascii="Arial" w:hAnsi="Arial"/>
                <w:b w:val="0"/>
                <w:i w:val="0"/>
                <w:color w:val="1E242A"/>
                <w:sz w:val="16"/>
              </w:rPr>
              <w:t>Presidency, Finance, BCB, Congress, Casa da Moeda</w:t>
            </w:r>
          </w:p>
        </w:tc>
        <w:tc>
          <w:tcPr>
            <w:tcW w:type="dxa" w:w="1560"/>
            <w:vAlign w:val="top"/>
          </w:tcPr>
          <w:p>
            <w:r/>
            <w:r>
              <w:rPr>
                <w:rFonts w:ascii="Arial" w:hAnsi="Arial"/>
                <w:b w:val="0"/>
                <w:i w:val="0"/>
                <w:color w:val="1E242A"/>
                <w:sz w:val="16"/>
              </w:rPr>
              <w:t>High/Moderate</w:t>
            </w:r>
          </w:p>
        </w:tc>
        <w:tc>
          <w:tcPr>
            <w:tcW w:type="dxa" w:w="1560"/>
            <w:vAlign w:val="top"/>
          </w:tcPr>
          <w:p>
            <w:r/>
            <w:r>
              <w:rPr>
                <w:rFonts w:ascii="Arial" w:hAnsi="Arial"/>
                <w:b w:val="0"/>
                <w:i w:val="0"/>
                <w:color w:val="1E242A"/>
                <w:sz w:val="16"/>
              </w:rPr>
              <w:t>Sequencing, credibility and logistics</w:t>
            </w:r>
          </w:p>
        </w:tc>
      </w:tr>
      <w:tr>
        <w:trPr>
          <w:cantSplit/>
        </w:trPr>
        <w:tc>
          <w:tcPr>
            <w:tcW w:type="dxa" w:w="1560"/>
            <w:vAlign w:val="top"/>
          </w:tcPr>
          <w:p>
            <w:r/>
            <w:r>
              <w:rPr>
                <w:rFonts w:ascii="Arial" w:hAnsi="Arial"/>
                <w:b w:val="0"/>
                <w:i w:val="0"/>
                <w:color w:val="1E242A"/>
                <w:sz w:val="16"/>
              </w:rPr>
              <w:t>LRF and fiscal-rule succession</w:t>
            </w:r>
          </w:p>
        </w:tc>
        <w:tc>
          <w:tcPr>
            <w:tcW w:type="dxa" w:w="1560"/>
            <w:vAlign w:val="top"/>
          </w:tcPr>
          <w:p>
            <w:r/>
            <w:r>
              <w:rPr>
                <w:rFonts w:ascii="Arial" w:hAnsi="Arial"/>
                <w:b w:val="0"/>
                <w:i w:val="0"/>
                <w:color w:val="1E242A"/>
                <w:sz w:val="16"/>
              </w:rPr>
              <w:t>2000–26; fiscal/federal</w:t>
            </w:r>
          </w:p>
        </w:tc>
        <w:tc>
          <w:tcPr>
            <w:tcW w:type="dxa" w:w="1560"/>
            <w:vAlign w:val="top"/>
          </w:tcPr>
          <w:p>
            <w:r/>
            <w:r>
              <w:rPr>
                <w:rFonts w:ascii="Arial" w:hAnsi="Arial"/>
                <w:b w:val="0"/>
                <w:i w:val="0"/>
                <w:color w:val="1E242A"/>
                <w:sz w:val="16"/>
              </w:rPr>
              <w:t>Soft constraints; complementary law, ceiling, replacement rule</w:t>
            </w:r>
          </w:p>
        </w:tc>
        <w:tc>
          <w:tcPr>
            <w:tcW w:type="dxa" w:w="1560"/>
            <w:vAlign w:val="top"/>
          </w:tcPr>
          <w:p>
            <w:r/>
            <w:r>
              <w:rPr>
                <w:rFonts w:ascii="Arial" w:hAnsi="Arial"/>
                <w:b w:val="0"/>
                <w:i w:val="0"/>
                <w:color w:val="1E242A"/>
                <w:sz w:val="16"/>
              </w:rPr>
              <w:t>Congress, presidency, Treasury, TCU, subnational governments</w:t>
            </w:r>
          </w:p>
        </w:tc>
        <w:tc>
          <w:tcPr>
            <w:tcW w:type="dxa" w:w="1560"/>
            <w:vAlign w:val="top"/>
          </w:tcPr>
          <w:p>
            <w:r/>
            <w:r>
              <w:rPr>
                <w:rFonts w:ascii="Arial" w:hAnsi="Arial"/>
                <w:b w:val="0"/>
                <w:i w:val="0"/>
                <w:color w:val="1E242A"/>
                <w:sz w:val="16"/>
              </w:rPr>
              <w:t>High on rules; contested effects</w:t>
            </w:r>
          </w:p>
        </w:tc>
        <w:tc>
          <w:tcPr>
            <w:tcW w:type="dxa" w:w="1560"/>
            <w:vAlign w:val="top"/>
          </w:tcPr>
          <w:p>
            <w:r/>
            <w:r>
              <w:rPr>
                <w:rFonts w:ascii="Arial" w:hAnsi="Arial"/>
                <w:b w:val="0"/>
                <w:i w:val="0"/>
                <w:color w:val="1E242A"/>
                <w:sz w:val="16"/>
              </w:rPr>
              <w:t>Rule durability, exceptions and iteration</w:t>
            </w:r>
          </w:p>
        </w:tc>
      </w:tr>
      <w:tr>
        <w:trPr>
          <w:cantSplit/>
        </w:trPr>
        <w:tc>
          <w:tcPr>
            <w:tcW w:type="dxa" w:w="1560"/>
            <w:vAlign w:val="top"/>
          </w:tcPr>
          <w:p>
            <w:r/>
            <w:r>
              <w:rPr>
                <w:rFonts w:ascii="Arial" w:hAnsi="Arial"/>
                <w:b w:val="0"/>
                <w:i w:val="0"/>
                <w:color w:val="1E242A"/>
                <w:sz w:val="16"/>
              </w:rPr>
              <w:t>Pension reform sequence</w:t>
            </w:r>
          </w:p>
        </w:tc>
        <w:tc>
          <w:tcPr>
            <w:tcW w:type="dxa" w:w="1560"/>
            <w:vAlign w:val="top"/>
          </w:tcPr>
          <w:p>
            <w:r/>
            <w:r>
              <w:rPr>
                <w:rFonts w:ascii="Arial" w:hAnsi="Arial"/>
                <w:b w:val="0"/>
                <w:i w:val="0"/>
                <w:color w:val="1E242A"/>
                <w:sz w:val="16"/>
              </w:rPr>
              <w:t>1995–2019; social/fiscal</w:t>
            </w:r>
          </w:p>
        </w:tc>
        <w:tc>
          <w:tcPr>
            <w:tcW w:type="dxa" w:w="1560"/>
            <w:vAlign w:val="top"/>
          </w:tcPr>
          <w:p>
            <w:r/>
            <w:r>
              <w:rPr>
                <w:rFonts w:ascii="Arial" w:hAnsi="Arial"/>
                <w:b w:val="0"/>
                <w:i w:val="0"/>
                <w:color w:val="1E242A"/>
                <w:sz w:val="16"/>
              </w:rPr>
              <w:t>Long-run liabilities; constitutional reform</w:t>
            </w:r>
          </w:p>
        </w:tc>
        <w:tc>
          <w:tcPr>
            <w:tcW w:type="dxa" w:w="1560"/>
            <w:vAlign w:val="top"/>
          </w:tcPr>
          <w:p>
            <w:r/>
            <w:r>
              <w:rPr>
                <w:rFonts w:ascii="Arial" w:hAnsi="Arial"/>
                <w:b w:val="0"/>
                <w:i w:val="0"/>
                <w:color w:val="1E242A"/>
                <w:sz w:val="16"/>
              </w:rPr>
              <w:t>Presidency, party leaders, both houses, governors</w:t>
            </w:r>
          </w:p>
        </w:tc>
        <w:tc>
          <w:tcPr>
            <w:tcW w:type="dxa" w:w="1560"/>
            <w:vAlign w:val="top"/>
          </w:tcPr>
          <w:p>
            <w:r/>
            <w:r>
              <w:rPr>
                <w:rFonts w:ascii="Arial" w:hAnsi="Arial"/>
                <w:b w:val="0"/>
                <w:i w:val="0"/>
                <w:color w:val="1E242A"/>
                <w:sz w:val="16"/>
              </w:rPr>
              <w:t>High</w:t>
            </w:r>
          </w:p>
        </w:tc>
        <w:tc>
          <w:tcPr>
            <w:tcW w:type="dxa" w:w="1560"/>
            <w:vAlign w:val="top"/>
          </w:tcPr>
          <w:p>
            <w:r/>
            <w:r>
              <w:rPr>
                <w:rFonts w:ascii="Arial" w:hAnsi="Arial"/>
                <w:b w:val="0"/>
                <w:i w:val="0"/>
                <w:color w:val="1E242A"/>
                <w:sz w:val="16"/>
              </w:rPr>
              <w:t>Initial proposal versus enacted bargain</w:t>
            </w:r>
          </w:p>
        </w:tc>
      </w:tr>
      <w:tr>
        <w:trPr>
          <w:cantSplit/>
        </w:trPr>
        <w:tc>
          <w:tcPr>
            <w:tcW w:type="dxa" w:w="1560"/>
            <w:vAlign w:val="top"/>
          </w:tcPr>
          <w:p>
            <w:r/>
            <w:r>
              <w:rPr>
                <w:rFonts w:ascii="Arial" w:hAnsi="Arial"/>
                <w:b w:val="0"/>
                <w:i w:val="0"/>
                <w:color w:val="1E242A"/>
                <w:sz w:val="16"/>
              </w:rPr>
              <w:t>Consumption-tax reform</w:t>
            </w:r>
          </w:p>
        </w:tc>
        <w:tc>
          <w:tcPr>
            <w:tcW w:type="dxa" w:w="1560"/>
            <w:vAlign w:val="top"/>
          </w:tcPr>
          <w:p>
            <w:r/>
            <w:r>
              <w:rPr>
                <w:rFonts w:ascii="Arial" w:hAnsi="Arial"/>
                <w:b w:val="0"/>
                <w:i w:val="0"/>
                <w:color w:val="1E242A"/>
                <w:sz w:val="16"/>
              </w:rPr>
              <w:t>1990s–2033 transition; tax/federal</w:t>
            </w:r>
          </w:p>
        </w:tc>
        <w:tc>
          <w:tcPr>
            <w:tcW w:type="dxa" w:w="1560"/>
            <w:vAlign w:val="top"/>
          </w:tcPr>
          <w:p>
            <w:r/>
            <w:r>
              <w:rPr>
                <w:rFonts w:ascii="Arial" w:hAnsi="Arial"/>
                <w:b w:val="0"/>
                <w:i w:val="0"/>
                <w:color w:val="1E242A"/>
                <w:sz w:val="16"/>
              </w:rPr>
              <w:t>Fragmentation; EC 132 and LC 214</w:t>
            </w:r>
          </w:p>
        </w:tc>
        <w:tc>
          <w:tcPr>
            <w:tcW w:type="dxa" w:w="1560"/>
            <w:vAlign w:val="top"/>
          </w:tcPr>
          <w:p>
            <w:r/>
            <w:r>
              <w:rPr>
                <w:rFonts w:ascii="Arial" w:hAnsi="Arial"/>
                <w:b w:val="0"/>
                <w:i w:val="0"/>
                <w:color w:val="1E242A"/>
                <w:sz w:val="16"/>
              </w:rPr>
              <w:t>Congress, Finance, governors, mayors, sectors</w:t>
            </w:r>
          </w:p>
        </w:tc>
        <w:tc>
          <w:tcPr>
            <w:tcW w:type="dxa" w:w="1560"/>
            <w:vAlign w:val="top"/>
          </w:tcPr>
          <w:p>
            <w:r/>
            <w:r>
              <w:rPr>
                <w:rFonts w:ascii="Arial" w:hAnsi="Arial"/>
                <w:b w:val="0"/>
                <w:i w:val="0"/>
                <w:color w:val="1E242A"/>
                <w:sz w:val="16"/>
              </w:rPr>
              <w:t>High on enactment; immature outcome</w:t>
            </w:r>
          </w:p>
        </w:tc>
        <w:tc>
          <w:tcPr>
            <w:tcW w:type="dxa" w:w="1560"/>
            <w:vAlign w:val="top"/>
          </w:tcPr>
          <w:p>
            <w:r/>
            <w:r>
              <w:rPr>
                <w:rFonts w:ascii="Arial" w:hAnsi="Arial"/>
                <w:b w:val="0"/>
                <w:i w:val="0"/>
                <w:color w:val="1E242A"/>
                <w:sz w:val="16"/>
              </w:rPr>
              <w:t>Congress-led reform and long implementation</w:t>
            </w:r>
          </w:p>
        </w:tc>
      </w:tr>
      <w:tr>
        <w:trPr>
          <w:cantSplit/>
        </w:trPr>
        <w:tc>
          <w:tcPr>
            <w:tcW w:type="dxa" w:w="1560"/>
            <w:vAlign w:val="top"/>
          </w:tcPr>
          <w:p>
            <w:r/>
            <w:r>
              <w:rPr>
                <w:rFonts w:ascii="Arial" w:hAnsi="Arial"/>
                <w:b w:val="0"/>
                <w:i w:val="0"/>
                <w:color w:val="1E242A"/>
                <w:sz w:val="16"/>
              </w:rPr>
              <w:t>Bolsa Família continuity</w:t>
            </w:r>
          </w:p>
        </w:tc>
        <w:tc>
          <w:tcPr>
            <w:tcW w:type="dxa" w:w="1560"/>
            <w:vAlign w:val="top"/>
          </w:tcPr>
          <w:p>
            <w:r/>
            <w:r>
              <w:rPr>
                <w:rFonts w:ascii="Arial" w:hAnsi="Arial"/>
                <w:b w:val="0"/>
                <w:i w:val="0"/>
                <w:color w:val="1E242A"/>
                <w:sz w:val="16"/>
              </w:rPr>
              <w:t>2003–26; social</w:t>
            </w:r>
          </w:p>
        </w:tc>
        <w:tc>
          <w:tcPr>
            <w:tcW w:type="dxa" w:w="1560"/>
            <w:vAlign w:val="top"/>
          </w:tcPr>
          <w:p>
            <w:r/>
            <w:r>
              <w:rPr>
                <w:rFonts w:ascii="Arial" w:hAnsi="Arial"/>
                <w:b w:val="0"/>
                <w:i w:val="0"/>
                <w:color w:val="1E242A"/>
                <w:sz w:val="16"/>
              </w:rPr>
              <w:t>Poverty/fragmented transfers; registry-based cash programme</w:t>
            </w:r>
          </w:p>
        </w:tc>
        <w:tc>
          <w:tcPr>
            <w:tcW w:type="dxa" w:w="1560"/>
            <w:vAlign w:val="top"/>
          </w:tcPr>
          <w:p>
            <w:r/>
            <w:r>
              <w:rPr>
                <w:rFonts w:ascii="Arial" w:hAnsi="Arial"/>
                <w:b w:val="0"/>
                <w:i w:val="0"/>
                <w:color w:val="1E242A"/>
                <w:sz w:val="16"/>
              </w:rPr>
              <w:t>Union, municipalities, Caixa, health/education systems</w:t>
            </w:r>
          </w:p>
        </w:tc>
        <w:tc>
          <w:tcPr>
            <w:tcW w:type="dxa" w:w="1560"/>
            <w:vAlign w:val="top"/>
          </w:tcPr>
          <w:p>
            <w:r/>
            <w:r>
              <w:rPr>
                <w:rFonts w:ascii="Arial" w:hAnsi="Arial"/>
                <w:b w:val="0"/>
                <w:i w:val="0"/>
                <w:color w:val="1E242A"/>
                <w:sz w:val="16"/>
              </w:rPr>
              <w:t>High</w:t>
            </w:r>
          </w:p>
        </w:tc>
        <w:tc>
          <w:tcPr>
            <w:tcW w:type="dxa" w:w="1560"/>
            <w:vAlign w:val="top"/>
          </w:tcPr>
          <w:p>
            <w:r/>
            <w:r>
              <w:rPr>
                <w:rFonts w:ascii="Arial" w:hAnsi="Arial"/>
                <w:b w:val="0"/>
                <w:i w:val="0"/>
                <w:color w:val="1E242A"/>
                <w:sz w:val="16"/>
              </w:rPr>
              <w:t>Delivery capacity and constituency durability</w:t>
            </w:r>
          </w:p>
        </w:tc>
      </w:tr>
      <w:tr>
        <w:trPr>
          <w:cantSplit/>
        </w:trPr>
        <w:tc>
          <w:tcPr>
            <w:tcW w:type="dxa" w:w="1560"/>
            <w:vAlign w:val="top"/>
          </w:tcPr>
          <w:p>
            <w:r/>
            <w:r>
              <w:rPr>
                <w:rFonts w:ascii="Arial" w:hAnsi="Arial"/>
                <w:b w:val="0"/>
                <w:i w:val="0"/>
                <w:color w:val="1E242A"/>
                <w:sz w:val="16"/>
              </w:rPr>
              <w:t>COVID emergency aid/federalism</w:t>
            </w:r>
          </w:p>
        </w:tc>
        <w:tc>
          <w:tcPr>
            <w:tcW w:type="dxa" w:w="1560"/>
            <w:vAlign w:val="top"/>
          </w:tcPr>
          <w:p>
            <w:r/>
            <w:r>
              <w:rPr>
                <w:rFonts w:ascii="Arial" w:hAnsi="Arial"/>
                <w:b w:val="0"/>
                <w:i w:val="0"/>
                <w:color w:val="1E242A"/>
                <w:sz w:val="16"/>
              </w:rPr>
              <w:t>2020–21; crisis</w:t>
            </w:r>
          </w:p>
        </w:tc>
        <w:tc>
          <w:tcPr>
            <w:tcW w:type="dxa" w:w="1560"/>
            <w:vAlign w:val="top"/>
          </w:tcPr>
          <w:p>
            <w:r/>
            <w:r>
              <w:rPr>
                <w:rFonts w:ascii="Arial" w:hAnsi="Arial"/>
                <w:b w:val="0"/>
                <w:i w:val="0"/>
                <w:color w:val="1E242A"/>
                <w:sz w:val="16"/>
              </w:rPr>
              <w:t>Income/health shock; congressional aid and concurrent health action</w:t>
            </w:r>
          </w:p>
        </w:tc>
        <w:tc>
          <w:tcPr>
            <w:tcW w:type="dxa" w:w="1560"/>
            <w:vAlign w:val="top"/>
          </w:tcPr>
          <w:p>
            <w:r/>
            <w:r>
              <w:rPr>
                <w:rFonts w:ascii="Arial" w:hAnsi="Arial"/>
                <w:b w:val="0"/>
                <w:i w:val="0"/>
                <w:color w:val="1E242A"/>
                <w:sz w:val="16"/>
              </w:rPr>
              <w:t>Congress, presidency, Caixa, states/municipalities, STF</w:t>
            </w:r>
          </w:p>
        </w:tc>
        <w:tc>
          <w:tcPr>
            <w:tcW w:type="dxa" w:w="1560"/>
            <w:vAlign w:val="top"/>
          </w:tcPr>
          <w:p>
            <w:r/>
            <w:r>
              <w:rPr>
                <w:rFonts w:ascii="Arial" w:hAnsi="Arial"/>
                <w:b w:val="0"/>
                <w:i w:val="0"/>
                <w:color w:val="1E242A"/>
                <w:sz w:val="16"/>
              </w:rPr>
              <w:t>High institutionally</w:t>
            </w:r>
          </w:p>
        </w:tc>
        <w:tc>
          <w:tcPr>
            <w:tcW w:type="dxa" w:w="1560"/>
            <w:vAlign w:val="top"/>
          </w:tcPr>
          <w:p>
            <w:r/>
            <w:r>
              <w:rPr>
                <w:rFonts w:ascii="Arial" w:hAnsi="Arial"/>
                <w:b w:val="0"/>
                <w:i w:val="0"/>
                <w:color w:val="1E242A"/>
                <w:sz w:val="16"/>
              </w:rPr>
              <w:t>Autonomous actors and emergency delivery</w:t>
            </w:r>
          </w:p>
        </w:tc>
      </w:tr>
      <w:tr>
        <w:trPr>
          <w:cantSplit/>
        </w:trPr>
        <w:tc>
          <w:tcPr>
            <w:tcW w:type="dxa" w:w="1560"/>
            <w:vAlign w:val="top"/>
          </w:tcPr>
          <w:p>
            <w:r/>
            <w:r>
              <w:rPr>
                <w:rFonts w:ascii="Arial" w:hAnsi="Arial"/>
                <w:b w:val="0"/>
                <w:i w:val="0"/>
                <w:color w:val="1E242A"/>
                <w:sz w:val="16"/>
              </w:rPr>
              <w:t>PPCDAm cycles</w:t>
            </w:r>
          </w:p>
        </w:tc>
        <w:tc>
          <w:tcPr>
            <w:tcW w:type="dxa" w:w="1560"/>
            <w:vAlign w:val="top"/>
          </w:tcPr>
          <w:p>
            <w:r/>
            <w:r>
              <w:rPr>
                <w:rFonts w:ascii="Arial" w:hAnsi="Arial"/>
                <w:b w:val="0"/>
                <w:i w:val="0"/>
                <w:color w:val="1E242A"/>
                <w:sz w:val="16"/>
              </w:rPr>
              <w:t>2004–26; environment</w:t>
            </w:r>
          </w:p>
        </w:tc>
        <w:tc>
          <w:tcPr>
            <w:tcW w:type="dxa" w:w="1560"/>
            <w:vAlign w:val="top"/>
          </w:tcPr>
          <w:p>
            <w:r/>
            <w:r>
              <w:rPr>
                <w:rFonts w:ascii="Arial" w:hAnsi="Arial"/>
                <w:b w:val="0"/>
                <w:i w:val="0"/>
                <w:color w:val="1E242A"/>
                <w:sz w:val="16"/>
              </w:rPr>
              <w:t>Deforestation; monitoring/enforcement/credit coordination</w:t>
            </w:r>
          </w:p>
        </w:tc>
        <w:tc>
          <w:tcPr>
            <w:tcW w:type="dxa" w:w="1560"/>
            <w:vAlign w:val="top"/>
          </w:tcPr>
          <w:p>
            <w:r/>
            <w:r>
              <w:rPr>
                <w:rFonts w:ascii="Arial" w:hAnsi="Arial"/>
                <w:b w:val="0"/>
                <w:i w:val="0"/>
                <w:color w:val="1E242A"/>
                <w:sz w:val="16"/>
              </w:rPr>
              <w:t>Presidency, MMA, INPE, IBAMA, states, funds/markets</w:t>
            </w:r>
          </w:p>
        </w:tc>
        <w:tc>
          <w:tcPr>
            <w:tcW w:type="dxa" w:w="1560"/>
            <w:vAlign w:val="top"/>
          </w:tcPr>
          <w:p>
            <w:r/>
            <w:r>
              <w:rPr>
                <w:rFonts w:ascii="Arial" w:hAnsi="Arial"/>
                <w:b w:val="0"/>
                <w:i w:val="0"/>
                <w:color w:val="1E242A"/>
                <w:sz w:val="16"/>
              </w:rPr>
              <w:t>Moderate/High</w:t>
            </w:r>
          </w:p>
        </w:tc>
        <w:tc>
          <w:tcPr>
            <w:tcW w:type="dxa" w:w="1560"/>
            <w:vAlign w:val="top"/>
          </w:tcPr>
          <w:p>
            <w:r/>
            <w:r>
              <w:rPr>
                <w:rFonts w:ascii="Arial" w:hAnsi="Arial"/>
                <w:b w:val="0"/>
                <w:i w:val="0"/>
                <w:color w:val="1E242A"/>
                <w:sz w:val="16"/>
              </w:rPr>
              <w:t>Administrative capacity and international credibility</w:t>
            </w:r>
          </w:p>
        </w:tc>
      </w:tr>
      <w:tr>
        <w:trPr>
          <w:cantSplit/>
        </w:trPr>
        <w:tc>
          <w:tcPr>
            <w:tcW w:type="dxa" w:w="1560"/>
            <w:vAlign w:val="top"/>
          </w:tcPr>
          <w:p>
            <w:r/>
            <w:r>
              <w:rPr>
                <w:rFonts w:ascii="Arial" w:hAnsi="Arial"/>
                <w:b w:val="0"/>
                <w:i w:val="0"/>
                <w:color w:val="1E242A"/>
                <w:sz w:val="16"/>
              </w:rPr>
              <w:t>Rio intervention</w:t>
            </w:r>
          </w:p>
        </w:tc>
        <w:tc>
          <w:tcPr>
            <w:tcW w:type="dxa" w:w="1560"/>
            <w:vAlign w:val="top"/>
          </w:tcPr>
          <w:p>
            <w:r/>
            <w:r>
              <w:rPr>
                <w:rFonts w:ascii="Arial" w:hAnsi="Arial"/>
                <w:b w:val="0"/>
                <w:i w:val="0"/>
                <w:color w:val="1E242A"/>
                <w:sz w:val="16"/>
              </w:rPr>
              <w:t>2018; security/federal</w:t>
            </w:r>
          </w:p>
        </w:tc>
        <w:tc>
          <w:tcPr>
            <w:tcW w:type="dxa" w:w="1560"/>
            <w:vAlign w:val="top"/>
          </w:tcPr>
          <w:p>
            <w:r/>
            <w:r>
              <w:rPr>
                <w:rFonts w:ascii="Arial" w:hAnsi="Arial"/>
                <w:b w:val="0"/>
                <w:i w:val="0"/>
                <w:color w:val="1E242A"/>
                <w:sz w:val="16"/>
              </w:rPr>
              <w:t>Acute security crisis; federal intervention</w:t>
            </w:r>
          </w:p>
        </w:tc>
        <w:tc>
          <w:tcPr>
            <w:tcW w:type="dxa" w:w="1560"/>
            <w:vAlign w:val="top"/>
          </w:tcPr>
          <w:p>
            <w:r/>
            <w:r>
              <w:rPr>
                <w:rFonts w:ascii="Arial" w:hAnsi="Arial"/>
                <w:b w:val="0"/>
                <w:i w:val="0"/>
                <w:color w:val="1E242A"/>
                <w:sz w:val="16"/>
              </w:rPr>
              <w:t>Presidency, Congress, Armed Forces, Rio security bodies</w:t>
            </w:r>
          </w:p>
        </w:tc>
        <w:tc>
          <w:tcPr>
            <w:tcW w:type="dxa" w:w="1560"/>
            <w:vAlign w:val="top"/>
          </w:tcPr>
          <w:p>
            <w:r/>
            <w:r>
              <w:rPr>
                <w:rFonts w:ascii="Arial" w:hAnsi="Arial"/>
                <w:b w:val="0"/>
                <w:i w:val="0"/>
                <w:color w:val="1E242A"/>
                <w:sz w:val="16"/>
              </w:rPr>
              <w:t>High route; Low/Moderate outcome</w:t>
            </w:r>
          </w:p>
        </w:tc>
        <w:tc>
          <w:tcPr>
            <w:tcW w:type="dxa" w:w="1560"/>
            <w:vAlign w:val="top"/>
          </w:tcPr>
          <w:p>
            <w:r/>
            <w:r>
              <w:rPr>
                <w:rFonts w:ascii="Arial" w:hAnsi="Arial"/>
                <w:b w:val="0"/>
                <w:i w:val="0"/>
                <w:color w:val="1E242A"/>
                <w:sz w:val="16"/>
              </w:rPr>
              <w:t>Exceptional authority versus structural limits</w:t>
            </w:r>
          </w:p>
        </w:tc>
      </w:tr>
      <w:tr>
        <w:trPr>
          <w:cantSplit/>
        </w:trPr>
        <w:tc>
          <w:tcPr>
            <w:tcW w:type="dxa" w:w="1560"/>
            <w:vAlign w:val="top"/>
          </w:tcPr>
          <w:p>
            <w:r/>
            <w:r>
              <w:rPr>
                <w:rFonts w:ascii="Arial" w:hAnsi="Arial"/>
                <w:b w:val="0"/>
                <w:i w:val="0"/>
                <w:color w:val="1E242A"/>
                <w:sz w:val="16"/>
              </w:rPr>
              <w:t>Collor/Dilma/Temer survival set</w:t>
            </w:r>
          </w:p>
        </w:tc>
        <w:tc>
          <w:tcPr>
            <w:tcW w:type="dxa" w:w="1560"/>
            <w:vAlign w:val="top"/>
          </w:tcPr>
          <w:p>
            <w:r/>
            <w:r>
              <w:rPr>
                <w:rFonts w:ascii="Arial" w:hAnsi="Arial"/>
                <w:b w:val="0"/>
                <w:i w:val="0"/>
                <w:color w:val="1E242A"/>
                <w:sz w:val="16"/>
              </w:rPr>
              <w:t>1992, 2016–17; political</w:t>
            </w:r>
          </w:p>
        </w:tc>
        <w:tc>
          <w:tcPr>
            <w:tcW w:type="dxa" w:w="1560"/>
            <w:vAlign w:val="top"/>
          </w:tcPr>
          <w:p>
            <w:r/>
            <w:r>
              <w:rPr>
                <w:rFonts w:ascii="Arial" w:hAnsi="Arial"/>
                <w:b w:val="0"/>
                <w:i w:val="0"/>
                <w:color w:val="1E242A"/>
                <w:sz w:val="16"/>
              </w:rPr>
              <w:t>Presidential legitimacy and allegations; impeachment/authorisation</w:t>
            </w:r>
          </w:p>
        </w:tc>
        <w:tc>
          <w:tcPr>
            <w:tcW w:type="dxa" w:w="1560"/>
            <w:vAlign w:val="top"/>
          </w:tcPr>
          <w:p>
            <w:r/>
            <w:r>
              <w:rPr>
                <w:rFonts w:ascii="Arial" w:hAnsi="Arial"/>
                <w:b w:val="0"/>
                <w:i w:val="0"/>
                <w:color w:val="1E242A"/>
                <w:sz w:val="16"/>
              </w:rPr>
              <w:t>Câmara, Senado, STF/PGR, coalitions, public</w:t>
            </w:r>
          </w:p>
        </w:tc>
        <w:tc>
          <w:tcPr>
            <w:tcW w:type="dxa" w:w="1560"/>
            <w:vAlign w:val="top"/>
          </w:tcPr>
          <w:p>
            <w:r/>
            <w:r>
              <w:rPr>
                <w:rFonts w:ascii="Arial" w:hAnsi="Arial"/>
                <w:b w:val="0"/>
                <w:i w:val="0"/>
                <w:color w:val="1E242A"/>
                <w:sz w:val="16"/>
              </w:rPr>
              <w:t>High route; contested causes</w:t>
            </w:r>
          </w:p>
        </w:tc>
        <w:tc>
          <w:tcPr>
            <w:tcW w:type="dxa" w:w="1560"/>
            <w:vAlign w:val="top"/>
          </w:tcPr>
          <w:p>
            <w:r/>
            <w:r>
              <w:rPr>
                <w:rFonts w:ascii="Arial" w:hAnsi="Arial"/>
                <w:b w:val="0"/>
                <w:i w:val="0"/>
                <w:color w:val="1E242A"/>
                <w:sz w:val="16"/>
              </w:rPr>
              <w:t>Breakdown requires institutional coalition</w:t>
            </w:r>
          </w:p>
        </w:tc>
      </w:tr>
      <w:tr>
        <w:trPr>
          <w:cantSplit/>
        </w:trPr>
        <w:tc>
          <w:tcPr>
            <w:tcW w:type="dxa" w:w="1560"/>
            <w:vAlign w:val="top"/>
          </w:tcPr>
          <w:p>
            <w:r/>
            <w:r>
              <w:rPr>
                <w:rFonts w:ascii="Arial" w:hAnsi="Arial"/>
                <w:b w:val="0"/>
                <w:i w:val="0"/>
                <w:color w:val="1E242A"/>
                <w:sz w:val="16"/>
              </w:rPr>
              <w:t>Lava Jato lifecycle</w:t>
            </w:r>
          </w:p>
        </w:tc>
        <w:tc>
          <w:tcPr>
            <w:tcW w:type="dxa" w:w="1560"/>
            <w:vAlign w:val="top"/>
          </w:tcPr>
          <w:p>
            <w:r/>
            <w:r>
              <w:rPr>
                <w:rFonts w:ascii="Arial" w:hAnsi="Arial"/>
                <w:b w:val="0"/>
                <w:i w:val="0"/>
                <w:color w:val="1E242A"/>
                <w:sz w:val="16"/>
              </w:rPr>
              <w:t>2014–21+; integrity</w:t>
            </w:r>
          </w:p>
        </w:tc>
        <w:tc>
          <w:tcPr>
            <w:tcW w:type="dxa" w:w="1560"/>
            <w:vAlign w:val="top"/>
          </w:tcPr>
          <w:p>
            <w:r/>
            <w:r>
              <w:rPr>
                <w:rFonts w:ascii="Arial" w:hAnsi="Arial"/>
                <w:b w:val="0"/>
                <w:i w:val="0"/>
                <w:color w:val="1E242A"/>
                <w:sz w:val="16"/>
              </w:rPr>
              <w:t>Systemic corruption; investigation, prosecution, later annulment</w:t>
            </w:r>
          </w:p>
        </w:tc>
        <w:tc>
          <w:tcPr>
            <w:tcW w:type="dxa" w:w="1560"/>
            <w:vAlign w:val="top"/>
          </w:tcPr>
          <w:p>
            <w:r/>
            <w:r>
              <w:rPr>
                <w:rFonts w:ascii="Arial" w:hAnsi="Arial"/>
                <w:b w:val="0"/>
                <w:i w:val="0"/>
                <w:color w:val="1E242A"/>
                <w:sz w:val="16"/>
              </w:rPr>
              <w:t>PF, MPF, federal courts, STF, firms</w:t>
            </w:r>
          </w:p>
        </w:tc>
        <w:tc>
          <w:tcPr>
            <w:tcW w:type="dxa" w:w="1560"/>
            <w:vAlign w:val="top"/>
          </w:tcPr>
          <w:p>
            <w:r/>
            <w:r>
              <w:rPr>
                <w:rFonts w:ascii="Arial" w:hAnsi="Arial"/>
                <w:b w:val="0"/>
                <w:i w:val="0"/>
                <w:color w:val="1E242A"/>
                <w:sz w:val="16"/>
              </w:rPr>
              <w:t>High decisions; disputed net effect</w:t>
            </w:r>
          </w:p>
        </w:tc>
        <w:tc>
          <w:tcPr>
            <w:tcW w:type="dxa" w:w="1560"/>
            <w:vAlign w:val="top"/>
          </w:tcPr>
          <w:p>
            <w:r/>
            <w:r>
              <w:rPr>
                <w:rFonts w:ascii="Arial" w:hAnsi="Arial"/>
                <w:b w:val="0"/>
                <w:i w:val="0"/>
                <w:color w:val="1E242A"/>
                <w:sz w:val="16"/>
              </w:rPr>
              <w:t>Autonomy, due process and reversibility</w:t>
            </w:r>
          </w:p>
        </w:tc>
      </w:tr>
      <w:tr>
        <w:trPr>
          <w:cantSplit/>
        </w:trPr>
        <w:tc>
          <w:tcPr>
            <w:tcW w:type="dxa" w:w="1560"/>
            <w:vAlign w:val="top"/>
          </w:tcPr>
          <w:p>
            <w:r/>
            <w:r>
              <w:rPr>
                <w:rFonts w:ascii="Arial" w:hAnsi="Arial"/>
                <w:b w:val="0"/>
                <w:i w:val="0"/>
                <w:color w:val="1E242A"/>
                <w:sz w:val="16"/>
              </w:rPr>
              <w:t>Truckers' strike</w:t>
            </w:r>
          </w:p>
        </w:tc>
        <w:tc>
          <w:tcPr>
            <w:tcW w:type="dxa" w:w="1560"/>
            <w:vAlign w:val="top"/>
          </w:tcPr>
          <w:p>
            <w:r/>
            <w:r>
              <w:rPr>
                <w:rFonts w:ascii="Arial" w:hAnsi="Arial"/>
                <w:b w:val="0"/>
                <w:i w:val="0"/>
                <w:color w:val="1E242A"/>
                <w:sz w:val="16"/>
              </w:rPr>
              <w:t>2018; logistics/energy</w:t>
            </w:r>
          </w:p>
        </w:tc>
        <w:tc>
          <w:tcPr>
            <w:tcW w:type="dxa" w:w="1560"/>
            <w:vAlign w:val="top"/>
          </w:tcPr>
          <w:p>
            <w:r/>
            <w:r>
              <w:rPr>
                <w:rFonts w:ascii="Arial" w:hAnsi="Arial"/>
                <w:b w:val="0"/>
                <w:i w:val="0"/>
                <w:color w:val="1E242A"/>
                <w:sz w:val="16"/>
              </w:rPr>
              <w:t>Diesel shock and stoppage; negotiated subsidy/tax/freight package</w:t>
            </w:r>
          </w:p>
        </w:tc>
        <w:tc>
          <w:tcPr>
            <w:tcW w:type="dxa" w:w="1560"/>
            <w:vAlign w:val="top"/>
          </w:tcPr>
          <w:p>
            <w:r/>
            <w:r>
              <w:rPr>
                <w:rFonts w:ascii="Arial" w:hAnsi="Arial"/>
                <w:b w:val="0"/>
                <w:i w:val="0"/>
                <w:color w:val="1E242A"/>
                <w:sz w:val="16"/>
              </w:rPr>
              <w:t>Presidency, Congress, Petrobras, ANTT, security bodies</w:t>
            </w:r>
          </w:p>
        </w:tc>
        <w:tc>
          <w:tcPr>
            <w:tcW w:type="dxa" w:w="1560"/>
            <w:vAlign w:val="top"/>
          </w:tcPr>
          <w:p>
            <w:r/>
            <w:r>
              <w:rPr>
                <w:rFonts w:ascii="Arial" w:hAnsi="Arial"/>
                <w:b w:val="0"/>
                <w:i w:val="0"/>
                <w:color w:val="1E242A"/>
                <w:sz w:val="16"/>
              </w:rPr>
              <w:t>High sequence</w:t>
            </w:r>
          </w:p>
        </w:tc>
        <w:tc>
          <w:tcPr>
            <w:tcW w:type="dxa" w:w="1560"/>
            <w:vAlign w:val="top"/>
          </w:tcPr>
          <w:p>
            <w:r/>
            <w:r>
              <w:rPr>
                <w:rFonts w:ascii="Arial" w:hAnsi="Arial"/>
                <w:b w:val="0"/>
                <w:i w:val="0"/>
                <w:color w:val="1E242A"/>
                <w:sz w:val="16"/>
              </w:rPr>
              <w:t>Rapid coercion, interdependence and cost shifting</w:t>
            </w:r>
          </w:p>
        </w:tc>
      </w:tr>
      <w:tr>
        <w:trPr>
          <w:cantSplit/>
        </w:trPr>
        <w:tc>
          <w:tcPr>
            <w:tcW w:type="dxa" w:w="1560"/>
            <w:vAlign w:val="top"/>
          </w:tcPr>
          <w:p>
            <w:r/>
            <w:r>
              <w:rPr>
                <w:rFonts w:ascii="Arial" w:hAnsi="Arial"/>
                <w:b w:val="0"/>
                <w:i w:val="0"/>
                <w:color w:val="1E242A"/>
                <w:sz w:val="16"/>
              </w:rPr>
              <w:t>WTO cotton</w:t>
            </w:r>
          </w:p>
        </w:tc>
        <w:tc>
          <w:tcPr>
            <w:tcW w:type="dxa" w:w="1560"/>
            <w:vAlign w:val="top"/>
          </w:tcPr>
          <w:p>
            <w:r/>
            <w:r>
              <w:rPr>
                <w:rFonts w:ascii="Arial" w:hAnsi="Arial"/>
                <w:b w:val="0"/>
                <w:i w:val="0"/>
                <w:color w:val="1E242A"/>
                <w:sz w:val="16"/>
              </w:rPr>
              <w:t>2002–14; foreign/trade</w:t>
            </w:r>
          </w:p>
        </w:tc>
        <w:tc>
          <w:tcPr>
            <w:tcW w:type="dxa" w:w="1560"/>
            <w:vAlign w:val="top"/>
          </w:tcPr>
          <w:p>
            <w:r/>
            <w:r>
              <w:rPr>
                <w:rFonts w:ascii="Arial" w:hAnsi="Arial"/>
                <w:b w:val="0"/>
                <w:i w:val="0"/>
                <w:color w:val="1E242A"/>
                <w:sz w:val="16"/>
              </w:rPr>
              <w:t>Foreign subsidy harm; litigation and credible retaliation</w:t>
            </w:r>
          </w:p>
        </w:tc>
        <w:tc>
          <w:tcPr>
            <w:tcW w:type="dxa" w:w="1560"/>
            <w:vAlign w:val="top"/>
          </w:tcPr>
          <w:p>
            <w:r/>
            <w:r>
              <w:rPr>
                <w:rFonts w:ascii="Arial" w:hAnsi="Arial"/>
                <w:b w:val="0"/>
                <w:i w:val="0"/>
                <w:color w:val="1E242A"/>
                <w:sz w:val="16"/>
              </w:rPr>
              <w:t>MRE, CAMEX, producers, WTO, US government</w:t>
            </w:r>
          </w:p>
        </w:tc>
        <w:tc>
          <w:tcPr>
            <w:tcW w:type="dxa" w:w="1560"/>
            <w:vAlign w:val="top"/>
          </w:tcPr>
          <w:p>
            <w:r/>
            <w:r>
              <w:rPr>
                <w:rFonts w:ascii="Arial" w:hAnsi="Arial"/>
                <w:b w:val="0"/>
                <w:i w:val="0"/>
                <w:color w:val="1E242A"/>
                <w:sz w:val="16"/>
              </w:rPr>
              <w:t>High</w:t>
            </w:r>
          </w:p>
        </w:tc>
        <w:tc>
          <w:tcPr>
            <w:tcW w:type="dxa" w:w="1560"/>
            <w:vAlign w:val="top"/>
          </w:tcPr>
          <w:p>
            <w:r/>
            <w:r>
              <w:rPr>
                <w:rFonts w:ascii="Arial" w:hAnsi="Arial"/>
                <w:b w:val="0"/>
                <w:i w:val="0"/>
                <w:color w:val="1E242A"/>
                <w:sz w:val="16"/>
              </w:rPr>
              <w:t>Counterpart response and specialist capacity</w:t>
            </w:r>
          </w:p>
        </w:tc>
      </w:tr>
    </w:tbl>
    <w:p>
      <w:pPr>
        <w:spacing w:after="40"/>
      </w:pPr>
    </w:p>
    <w:p>
      <w:pPr>
        <w:pStyle w:val="Heading2"/>
      </w:pPr>
      <w:r>
        <w:rPr>
          <w:rFonts w:ascii="Arial" w:hAnsi="Arial"/>
          <w:b w:val="0"/>
          <w:i w:val="0"/>
          <w:color w:val="2C5F80"/>
          <w:sz w:val="27"/>
        </w:rPr>
        <w:t>Tier 2 — valuable</w:t>
      </w:r>
    </w:p>
    <w:p>
      <w:pPr>
        <w:pStyle w:val="ListBullet"/>
        <w:numPr>
          <w:ilvl w:val="0"/>
          <w:numId w:val="2"/>
        </w:numPr>
      </w:pPr>
      <w:r>
        <w:rPr>
          <w:rFonts w:ascii="Arial" w:hAnsi="Arial"/>
          <w:b w:val="0"/>
          <w:i w:val="0"/>
          <w:color w:val="1E242A"/>
          <w:sz w:val="20"/>
        </w:rPr>
        <w:t>1999 macro-regime transition; 2001 electricity rationing; PND/telecoms and Eletrobras capitalisation; BNDES/national champions; PAC and paralysed works; 2013 protests; Mensalão; PCC/prison-transfer adaptation; concessions across governments; 2008 external-shock response; Mercosur continuity; Haiti peacekeeping; STF prison, budget-transparency and environmental interventions.</w:t>
      </w:r>
    </w:p>
    <w:p>
      <w:pPr>
        <w:pStyle w:val="Heading2"/>
      </w:pPr>
      <w:r>
        <w:rPr>
          <w:rFonts w:ascii="Arial" w:hAnsi="Arial"/>
          <w:b w:val="0"/>
          <w:i w:val="0"/>
          <w:color w:val="2C5F80"/>
          <w:sz w:val="27"/>
        </w:rPr>
        <w:t>Tier 3 — contextual</w:t>
      </w:r>
    </w:p>
    <w:p>
      <w:pPr>
        <w:pStyle w:val="ListBullet"/>
        <w:numPr>
          <w:ilvl w:val="0"/>
          <w:numId w:val="2"/>
        </w:numPr>
      </w:pPr>
      <w:r>
        <w:rPr>
          <w:rFonts w:ascii="Arial" w:hAnsi="Arial"/>
          <w:b w:val="0"/>
          <w:i w:val="0"/>
          <w:color w:val="1E242A"/>
          <w:sz w:val="20"/>
        </w:rPr>
        <w:t>Minha Casa Minha Vida's urban-location trade-offs; minimum-wage indexation; ministry-merger and PEC 32 failure; individual veto overrides; local-content policy; Amazon Fund diplomatic cycles; Iran–Turkey declaration; narrower federal–state disaster and fiscal-recovery cases requiring targeted follow-up.</w:t>
      </w:r>
    </w:p>
    <w:p>
      <w:pPr>
        <w:pStyle w:val="Heading1"/>
      </w:pPr>
      <w:r>
        <w:rPr>
          <w:rFonts w:ascii="Arial" w:hAnsi="Arial"/>
          <w:b w:val="0"/>
          <w:i w:val="0"/>
          <w:color w:val="183752"/>
          <w:sz w:val="34"/>
        </w:rPr>
        <w:t>C. Candidate Experience Records</w:t>
      </w:r>
    </w:p>
    <w:p>
      <w:pPr>
        <w:pStyle w:val="Heading2"/>
      </w:pPr>
      <w:r>
        <w:rPr>
          <w:rFonts w:ascii="Arial" w:hAnsi="Arial"/>
          <w:b w:val="0"/>
          <w:i w:val="0"/>
          <w:color w:val="2C5F80"/>
          <w:sz w:val="27"/>
        </w:rPr>
        <w:t>C1. Real Plan stabilisation</w:t>
      </w:r>
    </w:p>
    <w:p>
      <w:r>
        <w:rPr>
          <w:rFonts w:ascii="Arial" w:hAnsi="Arial"/>
          <w:b/>
          <w:i w:val="0"/>
          <w:color w:val="1E242A"/>
          <w:sz w:val="21"/>
        </w:rPr>
        <w:t>Period / government / domain:</w:t>
      </w:r>
      <w:r>
        <w:rPr>
          <w:rFonts w:ascii="Arial" w:hAnsi="Arial"/>
          <w:b w:val="0"/>
          <w:i w:val="0"/>
          <w:color w:val="1E242A"/>
          <w:sz w:val="21"/>
        </w:rPr>
        <w:t xml:space="preserve"> 1993–99; Itamar/FHC; macroeconomic stabilisation.</w:t>
      </w:r>
    </w:p>
    <w:p>
      <w:r>
        <w:rPr>
          <w:rFonts w:ascii="Arial" w:hAnsi="Arial"/>
          <w:b/>
          <w:i w:val="0"/>
          <w:color w:val="1E242A"/>
          <w:sz w:val="21"/>
        </w:rPr>
        <w:t>Problem / initial conditions:</w:t>
      </w:r>
      <w:r>
        <w:rPr>
          <w:rFonts w:ascii="Arial" w:hAnsi="Arial"/>
          <w:b w:val="0"/>
          <w:i w:val="0"/>
          <w:color w:val="1E242A"/>
          <w:sz w:val="21"/>
        </w:rPr>
        <w:t xml:space="preserve"> chronic indexation, failed freezes/confiscation, fiscal rigidity and public distrust.</w:t>
      </w:r>
    </w:p>
    <w:p>
      <w:r>
        <w:rPr>
          <w:rFonts w:ascii="Arial" w:hAnsi="Arial"/>
          <w:b/>
          <w:i w:val="0"/>
          <w:color w:val="1E242A"/>
          <w:sz w:val="21"/>
        </w:rPr>
        <w:t>Objective:</w:t>
      </w:r>
      <w:r>
        <w:rPr>
          <w:rFonts w:ascii="Arial" w:hAnsi="Arial"/>
          <w:b w:val="0"/>
          <w:i w:val="0"/>
          <w:color w:val="1E242A"/>
          <w:sz w:val="21"/>
        </w:rPr>
        <w:t xml:space="preserve"> break inertial inflation without another general freeze.</w:t>
      </w:r>
    </w:p>
    <w:p>
      <w:r>
        <w:rPr>
          <w:rFonts w:ascii="Arial" w:hAnsi="Arial"/>
          <w:b/>
          <w:i w:val="0"/>
          <w:color w:val="1E242A"/>
          <w:sz w:val="21"/>
        </w:rPr>
        <w:t>Action:</w:t>
      </w:r>
      <w:r>
        <w:rPr>
          <w:rFonts w:ascii="Arial" w:hAnsi="Arial"/>
          <w:b w:val="0"/>
          <w:i w:val="0"/>
          <w:color w:val="1E242A"/>
          <w:sz w:val="21"/>
        </w:rPr>
        <w:t xml:space="preserve"> fiscal bridge; URV unit of account; planned conversion to real; monetary/exchange management and communication.</w:t>
      </w:r>
    </w:p>
    <w:p>
      <w:r>
        <w:rPr>
          <w:rFonts w:ascii="Arial" w:hAnsi="Arial"/>
          <w:b/>
          <w:i w:val="0"/>
          <w:color w:val="1E242A"/>
          <w:sz w:val="21"/>
        </w:rPr>
        <w:t>Institutional route:</w:t>
      </w:r>
      <w:r>
        <w:rPr>
          <w:rFonts w:ascii="Arial" w:hAnsi="Arial"/>
          <w:b w:val="0"/>
          <w:i w:val="0"/>
          <w:color w:val="1E242A"/>
          <w:sz w:val="21"/>
        </w:rPr>
        <w:t xml:space="preserve"> Congress plus executive legislation; Finance/BCB/Casa da Moeda execution.</w:t>
      </w:r>
    </w:p>
    <w:p>
      <w:r>
        <w:rPr>
          <w:rFonts w:ascii="Arial" w:hAnsi="Arial"/>
          <w:b/>
          <w:i w:val="0"/>
          <w:color w:val="1E242A"/>
          <w:sz w:val="21"/>
        </w:rPr>
        <w:t>Implementation:</w:t>
      </w:r>
      <w:r>
        <w:rPr>
          <w:rFonts w:ascii="Arial" w:hAnsi="Arial"/>
          <w:b w:val="0"/>
          <w:i w:val="0"/>
          <w:color w:val="1E242A"/>
          <w:sz w:val="21"/>
        </w:rPr>
        <w:t xml:space="preserve"> daily URV parity, staged contract/price conversion, nationwide note logistics.</w:t>
      </w:r>
    </w:p>
    <w:p>
      <w:r>
        <w:rPr>
          <w:rFonts w:ascii="Arial" w:hAnsi="Arial"/>
          <w:b/>
          <w:i w:val="0"/>
          <w:color w:val="1E242A"/>
          <w:sz w:val="21"/>
        </w:rPr>
        <w:t>Other actors:</w:t>
      </w:r>
      <w:r>
        <w:rPr>
          <w:rFonts w:ascii="Arial" w:hAnsi="Arial"/>
          <w:b w:val="0"/>
          <w:i w:val="0"/>
          <w:color w:val="1E242A"/>
          <w:sz w:val="21"/>
        </w:rPr>
        <w:t xml:space="preserve"> firms, workers, banks, Congress and financial markets adapted prices and contracts.</w:t>
      </w:r>
    </w:p>
    <w:p>
      <w:r>
        <w:rPr>
          <w:rFonts w:ascii="Arial" w:hAnsi="Arial"/>
          <w:b/>
          <w:i w:val="0"/>
          <w:color w:val="1E242A"/>
          <w:sz w:val="21"/>
        </w:rPr>
        <w:t>Short-term outcome:</w:t>
      </w:r>
      <w:r>
        <w:rPr>
          <w:rFonts w:ascii="Arial" w:hAnsi="Arial"/>
          <w:b w:val="0"/>
          <w:i w:val="0"/>
          <w:color w:val="1E242A"/>
          <w:sz w:val="21"/>
        </w:rPr>
        <w:t xml:space="preserve"> sharp inflation break and rapid currency acceptance.</w:t>
      </w:r>
    </w:p>
    <w:p>
      <w:r>
        <w:rPr>
          <w:rFonts w:ascii="Arial" w:hAnsi="Arial"/>
          <w:b/>
          <w:i w:val="0"/>
          <w:color w:val="1E242A"/>
          <w:sz w:val="21"/>
        </w:rPr>
        <w:t>Longer outcome:</w:t>
      </w:r>
      <w:r>
        <w:rPr>
          <w:rFonts w:ascii="Arial" w:hAnsi="Arial"/>
          <w:b w:val="0"/>
          <w:i w:val="0"/>
          <w:color w:val="1E242A"/>
          <w:sz w:val="21"/>
        </w:rPr>
        <w:t xml:space="preserve"> durable nominal anchor, later fiscal/banking reforms and 1999 macro-regime change.</w:t>
      </w:r>
    </w:p>
    <w:p>
      <w:r>
        <w:rPr>
          <w:rFonts w:ascii="Arial" w:hAnsi="Arial"/>
          <w:b/>
          <w:i w:val="0"/>
          <w:color w:val="1E242A"/>
          <w:sz w:val="21"/>
        </w:rPr>
        <w:t>Unintended consequences:</w:t>
      </w:r>
      <w:r>
        <w:rPr>
          <w:rFonts w:ascii="Arial" w:hAnsi="Arial"/>
          <w:b w:val="0"/>
          <w:i w:val="0"/>
          <w:color w:val="1E242A"/>
          <w:sz w:val="21"/>
        </w:rPr>
        <w:t xml:space="preserve"> appreciation, high rates and external/fiscal vulnerabilities.</w:t>
      </w:r>
    </w:p>
    <w:p>
      <w:r>
        <w:rPr>
          <w:rFonts w:ascii="Arial" w:hAnsi="Arial"/>
          <w:b/>
          <w:i w:val="0"/>
          <w:color w:val="1E242A"/>
          <w:sz w:val="21"/>
        </w:rPr>
        <w:t>What mattered:</w:t>
      </w:r>
      <w:r>
        <w:rPr>
          <w:rFonts w:ascii="Arial" w:hAnsi="Arial"/>
          <w:b w:val="0"/>
          <w:i w:val="0"/>
          <w:color w:val="1E242A"/>
          <w:sz w:val="21"/>
        </w:rPr>
        <w:t xml:space="preserve"> learning from failed plans, sequencing, relative-price coordination, operational readiness and political communication.</w:t>
      </w:r>
    </w:p>
    <w:p>
      <w:r>
        <w:rPr>
          <w:rFonts w:ascii="Arial" w:hAnsi="Arial"/>
          <w:b/>
          <w:i w:val="0"/>
          <w:color w:val="1E242A"/>
          <w:sz w:val="21"/>
        </w:rPr>
        <w:t>Cannot conclude:</w:t>
      </w:r>
      <w:r>
        <w:rPr>
          <w:rFonts w:ascii="Arial" w:hAnsi="Arial"/>
          <w:b w:val="0"/>
          <w:i w:val="0"/>
          <w:color w:val="1E242A"/>
          <w:sz w:val="21"/>
        </w:rPr>
        <w:t xml:space="preserve"> that a currency conversion alone stabilises inflation or that identical sequencing works under other balance-sheet/external conditions.</w:t>
      </w:r>
    </w:p>
    <w:p>
      <w:r>
        <w:rPr>
          <w:rFonts w:ascii="Arial" w:hAnsi="Arial"/>
          <w:b/>
          <w:i w:val="0"/>
          <w:color w:val="1E242A"/>
          <w:sz w:val="21"/>
        </w:rPr>
        <w:t>Sovereign-relevant experience:</w:t>
      </w:r>
      <w:r>
        <w:rPr>
          <w:rFonts w:ascii="Arial" w:hAnsi="Arial"/>
          <w:b w:val="0"/>
          <w:i w:val="0"/>
          <w:color w:val="1E242A"/>
          <w:sz w:val="21"/>
        </w:rPr>
        <w:t xml:space="preserve"> reform credibility is produced by a chain of institutions and timed actions.</w:t>
      </w:r>
    </w:p>
    <w:p>
      <w:r>
        <w:rPr>
          <w:rFonts w:ascii="Arial" w:hAnsi="Arial"/>
          <w:b/>
          <w:i w:val="0"/>
          <w:color w:val="1E242A"/>
          <w:sz w:val="21"/>
        </w:rPr>
        <w:t>Sources/confidence:</w:t>
      </w:r>
      <w:r>
        <w:rPr>
          <w:rFonts w:ascii="Arial" w:hAnsi="Arial"/>
          <w:b w:val="0"/>
          <w:i w:val="0"/>
          <w:color w:val="1E242A"/>
          <w:sz w:val="21"/>
        </w:rPr>
        <w:t xml:space="preserve"> BCB official history; legislation; macro literature. High on sequence/outcome; Moderate on component causation.</w:t>
      </w:r>
    </w:p>
    <w:p>
      <w:pPr>
        <w:pStyle w:val="Heading2"/>
      </w:pPr>
      <w:r>
        <w:rPr>
          <w:rFonts w:ascii="Arial" w:hAnsi="Arial"/>
          <w:b w:val="0"/>
          <w:i w:val="0"/>
          <w:color w:val="2C5F80"/>
          <w:sz w:val="27"/>
        </w:rPr>
        <w:t>C2. Consumption-tax reform</w:t>
      </w:r>
    </w:p>
    <w:p>
      <w:r>
        <w:rPr>
          <w:rFonts w:ascii="Arial" w:hAnsi="Arial"/>
          <w:b/>
          <w:i w:val="0"/>
          <w:color w:val="1E242A"/>
          <w:sz w:val="21"/>
        </w:rPr>
        <w:t>Period / government / domain:</w:t>
      </w:r>
      <w:r>
        <w:rPr>
          <w:rFonts w:ascii="Arial" w:hAnsi="Arial"/>
          <w:b w:val="0"/>
          <w:i w:val="0"/>
          <w:color w:val="1E242A"/>
          <w:sz w:val="21"/>
        </w:rPr>
        <w:t xml:space="preserve"> repeated attempts through 2023–26; taxation/federalism.</w:t>
      </w:r>
    </w:p>
    <w:p>
      <w:r>
        <w:rPr>
          <w:rFonts w:ascii="Arial" w:hAnsi="Arial"/>
          <w:b/>
          <w:i w:val="0"/>
          <w:color w:val="1E242A"/>
          <w:sz w:val="21"/>
        </w:rPr>
        <w:t>Problem:</w:t>
      </w:r>
      <w:r>
        <w:rPr>
          <w:rFonts w:ascii="Arial" w:hAnsi="Arial"/>
          <w:b w:val="0"/>
          <w:i w:val="0"/>
          <w:color w:val="1E242A"/>
          <w:sz w:val="21"/>
        </w:rPr>
        <w:t xml:space="preserve"> cumulative taxes, fragmented bases and state/municipal revenue conflict.</w:t>
      </w:r>
    </w:p>
    <w:p>
      <w:r>
        <w:rPr>
          <w:rFonts w:ascii="Arial" w:hAnsi="Arial"/>
          <w:b/>
          <w:i w:val="0"/>
          <w:color w:val="1E242A"/>
          <w:sz w:val="21"/>
        </w:rPr>
        <w:t>Objective:</w:t>
      </w:r>
      <w:r>
        <w:rPr>
          <w:rFonts w:ascii="Arial" w:hAnsi="Arial"/>
          <w:b w:val="0"/>
          <w:i w:val="0"/>
          <w:color w:val="1E242A"/>
          <w:sz w:val="21"/>
        </w:rPr>
        <w:t xml:space="preserve"> destination-based broad consumption taxation with fewer cascading distortions.</w:t>
      </w:r>
    </w:p>
    <w:p>
      <w:r>
        <w:rPr>
          <w:rFonts w:ascii="Arial" w:hAnsi="Arial"/>
          <w:b/>
          <w:i w:val="0"/>
          <w:color w:val="1E242A"/>
          <w:sz w:val="21"/>
        </w:rPr>
        <w:t>Action:</w:t>
      </w:r>
      <w:r>
        <w:rPr>
          <w:rFonts w:ascii="Arial" w:hAnsi="Arial"/>
          <w:b w:val="0"/>
          <w:i w:val="0"/>
          <w:color w:val="1E242A"/>
          <w:sz w:val="21"/>
        </w:rPr>
        <w:t xml:space="preserve"> congressional PEC became EC 132; LC 214 regulated IBS/CBS/IS; phased transition.</w:t>
      </w:r>
    </w:p>
    <w:p>
      <w:r>
        <w:rPr>
          <w:rFonts w:ascii="Arial" w:hAnsi="Arial"/>
          <w:b/>
          <w:i w:val="0"/>
          <w:color w:val="1E242A"/>
          <w:sz w:val="21"/>
        </w:rPr>
        <w:t>Institutional route:</w:t>
      </w:r>
      <w:r>
        <w:rPr>
          <w:rFonts w:ascii="Arial" w:hAnsi="Arial"/>
          <w:b w:val="0"/>
          <w:i w:val="0"/>
          <w:color w:val="1E242A"/>
          <w:sz w:val="21"/>
        </w:rPr>
        <w:t xml:space="preserve"> three-fifths constitutional votes, complementary law, shared governance and subsequent regulation.</w:t>
      </w:r>
    </w:p>
    <w:p>
      <w:r>
        <w:rPr>
          <w:rFonts w:ascii="Arial" w:hAnsi="Arial"/>
          <w:b/>
          <w:i w:val="0"/>
          <w:color w:val="1E242A"/>
          <w:sz w:val="21"/>
        </w:rPr>
        <w:t>Implementation:</w:t>
      </w:r>
      <w:r>
        <w:rPr>
          <w:rFonts w:ascii="Arial" w:hAnsi="Arial"/>
          <w:b w:val="0"/>
          <w:i w:val="0"/>
          <w:color w:val="1E242A"/>
          <w:sz w:val="21"/>
        </w:rPr>
        <w:t xml:space="preserve"> multi-year testing and rate/tax substitution through 2033; compensation and committee systems.</w:t>
      </w:r>
    </w:p>
    <w:p>
      <w:r>
        <w:rPr>
          <w:rFonts w:ascii="Arial" w:hAnsi="Arial"/>
          <w:b/>
          <w:i w:val="0"/>
          <w:color w:val="1E242A"/>
          <w:sz w:val="21"/>
        </w:rPr>
        <w:t>Other actors:</w:t>
      </w:r>
      <w:r>
        <w:rPr>
          <w:rFonts w:ascii="Arial" w:hAnsi="Arial"/>
          <w:b w:val="0"/>
          <w:i w:val="0"/>
          <w:color w:val="1E242A"/>
          <w:sz w:val="21"/>
        </w:rPr>
        <w:t xml:space="preserve"> Chamber leaders/rapporteurs, Finance, Senate, governors, mayors and sectors negotiated exceptions.</w:t>
      </w:r>
    </w:p>
    <w:p>
      <w:r>
        <w:rPr>
          <w:rFonts w:ascii="Arial" w:hAnsi="Arial"/>
          <w:b/>
          <w:i w:val="0"/>
          <w:color w:val="1E242A"/>
          <w:sz w:val="21"/>
        </w:rPr>
        <w:t>Short-term outcome:</w:t>
      </w:r>
      <w:r>
        <w:rPr>
          <w:rFonts w:ascii="Arial" w:hAnsi="Arial"/>
          <w:b w:val="0"/>
          <w:i w:val="0"/>
          <w:color w:val="1E242A"/>
          <w:sz w:val="21"/>
        </w:rPr>
        <w:t xml:space="preserve"> historic enactment after repeated failure.</w:t>
      </w:r>
    </w:p>
    <w:p>
      <w:r>
        <w:rPr>
          <w:rFonts w:ascii="Arial" w:hAnsi="Arial"/>
          <w:b/>
          <w:i w:val="0"/>
          <w:color w:val="1E242A"/>
          <w:sz w:val="21"/>
        </w:rPr>
        <w:t>Longer outcome:</w:t>
      </w:r>
      <w:r>
        <w:rPr>
          <w:rFonts w:ascii="Arial" w:hAnsi="Arial"/>
          <w:b w:val="0"/>
          <w:i w:val="0"/>
          <w:color w:val="1E242A"/>
          <w:sz w:val="21"/>
        </w:rPr>
        <w:t xml:space="preserve"> not yet observable at cutoff.</w:t>
      </w:r>
    </w:p>
    <w:p>
      <w:r>
        <w:rPr>
          <w:rFonts w:ascii="Arial" w:hAnsi="Arial"/>
          <w:b/>
          <w:i w:val="0"/>
          <w:color w:val="1E242A"/>
          <w:sz w:val="21"/>
        </w:rPr>
        <w:t>Unintended consequences:</w:t>
      </w:r>
      <w:r>
        <w:rPr>
          <w:rFonts w:ascii="Arial" w:hAnsi="Arial"/>
          <w:b w:val="0"/>
          <w:i w:val="0"/>
          <w:color w:val="1E242A"/>
          <w:sz w:val="21"/>
        </w:rPr>
        <w:t xml:space="preserve"> complexity during dual-system transition and litigation/governance risk.</w:t>
      </w:r>
    </w:p>
    <w:p>
      <w:r>
        <w:rPr>
          <w:rFonts w:ascii="Arial" w:hAnsi="Arial"/>
          <w:b/>
          <w:i w:val="0"/>
          <w:color w:val="1E242A"/>
          <w:sz w:val="21"/>
        </w:rPr>
        <w:t>What mattered:</w:t>
      </w:r>
      <w:r>
        <w:rPr>
          <w:rFonts w:ascii="Arial" w:hAnsi="Arial"/>
          <w:b w:val="0"/>
          <w:i w:val="0"/>
          <w:color w:val="1E242A"/>
          <w:sz w:val="21"/>
        </w:rPr>
        <w:t xml:space="preserve"> accumulated technical design, congressional ownership, compensation and broad bargaining.</w:t>
      </w:r>
    </w:p>
    <w:p>
      <w:r>
        <w:rPr>
          <w:rFonts w:ascii="Arial" w:hAnsi="Arial"/>
          <w:b/>
          <w:i w:val="0"/>
          <w:color w:val="1E242A"/>
          <w:sz w:val="21"/>
        </w:rPr>
        <w:t>Cannot conclude:</w:t>
      </w:r>
      <w:r>
        <w:rPr>
          <w:rFonts w:ascii="Arial" w:hAnsi="Arial"/>
          <w:b w:val="0"/>
          <w:i w:val="0"/>
          <w:color w:val="1E242A"/>
          <w:sz w:val="21"/>
        </w:rPr>
        <w:t xml:space="preserve"> eventual rate, simplicity, distribution or growth effect.</w:t>
      </w:r>
    </w:p>
    <w:p>
      <w:r>
        <w:rPr>
          <w:rFonts w:ascii="Arial" w:hAnsi="Arial"/>
          <w:b/>
          <w:i w:val="0"/>
          <w:color w:val="1E242A"/>
          <w:sz w:val="21"/>
        </w:rPr>
        <w:t>Sovereign relevance:</w:t>
      </w:r>
      <w:r>
        <w:rPr>
          <w:rFonts w:ascii="Arial" w:hAnsi="Arial"/>
          <w:b w:val="0"/>
          <w:i w:val="0"/>
          <w:color w:val="1E242A"/>
          <w:sz w:val="21"/>
        </w:rPr>
        <w:t xml:space="preserve"> “success” may mean opening a decade-long implementation stage.</w:t>
      </w:r>
    </w:p>
    <w:p>
      <w:r>
        <w:rPr>
          <w:rFonts w:ascii="Arial" w:hAnsi="Arial"/>
          <w:b/>
          <w:i w:val="0"/>
          <w:color w:val="1E242A"/>
          <w:sz w:val="21"/>
        </w:rPr>
        <w:t>Sources/confidence:</w:t>
      </w:r>
      <w:r>
        <w:rPr>
          <w:rFonts w:ascii="Arial" w:hAnsi="Arial"/>
          <w:b w:val="0"/>
          <w:i w:val="0"/>
          <w:color w:val="1E242A"/>
          <w:sz w:val="21"/>
        </w:rPr>
        <w:t xml:space="preserve"> EC 132; LC 214; congressional records. High on route; Low on final outcome.</w:t>
      </w:r>
    </w:p>
    <w:p>
      <w:pPr>
        <w:pStyle w:val="Heading2"/>
      </w:pPr>
      <w:r>
        <w:rPr>
          <w:rFonts w:ascii="Arial" w:hAnsi="Arial"/>
          <w:b w:val="0"/>
          <w:i w:val="0"/>
          <w:color w:val="2C5F80"/>
          <w:sz w:val="27"/>
        </w:rPr>
        <w:t>C3. Bolsonaro-era pension reform</w:t>
      </w:r>
    </w:p>
    <w:p>
      <w:r>
        <w:rPr>
          <w:rFonts w:ascii="Arial" w:hAnsi="Arial"/>
          <w:b/>
          <w:i w:val="0"/>
          <w:color w:val="1E242A"/>
          <w:sz w:val="21"/>
        </w:rPr>
        <w:t>Period / government / domain:</w:t>
      </w:r>
      <w:r>
        <w:rPr>
          <w:rFonts w:ascii="Arial" w:hAnsi="Arial"/>
          <w:b w:val="0"/>
          <w:i w:val="0"/>
          <w:color w:val="1E242A"/>
          <w:sz w:val="21"/>
        </w:rPr>
        <w:t xml:space="preserve"> 2019; pensions/fiscal.</w:t>
      </w:r>
    </w:p>
    <w:p>
      <w:r>
        <w:rPr>
          <w:rFonts w:ascii="Arial" w:hAnsi="Arial"/>
          <w:b/>
          <w:i w:val="0"/>
          <w:color w:val="1E242A"/>
          <w:sz w:val="21"/>
        </w:rPr>
        <w:t>Problem:</w:t>
      </w:r>
      <w:r>
        <w:rPr>
          <w:rFonts w:ascii="Arial" w:hAnsi="Arial"/>
          <w:b w:val="0"/>
          <w:i w:val="0"/>
          <w:color w:val="1E242A"/>
          <w:sz w:val="21"/>
        </w:rPr>
        <w:t xml:space="preserve"> projected pension expenditure and regime inequalities.</w:t>
      </w:r>
    </w:p>
    <w:p>
      <w:r>
        <w:rPr>
          <w:rFonts w:ascii="Arial" w:hAnsi="Arial"/>
          <w:b/>
          <w:i w:val="0"/>
          <w:color w:val="1E242A"/>
          <w:sz w:val="21"/>
        </w:rPr>
        <w:t>Objective:</w:t>
      </w:r>
      <w:r>
        <w:rPr>
          <w:rFonts w:ascii="Arial" w:hAnsi="Arial"/>
          <w:b w:val="0"/>
          <w:i w:val="0"/>
          <w:color w:val="1E242A"/>
          <w:sz w:val="21"/>
        </w:rPr>
        <w:t xml:space="preserve"> tighten eligibility and reduce future liabilities.</w:t>
      </w:r>
    </w:p>
    <w:p>
      <w:r>
        <w:rPr>
          <w:rFonts w:ascii="Arial" w:hAnsi="Arial"/>
          <w:b/>
          <w:i w:val="0"/>
          <w:color w:val="1E242A"/>
          <w:sz w:val="21"/>
        </w:rPr>
        <w:t>Action:</w:t>
      </w:r>
      <w:r>
        <w:rPr>
          <w:rFonts w:ascii="Arial" w:hAnsi="Arial"/>
          <w:b w:val="0"/>
          <w:i w:val="0"/>
          <w:color w:val="1E242A"/>
          <w:sz w:val="21"/>
        </w:rPr>
        <w:t xml:space="preserve"> PEC 6 proposed; Congress enacted EC 103 with exclusions and transitions.</w:t>
      </w:r>
    </w:p>
    <w:p>
      <w:r>
        <w:rPr>
          <w:rFonts w:ascii="Arial" w:hAnsi="Arial"/>
          <w:b/>
          <w:i w:val="0"/>
          <w:color w:val="1E242A"/>
          <w:sz w:val="21"/>
        </w:rPr>
        <w:t>Institutional route:</w:t>
      </w:r>
      <w:r>
        <w:rPr>
          <w:rFonts w:ascii="Arial" w:hAnsi="Arial"/>
          <w:b w:val="0"/>
          <w:i w:val="0"/>
          <w:color w:val="1E242A"/>
          <w:sz w:val="21"/>
        </w:rPr>
        <w:t xml:space="preserve"> constitutional amendment in both houses; later federal/subnational implementation.</w:t>
      </w:r>
    </w:p>
    <w:p>
      <w:r>
        <w:rPr>
          <w:rFonts w:ascii="Arial" w:hAnsi="Arial"/>
          <w:b/>
          <w:i w:val="0"/>
          <w:color w:val="1E242A"/>
          <w:sz w:val="21"/>
        </w:rPr>
        <w:t>Implementation:</w:t>
      </w:r>
      <w:r>
        <w:rPr>
          <w:rFonts w:ascii="Arial" w:hAnsi="Arial"/>
          <w:b w:val="0"/>
          <w:i w:val="0"/>
          <w:color w:val="1E242A"/>
          <w:sz w:val="21"/>
        </w:rPr>
        <w:t xml:space="preserve"> phased eligibility/contribution rules and separate state/municipal decisions.</w:t>
      </w:r>
    </w:p>
    <w:p>
      <w:r>
        <w:rPr>
          <w:rFonts w:ascii="Arial" w:hAnsi="Arial"/>
          <w:b/>
          <w:i w:val="0"/>
          <w:color w:val="1E242A"/>
          <w:sz w:val="21"/>
        </w:rPr>
        <w:t>Other actors:</w:t>
      </w:r>
      <w:r>
        <w:rPr>
          <w:rFonts w:ascii="Arial" w:hAnsi="Arial"/>
          <w:b w:val="0"/>
          <w:i w:val="0"/>
          <w:color w:val="1E242A"/>
          <w:sz w:val="21"/>
        </w:rPr>
        <w:t xml:space="preserve"> Chamber President Rodrigo Maia, party leaders, rapporteurs, governors, careers and unions.</w:t>
      </w:r>
    </w:p>
    <w:p>
      <w:r>
        <w:rPr>
          <w:rFonts w:ascii="Arial" w:hAnsi="Arial"/>
          <w:b/>
          <w:i w:val="0"/>
          <w:color w:val="1E242A"/>
          <w:sz w:val="21"/>
        </w:rPr>
        <w:t>Outcome:</w:t>
      </w:r>
      <w:r>
        <w:rPr>
          <w:rFonts w:ascii="Arial" w:hAnsi="Arial"/>
          <w:b w:val="0"/>
          <w:i w:val="0"/>
          <w:color w:val="1E242A"/>
          <w:sz w:val="21"/>
        </w:rPr>
        <w:t xml:space="preserve"> broad reform passed, but not identical to executive fiscal estimate or initial scope.</w:t>
      </w:r>
    </w:p>
    <w:p>
      <w:r>
        <w:rPr>
          <w:rFonts w:ascii="Arial" w:hAnsi="Arial"/>
          <w:b/>
          <w:i w:val="0"/>
          <w:color w:val="1E242A"/>
          <w:sz w:val="21"/>
        </w:rPr>
        <w:t>Political consequence:</w:t>
      </w:r>
      <w:r>
        <w:rPr>
          <w:rFonts w:ascii="Arial" w:hAnsi="Arial"/>
          <w:b w:val="0"/>
          <w:i w:val="0"/>
          <w:color w:val="1E242A"/>
          <w:sz w:val="21"/>
        </w:rPr>
        <w:t xml:space="preserve"> Congress claimed substantial authorship; concentrated groups won changes.</w:t>
      </w:r>
    </w:p>
    <w:p>
      <w:r>
        <w:rPr>
          <w:rFonts w:ascii="Arial" w:hAnsi="Arial"/>
          <w:b/>
          <w:i w:val="0"/>
          <w:color w:val="1E242A"/>
          <w:sz w:val="21"/>
        </w:rPr>
        <w:t>What mattered:</w:t>
      </w:r>
      <w:r>
        <w:rPr>
          <w:rFonts w:ascii="Arial" w:hAnsi="Arial"/>
          <w:b w:val="0"/>
          <w:i w:val="0"/>
          <w:color w:val="1E242A"/>
          <w:sz w:val="21"/>
        </w:rPr>
        <w:t xml:space="preserve"> inherited policy work, leadership prioritisation, fiscal salience and distributive bargaining.</w:t>
      </w:r>
    </w:p>
    <w:p>
      <w:r>
        <w:rPr>
          <w:rFonts w:ascii="Arial" w:hAnsi="Arial"/>
          <w:b/>
          <w:i w:val="0"/>
          <w:color w:val="1E242A"/>
          <w:sz w:val="21"/>
        </w:rPr>
        <w:t>Cannot conclude:</w:t>
      </w:r>
      <w:r>
        <w:rPr>
          <w:rFonts w:ascii="Arial" w:hAnsi="Arial"/>
          <w:b w:val="0"/>
          <w:i w:val="0"/>
          <w:color w:val="1E242A"/>
          <w:sz w:val="21"/>
        </w:rPr>
        <w:t xml:space="preserve"> precise savings without assumptions, or that presidential coalition style alone explains passage.</w:t>
      </w:r>
    </w:p>
    <w:p>
      <w:r>
        <w:rPr>
          <w:rFonts w:ascii="Arial" w:hAnsi="Arial"/>
          <w:b/>
          <w:i w:val="0"/>
          <w:color w:val="1E242A"/>
          <w:sz w:val="21"/>
        </w:rPr>
        <w:t>Sovereign relevance:</w:t>
      </w:r>
      <w:r>
        <w:rPr>
          <w:rFonts w:ascii="Arial" w:hAnsi="Arial"/>
          <w:b w:val="0"/>
          <w:i w:val="0"/>
          <w:color w:val="1E242A"/>
          <w:sz w:val="21"/>
        </w:rPr>
        <w:t xml:space="preserve"> track proposal, amendments, implementation and fiscal result separately.</w:t>
      </w:r>
    </w:p>
    <w:p>
      <w:r>
        <w:rPr>
          <w:rFonts w:ascii="Arial" w:hAnsi="Arial"/>
          <w:b/>
          <w:i w:val="0"/>
          <w:color w:val="1E242A"/>
          <w:sz w:val="21"/>
        </w:rPr>
        <w:t>Sources/confidence:</w:t>
      </w:r>
      <w:r>
        <w:rPr>
          <w:rFonts w:ascii="Arial" w:hAnsi="Arial"/>
          <w:b w:val="0"/>
          <w:i w:val="0"/>
          <w:color w:val="1E242A"/>
          <w:sz w:val="21"/>
        </w:rPr>
        <w:t xml:space="preserve"> EC 103 and congressional record. High on route; Moderate on fiscal causation.</w:t>
      </w:r>
    </w:p>
    <w:p>
      <w:pPr>
        <w:pStyle w:val="Heading2"/>
      </w:pPr>
      <w:r>
        <w:rPr>
          <w:rFonts w:ascii="Arial" w:hAnsi="Arial"/>
          <w:b w:val="0"/>
          <w:i w:val="0"/>
          <w:color w:val="2C5F80"/>
          <w:sz w:val="27"/>
        </w:rPr>
        <w:t>C4. Bolsa Família policy infrastructure</w:t>
      </w:r>
    </w:p>
    <w:p>
      <w:r>
        <w:rPr>
          <w:rFonts w:ascii="Arial" w:hAnsi="Arial"/>
          <w:b/>
          <w:i w:val="0"/>
          <w:color w:val="1E242A"/>
          <w:sz w:val="21"/>
        </w:rPr>
        <w:t>Period / government / domain:</w:t>
      </w:r>
      <w:r>
        <w:rPr>
          <w:rFonts w:ascii="Arial" w:hAnsi="Arial"/>
          <w:b w:val="0"/>
          <w:i w:val="0"/>
          <w:color w:val="1E242A"/>
          <w:sz w:val="21"/>
        </w:rPr>
        <w:t xml:space="preserve"> 2003–26; social protection.</w:t>
      </w:r>
    </w:p>
    <w:p>
      <w:r>
        <w:rPr>
          <w:rFonts w:ascii="Arial" w:hAnsi="Arial"/>
          <w:b/>
          <w:i w:val="0"/>
          <w:color w:val="1E242A"/>
          <w:sz w:val="21"/>
        </w:rPr>
        <w:t>Problem:</w:t>
      </w:r>
      <w:r>
        <w:rPr>
          <w:rFonts w:ascii="Arial" w:hAnsi="Arial"/>
          <w:b w:val="0"/>
          <w:i w:val="0"/>
          <w:color w:val="1E242A"/>
          <w:sz w:val="21"/>
        </w:rPr>
        <w:t xml:space="preserve"> poverty and fragmented transfers.</w:t>
      </w:r>
    </w:p>
    <w:p>
      <w:r>
        <w:rPr>
          <w:rFonts w:ascii="Arial" w:hAnsi="Arial"/>
          <w:b/>
          <w:i w:val="0"/>
          <w:color w:val="1E242A"/>
          <w:sz w:val="21"/>
        </w:rPr>
        <w:t>Objective:</w:t>
      </w:r>
      <w:r>
        <w:rPr>
          <w:rFonts w:ascii="Arial" w:hAnsi="Arial"/>
          <w:b w:val="0"/>
          <w:i w:val="0"/>
          <w:color w:val="1E242A"/>
          <w:sz w:val="21"/>
        </w:rPr>
        <w:t xml:space="preserve"> targeted income support linked to health/education commitments.</w:t>
      </w:r>
    </w:p>
    <w:p>
      <w:r>
        <w:rPr>
          <w:rFonts w:ascii="Arial" w:hAnsi="Arial"/>
          <w:b/>
          <w:i w:val="0"/>
          <w:color w:val="1E242A"/>
          <w:sz w:val="21"/>
        </w:rPr>
        <w:t>Action:</w:t>
      </w:r>
      <w:r>
        <w:rPr>
          <w:rFonts w:ascii="Arial" w:hAnsi="Arial"/>
          <w:b w:val="0"/>
          <w:i w:val="0"/>
          <w:color w:val="1E242A"/>
          <w:sz w:val="21"/>
        </w:rPr>
        <w:t xml:space="preserve"> unify programmes around CadÚnico; federal benefit/payment and municipal enrolment.</w:t>
      </w:r>
    </w:p>
    <w:p>
      <w:r>
        <w:rPr>
          <w:rFonts w:ascii="Arial" w:hAnsi="Arial"/>
          <w:b/>
          <w:i w:val="0"/>
          <w:color w:val="1E242A"/>
          <w:sz w:val="21"/>
        </w:rPr>
        <w:t>Institutional route:</w:t>
      </w:r>
      <w:r>
        <w:rPr>
          <w:rFonts w:ascii="Arial" w:hAnsi="Arial"/>
          <w:b w:val="0"/>
          <w:i w:val="0"/>
          <w:color w:val="1E242A"/>
          <w:sz w:val="21"/>
        </w:rPr>
        <w:t xml:space="preserve"> statute, budget, executive regulation and intergovernmental agreements.</w:t>
      </w:r>
    </w:p>
    <w:p>
      <w:r>
        <w:rPr>
          <w:rFonts w:ascii="Arial" w:hAnsi="Arial"/>
          <w:b/>
          <w:i w:val="0"/>
          <w:color w:val="1E242A"/>
          <w:sz w:val="21"/>
        </w:rPr>
        <w:t>Implementation:</w:t>
      </w:r>
      <w:r>
        <w:rPr>
          <w:rFonts w:ascii="Arial" w:hAnsi="Arial"/>
          <w:b w:val="0"/>
          <w:i w:val="0"/>
          <w:color w:val="1E242A"/>
          <w:sz w:val="21"/>
        </w:rPr>
        <w:t xml:space="preserve"> Caixa payments; municipal data and service monitoring.</w:t>
      </w:r>
    </w:p>
    <w:p>
      <w:r>
        <w:rPr>
          <w:rFonts w:ascii="Arial" w:hAnsi="Arial"/>
          <w:b/>
          <w:i w:val="0"/>
          <w:color w:val="1E242A"/>
          <w:sz w:val="21"/>
        </w:rPr>
        <w:t>Other actors:</w:t>
      </w:r>
      <w:r>
        <w:rPr>
          <w:rFonts w:ascii="Arial" w:hAnsi="Arial"/>
          <w:b w:val="0"/>
          <w:i w:val="0"/>
          <w:color w:val="1E242A"/>
          <w:sz w:val="21"/>
        </w:rPr>
        <w:t xml:space="preserve"> families, municipalities, schools/clinics, auditors and Congress.</w:t>
      </w:r>
    </w:p>
    <w:p>
      <w:r>
        <w:rPr>
          <w:rFonts w:ascii="Arial" w:hAnsi="Arial"/>
          <w:b/>
          <w:i w:val="0"/>
          <w:color w:val="1E242A"/>
          <w:sz w:val="21"/>
        </w:rPr>
        <w:t>Outcome:</w:t>
      </w:r>
      <w:r>
        <w:rPr>
          <w:rFonts w:ascii="Arial" w:hAnsi="Arial"/>
          <w:b w:val="0"/>
          <w:i w:val="0"/>
          <w:color w:val="1E242A"/>
          <w:sz w:val="21"/>
        </w:rPr>
        <w:t xml:space="preserve"> broad coverage, strong targeting and measurable poverty/inequality reduction.</w:t>
      </w:r>
    </w:p>
    <w:p>
      <w:r>
        <w:rPr>
          <w:rFonts w:ascii="Arial" w:hAnsi="Arial"/>
          <w:b/>
          <w:i w:val="0"/>
          <w:color w:val="1E242A"/>
          <w:sz w:val="21"/>
        </w:rPr>
        <w:t>Longer consequence:</w:t>
      </w:r>
      <w:r>
        <w:rPr>
          <w:rFonts w:ascii="Arial" w:hAnsi="Arial"/>
          <w:b w:val="0"/>
          <w:i w:val="0"/>
          <w:color w:val="1E242A"/>
          <w:sz w:val="21"/>
        </w:rPr>
        <w:t xml:space="preserve"> delivery infrastructure and constituency survived programme replacement/restoration.</w:t>
      </w:r>
    </w:p>
    <w:p>
      <w:r>
        <w:rPr>
          <w:rFonts w:ascii="Arial" w:hAnsi="Arial"/>
          <w:b/>
          <w:i w:val="0"/>
          <w:color w:val="1E242A"/>
          <w:sz w:val="21"/>
        </w:rPr>
        <w:t>Unintended consequences:</w:t>
      </w:r>
      <w:r>
        <w:rPr>
          <w:rFonts w:ascii="Arial" w:hAnsi="Arial"/>
          <w:b w:val="0"/>
          <w:i w:val="0"/>
          <w:color w:val="1E242A"/>
          <w:sz w:val="21"/>
        </w:rPr>
        <w:t xml:space="preserve"> registry exclusion/error and local-capacity variation; broad dependency claims are not supported as a simple causal result.</w:t>
      </w:r>
    </w:p>
    <w:p>
      <w:r>
        <w:rPr>
          <w:rFonts w:ascii="Arial" w:hAnsi="Arial"/>
          <w:b/>
          <w:i w:val="0"/>
          <w:color w:val="1E242A"/>
          <w:sz w:val="21"/>
        </w:rPr>
        <w:t>What mattered:</w:t>
      </w:r>
      <w:r>
        <w:rPr>
          <w:rFonts w:ascii="Arial" w:hAnsi="Arial"/>
          <w:b w:val="0"/>
          <w:i w:val="0"/>
          <w:color w:val="1E242A"/>
          <w:sz w:val="21"/>
        </w:rPr>
        <w:t xml:space="preserve"> low administrative marginal cost, payment reach, registry and political constituency.</w:t>
      </w:r>
    </w:p>
    <w:p>
      <w:r>
        <w:rPr>
          <w:rFonts w:ascii="Arial" w:hAnsi="Arial"/>
          <w:b/>
          <w:i w:val="0"/>
          <w:color w:val="1E242A"/>
          <w:sz w:val="21"/>
        </w:rPr>
        <w:t>Cannot conclude:</w:t>
      </w:r>
      <w:r>
        <w:rPr>
          <w:rFonts w:ascii="Arial" w:hAnsi="Arial"/>
          <w:b w:val="0"/>
          <w:i w:val="0"/>
          <w:color w:val="1E242A"/>
          <w:sz w:val="21"/>
        </w:rPr>
        <w:t xml:space="preserve"> all national poverty reduction was caused by the programme.</w:t>
      </w:r>
    </w:p>
    <w:p>
      <w:r>
        <w:rPr>
          <w:rFonts w:ascii="Arial" w:hAnsi="Arial"/>
          <w:b/>
          <w:i w:val="0"/>
          <w:color w:val="1E242A"/>
          <w:sz w:val="21"/>
        </w:rPr>
        <w:t>Sovereign relevance:</w:t>
      </w:r>
      <w:r>
        <w:rPr>
          <w:rFonts w:ascii="Arial" w:hAnsi="Arial"/>
          <w:b w:val="0"/>
          <w:i w:val="0"/>
          <w:color w:val="1E242A"/>
          <w:sz w:val="21"/>
        </w:rPr>
        <w:t xml:space="preserve"> administrative rails can outlive branding and enable crisis response.</w:t>
      </w:r>
    </w:p>
    <w:p>
      <w:r>
        <w:rPr>
          <w:rFonts w:ascii="Arial" w:hAnsi="Arial"/>
          <w:b/>
          <w:i w:val="0"/>
          <w:color w:val="1E242A"/>
          <w:sz w:val="21"/>
        </w:rPr>
        <w:t>Sources/confidence:</w:t>
      </w:r>
      <w:r>
        <w:rPr>
          <w:rFonts w:ascii="Arial" w:hAnsi="Arial"/>
          <w:b w:val="0"/>
          <w:i w:val="0"/>
          <w:color w:val="1E242A"/>
          <w:sz w:val="21"/>
        </w:rPr>
        <w:t xml:space="preserve"> Laws 10,836 and 14,601; IPEA evaluation. High.</w:t>
      </w:r>
    </w:p>
    <w:p>
      <w:pPr>
        <w:pStyle w:val="Heading2"/>
      </w:pPr>
      <w:r>
        <w:rPr>
          <w:rFonts w:ascii="Arial" w:hAnsi="Arial"/>
          <w:b w:val="0"/>
          <w:i w:val="0"/>
          <w:color w:val="2C5F80"/>
          <w:sz w:val="27"/>
        </w:rPr>
        <w:t>C5. 2018 truckers' strike</w:t>
      </w:r>
    </w:p>
    <w:p>
      <w:r>
        <w:rPr>
          <w:rFonts w:ascii="Arial" w:hAnsi="Arial"/>
          <w:b/>
          <w:i w:val="0"/>
          <w:color w:val="1E242A"/>
          <w:sz w:val="21"/>
        </w:rPr>
        <w:t>Period / government / domain:</w:t>
      </w:r>
      <w:r>
        <w:rPr>
          <w:rFonts w:ascii="Arial" w:hAnsi="Arial"/>
          <w:b w:val="0"/>
          <w:i w:val="0"/>
          <w:color w:val="1E242A"/>
          <w:sz w:val="21"/>
        </w:rPr>
        <w:t xml:space="preserve"> May 2018; transport/energy/fiscal.</w:t>
      </w:r>
    </w:p>
    <w:p>
      <w:r>
        <w:rPr>
          <w:rFonts w:ascii="Arial" w:hAnsi="Arial"/>
          <w:b/>
          <w:i w:val="0"/>
          <w:color w:val="1E242A"/>
          <w:sz w:val="21"/>
        </w:rPr>
        <w:t>Problem:</w:t>
      </w:r>
      <w:r>
        <w:rPr>
          <w:rFonts w:ascii="Arial" w:hAnsi="Arial"/>
          <w:b w:val="0"/>
          <w:i w:val="0"/>
          <w:color w:val="1E242A"/>
          <w:sz w:val="21"/>
        </w:rPr>
        <w:t xml:space="preserve"> diesel-cost pressure, freight-market stress and nationally disruptive stoppage.</w:t>
      </w:r>
    </w:p>
    <w:p>
      <w:r>
        <w:rPr>
          <w:rFonts w:ascii="Arial" w:hAnsi="Arial"/>
          <w:b/>
          <w:i w:val="0"/>
          <w:color w:val="1E242A"/>
          <w:sz w:val="21"/>
        </w:rPr>
        <w:t>Objective:</w:t>
      </w:r>
      <w:r>
        <w:rPr>
          <w:rFonts w:ascii="Arial" w:hAnsi="Arial"/>
          <w:b w:val="0"/>
          <w:i w:val="0"/>
          <w:color w:val="1E242A"/>
          <w:sz w:val="21"/>
        </w:rPr>
        <w:t xml:space="preserve"> restore logistics and political order.</w:t>
      </w:r>
    </w:p>
    <w:p>
      <w:r>
        <w:rPr>
          <w:rFonts w:ascii="Arial" w:hAnsi="Arial"/>
          <w:b/>
          <w:i w:val="0"/>
          <w:color w:val="1E242A"/>
          <w:sz w:val="21"/>
        </w:rPr>
        <w:t>Action:</w:t>
      </w:r>
      <w:r>
        <w:rPr>
          <w:rFonts w:ascii="Arial" w:hAnsi="Arial"/>
          <w:b w:val="0"/>
          <w:i w:val="0"/>
          <w:color w:val="1E242A"/>
          <w:sz w:val="21"/>
        </w:rPr>
        <w:t xml:space="preserve"> negotiate diesel reduction, tax/subsidy support and minimum freight; clear routes.</w:t>
      </w:r>
    </w:p>
    <w:p>
      <w:r>
        <w:rPr>
          <w:rFonts w:ascii="Arial" w:hAnsi="Arial"/>
          <w:b/>
          <w:i w:val="0"/>
          <w:color w:val="1E242A"/>
          <w:sz w:val="21"/>
        </w:rPr>
        <w:t>Institutional route:</w:t>
      </w:r>
      <w:r>
        <w:rPr>
          <w:rFonts w:ascii="Arial" w:hAnsi="Arial"/>
          <w:b w:val="0"/>
          <w:i w:val="0"/>
          <w:color w:val="1E242A"/>
          <w:sz w:val="21"/>
        </w:rPr>
        <w:t xml:space="preserve"> executive fiscal/regulatory action, congressional lawmaking, Petrobras pricing response and ANTT regulation.</w:t>
      </w:r>
    </w:p>
    <w:p>
      <w:r>
        <w:rPr>
          <w:rFonts w:ascii="Arial" w:hAnsi="Arial"/>
          <w:b/>
          <w:i w:val="0"/>
          <w:color w:val="1E242A"/>
          <w:sz w:val="21"/>
        </w:rPr>
        <w:t>Implementation:</w:t>
      </w:r>
      <w:r>
        <w:rPr>
          <w:rFonts w:ascii="Arial" w:hAnsi="Arial"/>
          <w:b w:val="0"/>
          <w:i w:val="0"/>
          <w:color w:val="1E242A"/>
          <w:sz w:val="21"/>
        </w:rPr>
        <w:t xml:space="preserve"> rapid concessions; continuing freight-table and compensation disputes.</w:t>
      </w:r>
    </w:p>
    <w:p>
      <w:r>
        <w:rPr>
          <w:rFonts w:ascii="Arial" w:hAnsi="Arial"/>
          <w:b/>
          <w:i w:val="0"/>
          <w:color w:val="1E242A"/>
          <w:sz w:val="21"/>
        </w:rPr>
        <w:t>Other actors:</w:t>
      </w:r>
      <w:r>
        <w:rPr>
          <w:rFonts w:ascii="Arial" w:hAnsi="Arial"/>
          <w:b w:val="0"/>
          <w:i w:val="0"/>
          <w:color w:val="1E242A"/>
          <w:sz w:val="21"/>
        </w:rPr>
        <w:t xml:space="preserve"> decentralised truckers, logistics firms, courts, Congress, governors and security bodies.</w:t>
      </w:r>
    </w:p>
    <w:p>
      <w:r>
        <w:rPr>
          <w:rFonts w:ascii="Arial" w:hAnsi="Arial"/>
          <w:b/>
          <w:i w:val="0"/>
          <w:color w:val="1E242A"/>
          <w:sz w:val="21"/>
        </w:rPr>
        <w:t>Short-term outcome:</w:t>
      </w:r>
      <w:r>
        <w:rPr>
          <w:rFonts w:ascii="Arial" w:hAnsi="Arial"/>
          <w:b w:val="0"/>
          <w:i w:val="0"/>
          <w:color w:val="1E242A"/>
          <w:sz w:val="21"/>
        </w:rPr>
        <w:t xml:space="preserve"> stoppage ended after severe shortages/output interruption.</w:t>
      </w:r>
    </w:p>
    <w:p>
      <w:r>
        <w:rPr>
          <w:rFonts w:ascii="Arial" w:hAnsi="Arial"/>
          <w:b/>
          <w:i w:val="0"/>
          <w:color w:val="1E242A"/>
          <w:sz w:val="21"/>
        </w:rPr>
        <w:t>Longer outcome:</w:t>
      </w:r>
      <w:r>
        <w:rPr>
          <w:rFonts w:ascii="Arial" w:hAnsi="Arial"/>
          <w:b w:val="0"/>
          <w:i w:val="0"/>
          <w:color w:val="1E242A"/>
          <w:sz w:val="21"/>
        </w:rPr>
        <w:t xml:space="preserve"> fiscal/regulatory costs and persistent political sensitivity around fuel.</w:t>
      </w:r>
    </w:p>
    <w:p>
      <w:r>
        <w:rPr>
          <w:rFonts w:ascii="Arial" w:hAnsi="Arial"/>
          <w:b/>
          <w:i w:val="0"/>
          <w:color w:val="1E242A"/>
          <w:sz w:val="21"/>
        </w:rPr>
        <w:t>Unintended consequences:</w:t>
      </w:r>
      <w:r>
        <w:rPr>
          <w:rFonts w:ascii="Arial" w:hAnsi="Arial"/>
          <w:b w:val="0"/>
          <w:i w:val="0"/>
          <w:color w:val="1E242A"/>
          <w:sz w:val="21"/>
        </w:rPr>
        <w:t xml:space="preserve"> freight distortions, precedent expectations and cost displacement.</w:t>
      </w:r>
    </w:p>
    <w:p>
      <w:r>
        <w:rPr>
          <w:rFonts w:ascii="Arial" w:hAnsi="Arial"/>
          <w:b/>
          <w:i w:val="0"/>
          <w:color w:val="1E242A"/>
          <w:sz w:val="21"/>
        </w:rPr>
        <w:t>What mattered:</w:t>
      </w:r>
      <w:r>
        <w:rPr>
          <w:rFonts w:ascii="Arial" w:hAnsi="Arial"/>
          <w:b w:val="0"/>
          <w:i w:val="0"/>
          <w:color w:val="1E242A"/>
          <w:sz w:val="21"/>
        </w:rPr>
        <w:t xml:space="preserve"> road dependence, concentrated loss, mobilisation networks and weak government position.</w:t>
      </w:r>
    </w:p>
    <w:p>
      <w:r>
        <w:rPr>
          <w:rFonts w:ascii="Arial" w:hAnsi="Arial"/>
          <w:b/>
          <w:i w:val="0"/>
          <w:color w:val="1E242A"/>
          <w:sz w:val="21"/>
        </w:rPr>
        <w:t>Cannot conclude:</w:t>
      </w:r>
      <w:r>
        <w:rPr>
          <w:rFonts w:ascii="Arial" w:hAnsi="Arial"/>
          <w:b w:val="0"/>
          <w:i w:val="0"/>
          <w:color w:val="1E242A"/>
          <w:sz w:val="21"/>
        </w:rPr>
        <w:t xml:space="preserve"> price increases mechanically generate strikes or package produced durable welfare gains.</w:t>
      </w:r>
    </w:p>
    <w:p>
      <w:r>
        <w:rPr>
          <w:rFonts w:ascii="Arial" w:hAnsi="Arial"/>
          <w:b/>
          <w:i w:val="0"/>
          <w:color w:val="1E242A"/>
          <w:sz w:val="21"/>
        </w:rPr>
        <w:t>Sovereign relevance:</w:t>
      </w:r>
      <w:r>
        <w:rPr>
          <w:rFonts w:ascii="Arial" w:hAnsi="Arial"/>
          <w:b w:val="0"/>
          <w:i w:val="0"/>
          <w:color w:val="1E242A"/>
          <w:sz w:val="21"/>
        </w:rPr>
        <w:t xml:space="preserve"> sectoral actors can gain national leverage through network chokepoints.</w:t>
      </w:r>
    </w:p>
    <w:p>
      <w:r>
        <w:rPr>
          <w:rFonts w:ascii="Arial" w:hAnsi="Arial"/>
          <w:b/>
          <w:i w:val="0"/>
          <w:color w:val="1E242A"/>
          <w:sz w:val="21"/>
        </w:rPr>
        <w:t>Confidence:</w:t>
      </w:r>
      <w:r>
        <w:rPr>
          <w:rFonts w:ascii="Arial" w:hAnsi="Arial"/>
          <w:b w:val="0"/>
          <w:i w:val="0"/>
          <w:color w:val="1E242A"/>
          <w:sz w:val="21"/>
        </w:rPr>
        <w:t xml:space="preserve"> High sequence; Moderate causes; Low long-term effect.</w:t>
      </w:r>
    </w:p>
    <w:p>
      <w:pPr>
        <w:pStyle w:val="Heading2"/>
      </w:pPr>
      <w:r>
        <w:rPr>
          <w:rFonts w:ascii="Arial" w:hAnsi="Arial"/>
          <w:b w:val="0"/>
          <w:i w:val="0"/>
          <w:color w:val="2C5F80"/>
          <w:sz w:val="27"/>
        </w:rPr>
        <w:t>C6. PPCDAm deforestation reduction</w:t>
      </w:r>
    </w:p>
    <w:p>
      <w:r>
        <w:rPr>
          <w:rFonts w:ascii="Arial" w:hAnsi="Arial"/>
          <w:b/>
          <w:i w:val="0"/>
          <w:color w:val="1E242A"/>
          <w:sz w:val="21"/>
        </w:rPr>
        <w:t>Period / government / domain:</w:t>
      </w:r>
      <w:r>
        <w:rPr>
          <w:rFonts w:ascii="Arial" w:hAnsi="Arial"/>
          <w:b w:val="0"/>
          <w:i w:val="0"/>
          <w:color w:val="1E242A"/>
          <w:sz w:val="21"/>
        </w:rPr>
        <w:t xml:space="preserve"> 2004–12 core decline; environment/federal coordination.</w:t>
      </w:r>
    </w:p>
    <w:p>
      <w:r>
        <w:rPr>
          <w:rFonts w:ascii="Arial" w:hAnsi="Arial"/>
          <w:b/>
          <w:i w:val="0"/>
          <w:color w:val="1E242A"/>
          <w:sz w:val="21"/>
        </w:rPr>
        <w:t>Problem:</w:t>
      </w:r>
      <w:r>
        <w:rPr>
          <w:rFonts w:ascii="Arial" w:hAnsi="Arial"/>
          <w:b w:val="0"/>
          <w:i w:val="0"/>
          <w:color w:val="1E242A"/>
          <w:sz w:val="21"/>
        </w:rPr>
        <w:t xml:space="preserve"> rapidly rising Amazon deforestation.</w:t>
      </w:r>
    </w:p>
    <w:p>
      <w:r>
        <w:rPr>
          <w:rFonts w:ascii="Arial" w:hAnsi="Arial"/>
          <w:b/>
          <w:i w:val="0"/>
          <w:color w:val="1E242A"/>
          <w:sz w:val="21"/>
        </w:rPr>
        <w:t>Objective:</w:t>
      </w:r>
      <w:r>
        <w:rPr>
          <w:rFonts w:ascii="Arial" w:hAnsi="Arial"/>
          <w:b w:val="0"/>
          <w:i w:val="0"/>
          <w:color w:val="1E242A"/>
          <w:sz w:val="21"/>
        </w:rPr>
        <w:t xml:space="preserve"> reduce clearing through territorial, enforcement and production measures.</w:t>
      </w:r>
    </w:p>
    <w:p>
      <w:r>
        <w:rPr>
          <w:rFonts w:ascii="Arial" w:hAnsi="Arial"/>
          <w:b/>
          <w:i w:val="0"/>
          <w:color w:val="1E242A"/>
          <w:sz w:val="21"/>
        </w:rPr>
        <w:t>Action:</w:t>
      </w:r>
      <w:r>
        <w:rPr>
          <w:rFonts w:ascii="Arial" w:hAnsi="Arial"/>
          <w:b w:val="0"/>
          <w:i w:val="0"/>
          <w:color w:val="1E242A"/>
          <w:sz w:val="21"/>
        </w:rPr>
        <w:t xml:space="preserve"> interministerial PPCDAm, satellite monitoring, targeted enforcement, protected areas, credit and supply-chain constraints.</w:t>
      </w:r>
    </w:p>
    <w:p>
      <w:r>
        <w:rPr>
          <w:rFonts w:ascii="Arial" w:hAnsi="Arial"/>
          <w:b/>
          <w:i w:val="0"/>
          <w:color w:val="1E242A"/>
          <w:sz w:val="21"/>
        </w:rPr>
        <w:t>Institutional route:</w:t>
      </w:r>
      <w:r>
        <w:rPr>
          <w:rFonts w:ascii="Arial" w:hAnsi="Arial"/>
          <w:b w:val="0"/>
          <w:i w:val="0"/>
          <w:color w:val="1E242A"/>
          <w:sz w:val="21"/>
        </w:rPr>
        <w:t xml:space="preserve"> presidential coordination, agency budgets/operations, regulation and state/private cooperation.</w:t>
      </w:r>
    </w:p>
    <w:p>
      <w:r>
        <w:rPr>
          <w:rFonts w:ascii="Arial" w:hAnsi="Arial"/>
          <w:b/>
          <w:i w:val="0"/>
          <w:color w:val="1E242A"/>
          <w:sz w:val="21"/>
        </w:rPr>
        <w:t>Implementation:</w:t>
      </w:r>
      <w:r>
        <w:rPr>
          <w:rFonts w:ascii="Arial" w:hAnsi="Arial"/>
          <w:b w:val="0"/>
          <w:i w:val="0"/>
          <w:color w:val="1E242A"/>
          <w:sz w:val="21"/>
        </w:rPr>
        <w:t xml:space="preserve"> INPE detection enabled IBAMA operations; municipal priority lists and finance/market measures increased pressure.</w:t>
      </w:r>
    </w:p>
    <w:p>
      <w:r>
        <w:rPr>
          <w:rFonts w:ascii="Arial" w:hAnsi="Arial"/>
          <w:b/>
          <w:i w:val="0"/>
          <w:color w:val="1E242A"/>
          <w:sz w:val="21"/>
        </w:rPr>
        <w:t>Other actors:</w:t>
      </w:r>
      <w:r>
        <w:rPr>
          <w:rFonts w:ascii="Arial" w:hAnsi="Arial"/>
          <w:b w:val="0"/>
          <w:i w:val="0"/>
          <w:color w:val="1E242A"/>
          <w:sz w:val="21"/>
        </w:rPr>
        <w:t xml:space="preserve"> states, municipalities, landholders, agribusiness, prosecutors, donors and buyers.</w:t>
      </w:r>
    </w:p>
    <w:p>
      <w:r>
        <w:rPr>
          <w:rFonts w:ascii="Arial" w:hAnsi="Arial"/>
          <w:b/>
          <w:i w:val="0"/>
          <w:color w:val="1E242A"/>
          <w:sz w:val="21"/>
        </w:rPr>
        <w:t>Outcome:</w:t>
      </w:r>
      <w:r>
        <w:rPr>
          <w:rFonts w:ascii="Arial" w:hAnsi="Arial"/>
          <w:b w:val="0"/>
          <w:i w:val="0"/>
          <w:color w:val="1E242A"/>
          <w:sz w:val="21"/>
        </w:rPr>
        <w:t xml:space="preserve"> large observed deforestation decline.</w:t>
      </w:r>
    </w:p>
    <w:p>
      <w:r>
        <w:rPr>
          <w:rFonts w:ascii="Arial" w:hAnsi="Arial"/>
          <w:b/>
          <w:i w:val="0"/>
          <w:color w:val="1E242A"/>
          <w:sz w:val="21"/>
        </w:rPr>
        <w:t>Unintended/adaptive effects:</w:t>
      </w:r>
      <w:r>
        <w:rPr>
          <w:rFonts w:ascii="Arial" w:hAnsi="Arial"/>
          <w:b w:val="0"/>
          <w:i w:val="0"/>
          <w:color w:val="1E242A"/>
          <w:sz w:val="21"/>
        </w:rPr>
        <w:t xml:space="preserve"> displacement across places/activities and enforcement evasion.</w:t>
      </w:r>
    </w:p>
    <w:p>
      <w:r>
        <w:rPr>
          <w:rFonts w:ascii="Arial" w:hAnsi="Arial"/>
          <w:b/>
          <w:i w:val="0"/>
          <w:color w:val="1E242A"/>
          <w:sz w:val="21"/>
        </w:rPr>
        <w:t>What mattered:</w:t>
      </w:r>
      <w:r>
        <w:rPr>
          <w:rFonts w:ascii="Arial" w:hAnsi="Arial"/>
          <w:b w:val="0"/>
          <w:i w:val="0"/>
          <w:color w:val="1E242A"/>
          <w:sz w:val="21"/>
        </w:rPr>
        <w:t xml:space="preserve"> monitoring plus credible sanction, political backing, cross-agency coordination and changing market incentives.</w:t>
      </w:r>
    </w:p>
    <w:p>
      <w:r>
        <w:rPr>
          <w:rFonts w:ascii="Arial" w:hAnsi="Arial"/>
          <w:b/>
          <w:i w:val="0"/>
          <w:color w:val="1E242A"/>
          <w:sz w:val="21"/>
        </w:rPr>
        <w:t>Cannot conclude:</w:t>
      </w:r>
      <w:r>
        <w:rPr>
          <w:rFonts w:ascii="Arial" w:hAnsi="Arial"/>
          <w:b w:val="0"/>
          <w:i w:val="0"/>
          <w:color w:val="1E242A"/>
          <w:sz w:val="21"/>
        </w:rPr>
        <w:t xml:space="preserve"> the whole decline came from PPCDAm or would persist under high prices/weak enforcement.</w:t>
      </w:r>
    </w:p>
    <w:p>
      <w:r>
        <w:rPr>
          <w:rFonts w:ascii="Arial" w:hAnsi="Arial"/>
          <w:b/>
          <w:i w:val="0"/>
          <w:color w:val="1E242A"/>
          <w:sz w:val="21"/>
        </w:rPr>
        <w:t>Sovereign relevance:</w:t>
      </w:r>
      <w:r>
        <w:rPr>
          <w:rFonts w:ascii="Arial" w:hAnsi="Arial"/>
          <w:b w:val="0"/>
          <w:i w:val="0"/>
          <w:color w:val="1E242A"/>
          <w:sz w:val="21"/>
        </w:rPr>
        <w:t xml:space="preserve"> information changes enforcement capacity; policy bundles complicate causal attribution.</w:t>
      </w:r>
    </w:p>
    <w:p>
      <w:r>
        <w:rPr>
          <w:rFonts w:ascii="Arial" w:hAnsi="Arial"/>
          <w:b/>
          <w:i w:val="0"/>
          <w:color w:val="1E242A"/>
          <w:sz w:val="21"/>
        </w:rPr>
        <w:t>Sources/confidence:</w:t>
      </w:r>
      <w:r>
        <w:rPr>
          <w:rFonts w:ascii="Arial" w:hAnsi="Arial"/>
          <w:b w:val="0"/>
          <w:i w:val="0"/>
          <w:color w:val="1E242A"/>
          <w:sz w:val="21"/>
        </w:rPr>
        <w:t xml:space="preserve"> INPE series, IPEA/GIZ evaluation, causal studies. Moderate/High.</w:t>
      </w:r>
    </w:p>
    <w:p>
      <w:pPr>
        <w:pStyle w:val="Heading2"/>
      </w:pPr>
      <w:r>
        <w:rPr>
          <w:rFonts w:ascii="Arial" w:hAnsi="Arial"/>
          <w:b w:val="0"/>
          <w:i w:val="0"/>
          <w:color w:val="2C5F80"/>
          <w:sz w:val="27"/>
        </w:rPr>
        <w:t>C7. Rio federal intervention</w:t>
      </w:r>
    </w:p>
    <w:p>
      <w:r>
        <w:rPr>
          <w:rFonts w:ascii="Arial" w:hAnsi="Arial"/>
          <w:b/>
          <w:i w:val="0"/>
          <w:color w:val="1E242A"/>
          <w:sz w:val="21"/>
        </w:rPr>
        <w:t>Period / government / domain:</w:t>
      </w:r>
      <w:r>
        <w:rPr>
          <w:rFonts w:ascii="Arial" w:hAnsi="Arial"/>
          <w:b w:val="0"/>
          <w:i w:val="0"/>
          <w:color w:val="1E242A"/>
          <w:sz w:val="21"/>
        </w:rPr>
        <w:t xml:space="preserve"> Feb–Dec 2018; public security/federalism.</w:t>
      </w:r>
    </w:p>
    <w:p>
      <w:r>
        <w:rPr>
          <w:rFonts w:ascii="Arial" w:hAnsi="Arial"/>
          <w:b/>
          <w:i w:val="0"/>
          <w:color w:val="1E242A"/>
          <w:sz w:val="21"/>
        </w:rPr>
        <w:t>Problem:</w:t>
      </w:r>
      <w:r>
        <w:rPr>
          <w:rFonts w:ascii="Arial" w:hAnsi="Arial"/>
          <w:b w:val="0"/>
          <w:i w:val="0"/>
          <w:color w:val="1E242A"/>
          <w:sz w:val="21"/>
        </w:rPr>
        <w:t xml:space="preserve"> acute insecurity and state capacity/fiscal crisis.</w:t>
      </w:r>
    </w:p>
    <w:p>
      <w:r>
        <w:rPr>
          <w:rFonts w:ascii="Arial" w:hAnsi="Arial"/>
          <w:b/>
          <w:i w:val="0"/>
          <w:color w:val="1E242A"/>
          <w:sz w:val="21"/>
        </w:rPr>
        <w:t>Objective:</w:t>
      </w:r>
      <w:r>
        <w:rPr>
          <w:rFonts w:ascii="Arial" w:hAnsi="Arial"/>
          <w:b w:val="0"/>
          <w:i w:val="0"/>
          <w:color w:val="1E242A"/>
          <w:sz w:val="21"/>
        </w:rPr>
        <w:t xml:space="preserve"> restore order by replacing state security command.</w:t>
      </w:r>
    </w:p>
    <w:p>
      <w:r>
        <w:rPr>
          <w:rFonts w:ascii="Arial" w:hAnsi="Arial"/>
          <w:b/>
          <w:i w:val="0"/>
          <w:color w:val="1E242A"/>
          <w:sz w:val="21"/>
        </w:rPr>
        <w:t>Action:</w:t>
      </w:r>
      <w:r>
        <w:rPr>
          <w:rFonts w:ascii="Arial" w:hAnsi="Arial"/>
          <w:b w:val="0"/>
          <w:i w:val="0"/>
          <w:color w:val="1E242A"/>
          <w:sz w:val="21"/>
        </w:rPr>
        <w:t xml:space="preserve"> constitutional federal intervention limited to public security.</w:t>
      </w:r>
    </w:p>
    <w:p>
      <w:r>
        <w:rPr>
          <w:rFonts w:ascii="Arial" w:hAnsi="Arial"/>
          <w:b/>
          <w:i w:val="0"/>
          <w:color w:val="1E242A"/>
          <w:sz w:val="21"/>
        </w:rPr>
        <w:t>Institutional route:</w:t>
      </w:r>
      <w:r>
        <w:rPr>
          <w:rFonts w:ascii="Arial" w:hAnsi="Arial"/>
          <w:b w:val="0"/>
          <w:i w:val="0"/>
          <w:color w:val="1E242A"/>
          <w:sz w:val="21"/>
        </w:rPr>
        <w:t xml:space="preserve"> presidential decree and congressional approval; military intervener commanded covered state organs.</w:t>
      </w:r>
    </w:p>
    <w:p>
      <w:r>
        <w:rPr>
          <w:rFonts w:ascii="Arial" w:hAnsi="Arial"/>
          <w:b/>
          <w:i w:val="0"/>
          <w:color w:val="1E242A"/>
          <w:sz w:val="21"/>
        </w:rPr>
        <w:t>Implementation:</w:t>
      </w:r>
      <w:r>
        <w:rPr>
          <w:rFonts w:ascii="Arial" w:hAnsi="Arial"/>
          <w:b w:val="0"/>
          <w:i w:val="0"/>
          <w:color w:val="1E242A"/>
          <w:sz w:val="21"/>
        </w:rPr>
        <w:t xml:space="preserve"> operations, administrative reorganisation and federal resources over a fixed period.</w:t>
      </w:r>
    </w:p>
    <w:p>
      <w:r>
        <w:rPr>
          <w:rFonts w:ascii="Arial" w:hAnsi="Arial"/>
          <w:b/>
          <w:i w:val="0"/>
          <w:color w:val="1E242A"/>
          <w:sz w:val="21"/>
        </w:rPr>
        <w:t>Other actors:</w:t>
      </w:r>
      <w:r>
        <w:rPr>
          <w:rFonts w:ascii="Arial" w:hAnsi="Arial"/>
          <w:b w:val="0"/>
          <w:i w:val="0"/>
          <w:color w:val="1E242A"/>
          <w:sz w:val="21"/>
        </w:rPr>
        <w:t xml:space="preserve"> Rio government, police, Armed Forces, Congress, courts, residents and criminal groups.</w:t>
      </w:r>
    </w:p>
    <w:p>
      <w:r>
        <w:rPr>
          <w:rFonts w:ascii="Arial" w:hAnsi="Arial"/>
          <w:b/>
          <w:i w:val="0"/>
          <w:color w:val="1E242A"/>
          <w:sz w:val="21"/>
        </w:rPr>
        <w:t>Outcome:</w:t>
      </w:r>
      <w:r>
        <w:rPr>
          <w:rFonts w:ascii="Arial" w:hAnsi="Arial"/>
          <w:b w:val="0"/>
          <w:i w:val="0"/>
          <w:color w:val="1E242A"/>
          <w:sz w:val="21"/>
        </w:rPr>
        <w:t xml:space="preserve"> command substitution achieved; durable causal crime reduction not established.</w:t>
      </w:r>
    </w:p>
    <w:p>
      <w:r>
        <w:rPr>
          <w:rFonts w:ascii="Arial" w:hAnsi="Arial"/>
          <w:b/>
          <w:i w:val="0"/>
          <w:color w:val="1E242A"/>
          <w:sz w:val="21"/>
        </w:rPr>
        <w:t>Unintended consequences:</w:t>
      </w:r>
      <w:r>
        <w:rPr>
          <w:rFonts w:ascii="Arial" w:hAnsi="Arial"/>
          <w:b w:val="0"/>
          <w:i w:val="0"/>
          <w:color w:val="1E242A"/>
          <w:sz w:val="21"/>
        </w:rPr>
        <w:t xml:space="preserve"> militarisation concerns, civilian harm allegations and diversion from structural reform.</w:t>
      </w:r>
    </w:p>
    <w:p>
      <w:r>
        <w:rPr>
          <w:rFonts w:ascii="Arial" w:hAnsi="Arial"/>
          <w:b/>
          <w:i w:val="0"/>
          <w:color w:val="1E242A"/>
          <w:sz w:val="21"/>
        </w:rPr>
        <w:t>What mattered:</w:t>
      </w:r>
      <w:r>
        <w:rPr>
          <w:rFonts w:ascii="Arial" w:hAnsi="Arial"/>
          <w:b w:val="0"/>
          <w:i w:val="0"/>
          <w:color w:val="1E242A"/>
          <w:sz w:val="21"/>
        </w:rPr>
        <w:t xml:space="preserve"> exceptional legal authority and chain of command; time/fiscal/institutional limits.</w:t>
      </w:r>
    </w:p>
    <w:p>
      <w:r>
        <w:rPr>
          <w:rFonts w:ascii="Arial" w:hAnsi="Arial"/>
          <w:b/>
          <w:i w:val="0"/>
          <w:color w:val="1E242A"/>
          <w:sz w:val="21"/>
        </w:rPr>
        <w:t>Cannot conclude:</w:t>
      </w:r>
      <w:r>
        <w:rPr>
          <w:rFonts w:ascii="Arial" w:hAnsi="Arial"/>
          <w:b w:val="0"/>
          <w:i w:val="0"/>
          <w:color w:val="1E242A"/>
          <w:sz w:val="21"/>
        </w:rPr>
        <w:t xml:space="preserve"> that federal or military control alone repairs policing, prisons or governance.</w:t>
      </w:r>
    </w:p>
    <w:p>
      <w:r>
        <w:rPr>
          <w:rFonts w:ascii="Arial" w:hAnsi="Arial"/>
          <w:b/>
          <w:i w:val="0"/>
          <w:color w:val="1E242A"/>
          <w:sz w:val="21"/>
        </w:rPr>
        <w:t>Sovereign relevance:</w:t>
      </w:r>
      <w:r>
        <w:rPr>
          <w:rFonts w:ascii="Arial" w:hAnsi="Arial"/>
          <w:b w:val="0"/>
          <w:i w:val="0"/>
          <w:color w:val="1E242A"/>
          <w:sz w:val="21"/>
        </w:rPr>
        <w:t xml:space="preserve"> emergency authority can change command faster than capacity.</w:t>
      </w:r>
    </w:p>
    <w:p>
      <w:r>
        <w:rPr>
          <w:rFonts w:ascii="Arial" w:hAnsi="Arial"/>
          <w:b/>
          <w:i w:val="0"/>
          <w:color w:val="1E242A"/>
          <w:sz w:val="21"/>
        </w:rPr>
        <w:t>Confidence:</w:t>
      </w:r>
      <w:r>
        <w:rPr>
          <w:rFonts w:ascii="Arial" w:hAnsi="Arial"/>
          <w:b w:val="0"/>
          <w:i w:val="0"/>
          <w:color w:val="1E242A"/>
          <w:sz w:val="21"/>
        </w:rPr>
        <w:t xml:space="preserve"> High institutional; Low/Moderate outcome.</w:t>
      </w:r>
    </w:p>
    <w:p>
      <w:pPr>
        <w:pStyle w:val="Heading2"/>
      </w:pPr>
      <w:r>
        <w:rPr>
          <w:rFonts w:ascii="Arial" w:hAnsi="Arial"/>
          <w:b w:val="0"/>
          <w:i w:val="0"/>
          <w:color w:val="2C5F80"/>
          <w:sz w:val="27"/>
        </w:rPr>
        <w:t>C8. Dilma impeachment and Temer survival counterfactual set</w:t>
      </w:r>
    </w:p>
    <w:p>
      <w:r>
        <w:rPr>
          <w:rFonts w:ascii="Arial" w:hAnsi="Arial"/>
          <w:b/>
          <w:i w:val="0"/>
          <w:color w:val="1E242A"/>
          <w:sz w:val="21"/>
        </w:rPr>
        <w:t>Period / government / domain:</w:t>
      </w:r>
      <w:r>
        <w:rPr>
          <w:rFonts w:ascii="Arial" w:hAnsi="Arial"/>
          <w:b w:val="0"/>
          <w:i w:val="0"/>
          <w:color w:val="1E242A"/>
          <w:sz w:val="21"/>
        </w:rPr>
        <w:t xml:space="preserve"> 2015–17; presidential survival.</w:t>
      </w:r>
    </w:p>
    <w:p>
      <w:r>
        <w:rPr>
          <w:rFonts w:ascii="Arial" w:hAnsi="Arial"/>
          <w:b/>
          <w:i w:val="0"/>
          <w:color w:val="1E242A"/>
          <w:sz w:val="21"/>
        </w:rPr>
        <w:t>Problem:</w:t>
      </w:r>
      <w:r>
        <w:rPr>
          <w:rFonts w:ascii="Arial" w:hAnsi="Arial"/>
          <w:b w:val="0"/>
          <w:i w:val="0"/>
          <w:color w:val="1E242A"/>
          <w:sz w:val="21"/>
        </w:rPr>
        <w:t xml:space="preserve"> fiscal allegations, recession, scandal, low approval and coalition conflict; later criminal accusations against successor.</w:t>
      </w:r>
    </w:p>
    <w:p>
      <w:r>
        <w:rPr>
          <w:rFonts w:ascii="Arial" w:hAnsi="Arial"/>
          <w:b/>
          <w:i w:val="0"/>
          <w:color w:val="1E242A"/>
          <w:sz w:val="21"/>
        </w:rPr>
        <w:t>Objective:</w:t>
      </w:r>
      <w:r>
        <w:rPr>
          <w:rFonts w:ascii="Arial" w:hAnsi="Arial"/>
          <w:b w:val="0"/>
          <w:i w:val="0"/>
          <w:color w:val="1E242A"/>
          <w:sz w:val="21"/>
        </w:rPr>
        <w:t xml:space="preserve"> opposition sought removal; presidents sought sufficient legislative support to survive.</w:t>
      </w:r>
    </w:p>
    <w:p>
      <w:r>
        <w:rPr>
          <w:rFonts w:ascii="Arial" w:hAnsi="Arial"/>
          <w:b/>
          <w:i w:val="0"/>
          <w:color w:val="1E242A"/>
          <w:sz w:val="21"/>
        </w:rPr>
        <w:t>Action:</w:t>
      </w:r>
      <w:r>
        <w:rPr>
          <w:rFonts w:ascii="Arial" w:hAnsi="Arial"/>
          <w:b w:val="0"/>
          <w:i w:val="0"/>
          <w:color w:val="1E242A"/>
          <w:sz w:val="21"/>
        </w:rPr>
        <w:t xml:space="preserve"> impeachment petition/authorisation/trial versus Chamber authorisation requests for STF criminal trial.</w:t>
      </w:r>
    </w:p>
    <w:p>
      <w:r>
        <w:rPr>
          <w:rFonts w:ascii="Arial" w:hAnsi="Arial"/>
          <w:b/>
          <w:i w:val="0"/>
          <w:color w:val="1E242A"/>
          <w:sz w:val="21"/>
        </w:rPr>
        <w:t>Institutional route:</w:t>
      </w:r>
      <w:r>
        <w:rPr>
          <w:rFonts w:ascii="Arial" w:hAnsi="Arial"/>
          <w:b w:val="0"/>
          <w:i w:val="0"/>
          <w:color w:val="1E242A"/>
          <w:sz w:val="21"/>
        </w:rPr>
        <w:t xml:space="preserve"> Chamber and Senate supermajorities for impeachment; two-thirds Chamber authorisation for trial of sitting president.</w:t>
      </w:r>
    </w:p>
    <w:p>
      <w:r>
        <w:rPr>
          <w:rFonts w:ascii="Arial" w:hAnsi="Arial"/>
          <w:b/>
          <w:i w:val="0"/>
          <w:color w:val="1E242A"/>
          <w:sz w:val="21"/>
        </w:rPr>
        <w:t>Implementation:</w:t>
      </w:r>
      <w:r>
        <w:rPr>
          <w:rFonts w:ascii="Arial" w:hAnsi="Arial"/>
          <w:b w:val="0"/>
          <w:i w:val="0"/>
          <w:color w:val="1E242A"/>
          <w:sz w:val="21"/>
        </w:rPr>
        <w:t xml:space="preserve"> Dilma coalition defected and Senate removed her 61–20; Temer retained a blocking minority twice.</w:t>
      </w:r>
    </w:p>
    <w:p>
      <w:r>
        <w:rPr>
          <w:rFonts w:ascii="Arial" w:hAnsi="Arial"/>
          <w:b/>
          <w:i w:val="0"/>
          <w:color w:val="1E242A"/>
          <w:sz w:val="21"/>
        </w:rPr>
        <w:t>Other actors:</w:t>
      </w:r>
      <w:r>
        <w:rPr>
          <w:rFonts w:ascii="Arial" w:hAnsi="Arial"/>
          <w:b w:val="0"/>
          <w:i w:val="0"/>
          <w:color w:val="1E242A"/>
          <w:sz w:val="21"/>
        </w:rPr>
        <w:t xml:space="preserve"> Chamber leadership, PMDB, PGR/STF, vice president, protests, media and business/labour groups.</w:t>
      </w:r>
    </w:p>
    <w:p>
      <w:r>
        <w:rPr>
          <w:rFonts w:ascii="Arial" w:hAnsi="Arial"/>
          <w:b/>
          <w:i w:val="0"/>
          <w:color w:val="1E242A"/>
          <w:sz w:val="21"/>
        </w:rPr>
        <w:t>Outcome:</w:t>
      </w:r>
      <w:r>
        <w:rPr>
          <w:rFonts w:ascii="Arial" w:hAnsi="Arial"/>
          <w:b w:val="0"/>
          <w:i w:val="0"/>
          <w:color w:val="1E242A"/>
          <w:sz w:val="21"/>
        </w:rPr>
        <w:t xml:space="preserve"> removal in one case, survival in the other despite both presidents' low approval.</w:t>
      </w:r>
    </w:p>
    <w:p>
      <w:r>
        <w:rPr>
          <w:rFonts w:ascii="Arial" w:hAnsi="Arial"/>
          <w:b/>
          <w:i w:val="0"/>
          <w:color w:val="1E242A"/>
          <w:sz w:val="21"/>
        </w:rPr>
        <w:t>What mattered:</w:t>
      </w:r>
      <w:r>
        <w:rPr>
          <w:rFonts w:ascii="Arial" w:hAnsi="Arial"/>
          <w:b w:val="0"/>
          <w:i w:val="0"/>
          <w:color w:val="1E242A"/>
          <w:sz w:val="21"/>
        </w:rPr>
        <w:t xml:space="preserve"> legislative coalition, leadership agenda control, succession incentives, allegations and context.</w:t>
      </w:r>
    </w:p>
    <w:p>
      <w:r>
        <w:rPr>
          <w:rFonts w:ascii="Arial" w:hAnsi="Arial"/>
          <w:b/>
          <w:i w:val="0"/>
          <w:color w:val="1E242A"/>
          <w:sz w:val="21"/>
        </w:rPr>
        <w:t>Cannot conclude:</w:t>
      </w:r>
      <w:r>
        <w:rPr>
          <w:rFonts w:ascii="Arial" w:hAnsi="Arial"/>
          <w:b w:val="0"/>
          <w:i w:val="0"/>
          <w:color w:val="1E242A"/>
          <w:sz w:val="21"/>
        </w:rPr>
        <w:t xml:space="preserve"> a numerical approval or economic threshold causes removal; Dilma's legal interpretation remains contested.</w:t>
      </w:r>
    </w:p>
    <w:p>
      <w:r>
        <w:rPr>
          <w:rFonts w:ascii="Arial" w:hAnsi="Arial"/>
          <w:b/>
          <w:i w:val="0"/>
          <w:color w:val="1E242A"/>
          <w:sz w:val="21"/>
        </w:rPr>
        <w:t>Sovereign relevance:</w:t>
      </w:r>
      <w:r>
        <w:rPr>
          <w:rFonts w:ascii="Arial" w:hAnsi="Arial"/>
          <w:b w:val="0"/>
          <w:i w:val="0"/>
          <w:color w:val="1E242A"/>
          <w:sz w:val="21"/>
        </w:rPr>
        <w:t xml:space="preserve"> survival state must be actor-based and procedural, not a popularity check.</w:t>
      </w:r>
    </w:p>
    <w:p>
      <w:r>
        <w:rPr>
          <w:rFonts w:ascii="Arial" w:hAnsi="Arial"/>
          <w:b/>
          <w:i w:val="0"/>
          <w:color w:val="1E242A"/>
          <w:sz w:val="21"/>
        </w:rPr>
        <w:t>Confidence:</w:t>
      </w:r>
      <w:r>
        <w:rPr>
          <w:rFonts w:ascii="Arial" w:hAnsi="Arial"/>
          <w:b w:val="0"/>
          <w:i w:val="0"/>
          <w:color w:val="1E242A"/>
          <w:sz w:val="21"/>
        </w:rPr>
        <w:t xml:space="preserve"> High process/outcomes; Moderate/Low causal weights.</w:t>
      </w:r>
    </w:p>
    <w:p>
      <w:pPr>
        <w:pStyle w:val="Heading2"/>
      </w:pPr>
      <w:r>
        <w:rPr>
          <w:rFonts w:ascii="Arial" w:hAnsi="Arial"/>
          <w:b w:val="0"/>
          <w:i w:val="0"/>
          <w:color w:val="2C5F80"/>
          <w:sz w:val="27"/>
        </w:rPr>
        <w:t>C9. Lava Jato enforcement and reversal</w:t>
      </w:r>
    </w:p>
    <w:p>
      <w:r>
        <w:rPr>
          <w:rFonts w:ascii="Arial" w:hAnsi="Arial"/>
          <w:b/>
          <w:i w:val="0"/>
          <w:color w:val="1E242A"/>
          <w:sz w:val="21"/>
        </w:rPr>
        <w:t>Period / government / domain:</w:t>
      </w:r>
      <w:r>
        <w:rPr>
          <w:rFonts w:ascii="Arial" w:hAnsi="Arial"/>
          <w:b w:val="0"/>
          <w:i w:val="0"/>
          <w:color w:val="1E242A"/>
          <w:sz w:val="21"/>
        </w:rPr>
        <w:t xml:space="preserve"> 2014–21+; integrity/judicial.</w:t>
      </w:r>
    </w:p>
    <w:p>
      <w:r>
        <w:rPr>
          <w:rFonts w:ascii="Arial" w:hAnsi="Arial"/>
          <w:b/>
          <w:i w:val="0"/>
          <w:color w:val="1E242A"/>
          <w:sz w:val="21"/>
        </w:rPr>
        <w:t>Problem:</w:t>
      </w:r>
      <w:r>
        <w:rPr>
          <w:rFonts w:ascii="Arial" w:hAnsi="Arial"/>
          <w:b w:val="0"/>
          <w:i w:val="0"/>
          <w:color w:val="1E242A"/>
          <w:sz w:val="21"/>
        </w:rPr>
        <w:t xml:space="preserve"> cartelised procurement and political corruption.</w:t>
      </w:r>
    </w:p>
    <w:p>
      <w:r>
        <w:rPr>
          <w:rFonts w:ascii="Arial" w:hAnsi="Arial"/>
          <w:b/>
          <w:i w:val="0"/>
          <w:color w:val="1E242A"/>
          <w:sz w:val="21"/>
        </w:rPr>
        <w:t>Objective:</w:t>
      </w:r>
      <w:r>
        <w:rPr>
          <w:rFonts w:ascii="Arial" w:hAnsi="Arial"/>
          <w:b w:val="0"/>
          <w:i w:val="0"/>
          <w:color w:val="1E242A"/>
          <w:sz w:val="21"/>
        </w:rPr>
        <w:t xml:space="preserve"> investigate, prosecute, recover assets and deter networks.</w:t>
      </w:r>
    </w:p>
    <w:p>
      <w:r>
        <w:rPr>
          <w:rFonts w:ascii="Arial" w:hAnsi="Arial"/>
          <w:b/>
          <w:i w:val="0"/>
          <w:color w:val="1E242A"/>
          <w:sz w:val="21"/>
        </w:rPr>
        <w:t>Action:</w:t>
      </w:r>
      <w:r>
        <w:rPr>
          <w:rFonts w:ascii="Arial" w:hAnsi="Arial"/>
          <w:b w:val="0"/>
          <w:i w:val="0"/>
          <w:color w:val="1E242A"/>
          <w:sz w:val="21"/>
        </w:rPr>
        <w:t xml:space="preserve"> PF investigations, MPF cases, plea/leniency agreements and judicial coercive measures.</w:t>
      </w:r>
    </w:p>
    <w:p>
      <w:r>
        <w:rPr>
          <w:rFonts w:ascii="Arial" w:hAnsi="Arial"/>
          <w:b/>
          <w:i w:val="0"/>
          <w:color w:val="1E242A"/>
          <w:sz w:val="21"/>
        </w:rPr>
        <w:t>Institutional route:</w:t>
      </w:r>
      <w:r>
        <w:rPr>
          <w:rFonts w:ascii="Arial" w:hAnsi="Arial"/>
          <w:b w:val="0"/>
          <w:i w:val="0"/>
          <w:color w:val="1E242A"/>
          <w:sz w:val="21"/>
        </w:rPr>
        <w:t xml:space="preserve"> autonomous enforcement and courts, with jurisdiction and due-process requirements.</w:t>
      </w:r>
    </w:p>
    <w:p>
      <w:r>
        <w:rPr>
          <w:rFonts w:ascii="Arial" w:hAnsi="Arial"/>
          <w:b/>
          <w:i w:val="0"/>
          <w:color w:val="1E242A"/>
          <w:sz w:val="21"/>
        </w:rPr>
        <w:t>Implementation:</w:t>
      </w:r>
      <w:r>
        <w:rPr>
          <w:rFonts w:ascii="Arial" w:hAnsi="Arial"/>
          <w:b w:val="0"/>
          <w:i w:val="0"/>
          <w:color w:val="1E242A"/>
          <w:sz w:val="21"/>
        </w:rPr>
        <w:t xml:space="preserve"> convictions, settlements and recoveries; later STF reassignment/annulment and partiality finding.</w:t>
      </w:r>
    </w:p>
    <w:p>
      <w:r>
        <w:rPr>
          <w:rFonts w:ascii="Arial" w:hAnsi="Arial"/>
          <w:b/>
          <w:i w:val="0"/>
          <w:color w:val="1E242A"/>
          <w:sz w:val="21"/>
        </w:rPr>
        <w:t>Other actors:</w:t>
      </w:r>
      <w:r>
        <w:rPr>
          <w:rFonts w:ascii="Arial" w:hAnsi="Arial"/>
          <w:b w:val="0"/>
          <w:i w:val="0"/>
          <w:color w:val="1E242A"/>
          <w:sz w:val="21"/>
        </w:rPr>
        <w:t xml:space="preserve"> Petrobras, contractors, parties, media, Congress and foreign authorities.</w:t>
      </w:r>
    </w:p>
    <w:p>
      <w:r>
        <w:rPr>
          <w:rFonts w:ascii="Arial" w:hAnsi="Arial"/>
          <w:b/>
          <w:i w:val="0"/>
          <w:color w:val="1E242A"/>
          <w:sz w:val="21"/>
        </w:rPr>
        <w:t>Outcomes:</w:t>
      </w:r>
      <w:r>
        <w:rPr>
          <w:rFonts w:ascii="Arial" w:hAnsi="Arial"/>
          <w:b w:val="0"/>
          <w:i w:val="0"/>
          <w:color w:val="1E242A"/>
          <w:sz w:val="21"/>
        </w:rPr>
        <w:t xml:space="preserve"> wrongdoing exposed and assets recovered; major political/business disruption; central cases invalidated.</w:t>
      </w:r>
    </w:p>
    <w:p>
      <w:r>
        <w:rPr>
          <w:rFonts w:ascii="Arial" w:hAnsi="Arial"/>
          <w:b/>
          <w:i w:val="0"/>
          <w:color w:val="1E242A"/>
          <w:sz w:val="21"/>
        </w:rPr>
        <w:t>Unintended consequences:</w:t>
      </w:r>
      <w:r>
        <w:rPr>
          <w:rFonts w:ascii="Arial" w:hAnsi="Arial"/>
          <w:b w:val="0"/>
          <w:i w:val="0"/>
          <w:color w:val="1E242A"/>
          <w:sz w:val="21"/>
        </w:rPr>
        <w:t xml:space="preserve"> legitimacy loss from overreach, market concentration disruption and polarisation.</w:t>
      </w:r>
    </w:p>
    <w:p>
      <w:r>
        <w:rPr>
          <w:rFonts w:ascii="Arial" w:hAnsi="Arial"/>
          <w:b/>
          <w:i w:val="0"/>
          <w:color w:val="1E242A"/>
          <w:sz w:val="21"/>
        </w:rPr>
        <w:t>What mattered:</w:t>
      </w:r>
      <w:r>
        <w:rPr>
          <w:rFonts w:ascii="Arial" w:hAnsi="Arial"/>
          <w:b w:val="0"/>
          <w:i w:val="0"/>
          <w:color w:val="1E242A"/>
          <w:sz w:val="21"/>
        </w:rPr>
        <w:t xml:space="preserve"> institutional autonomy, cooperation evidence and public support; also lawful forum and impartiality.</w:t>
      </w:r>
    </w:p>
    <w:p>
      <w:r>
        <w:rPr>
          <w:rFonts w:ascii="Arial" w:hAnsi="Arial"/>
          <w:b/>
          <w:i w:val="0"/>
          <w:color w:val="1E242A"/>
          <w:sz w:val="21"/>
        </w:rPr>
        <w:t>Cannot conclude:</w:t>
      </w:r>
      <w:r>
        <w:rPr>
          <w:rFonts w:ascii="Arial" w:hAnsi="Arial"/>
          <w:b w:val="0"/>
          <w:i w:val="0"/>
          <w:color w:val="1E242A"/>
          <w:sz w:val="21"/>
        </w:rPr>
        <w:t xml:space="preserve"> all allegations were false, all losses were enforcement-caused, or net democratic effect has a settled sign.</w:t>
      </w:r>
    </w:p>
    <w:p>
      <w:r>
        <w:rPr>
          <w:rFonts w:ascii="Arial" w:hAnsi="Arial"/>
          <w:b/>
          <w:i w:val="0"/>
          <w:color w:val="1E242A"/>
          <w:sz w:val="21"/>
        </w:rPr>
        <w:t>Sovereign relevance:</w:t>
      </w:r>
      <w:r>
        <w:rPr>
          <w:rFonts w:ascii="Arial" w:hAnsi="Arial"/>
          <w:b w:val="0"/>
          <w:i w:val="0"/>
          <w:color w:val="1E242A"/>
          <w:sz w:val="21"/>
        </w:rPr>
        <w:t xml:space="preserve"> powerful enforcement can generate systemic effects and be reversed if procedure fails.</w:t>
      </w:r>
    </w:p>
    <w:p>
      <w:r>
        <w:rPr>
          <w:rFonts w:ascii="Arial" w:hAnsi="Arial"/>
          <w:b/>
          <w:i w:val="0"/>
          <w:color w:val="1E242A"/>
          <w:sz w:val="21"/>
        </w:rPr>
        <w:t>Confidence:</w:t>
      </w:r>
      <w:r>
        <w:rPr>
          <w:rFonts w:ascii="Arial" w:hAnsi="Arial"/>
          <w:b w:val="0"/>
          <w:i w:val="0"/>
          <w:color w:val="1E242A"/>
          <w:sz w:val="21"/>
        </w:rPr>
        <w:t xml:space="preserve"> High on legal events; disputed causation.</w:t>
      </w:r>
    </w:p>
    <w:p>
      <w:pPr>
        <w:pStyle w:val="Heading2"/>
      </w:pPr>
      <w:r>
        <w:rPr>
          <w:rFonts w:ascii="Arial" w:hAnsi="Arial"/>
          <w:b w:val="0"/>
          <w:i w:val="0"/>
          <w:color w:val="2C5F80"/>
          <w:sz w:val="27"/>
        </w:rPr>
        <w:t>C10. WTO Upland Cotton</w:t>
      </w:r>
    </w:p>
    <w:p>
      <w:r>
        <w:rPr>
          <w:rFonts w:ascii="Arial" w:hAnsi="Arial"/>
          <w:b/>
          <w:i w:val="0"/>
          <w:color w:val="1E242A"/>
          <w:sz w:val="21"/>
        </w:rPr>
        <w:t>Period / government / domain:</w:t>
      </w:r>
      <w:r>
        <w:rPr>
          <w:rFonts w:ascii="Arial" w:hAnsi="Arial"/>
          <w:b w:val="0"/>
          <w:i w:val="0"/>
          <w:color w:val="1E242A"/>
          <w:sz w:val="21"/>
        </w:rPr>
        <w:t xml:space="preserve"> 2002–14; trade diplomacy.</w:t>
      </w:r>
    </w:p>
    <w:p>
      <w:r>
        <w:rPr>
          <w:rFonts w:ascii="Arial" w:hAnsi="Arial"/>
          <w:b/>
          <w:i w:val="0"/>
          <w:color w:val="1E242A"/>
          <w:sz w:val="21"/>
        </w:rPr>
        <w:t>Problem:</w:t>
      </w:r>
      <w:r>
        <w:rPr>
          <w:rFonts w:ascii="Arial" w:hAnsi="Arial"/>
          <w:b w:val="0"/>
          <w:i w:val="0"/>
          <w:color w:val="1E242A"/>
          <w:sz w:val="21"/>
        </w:rPr>
        <w:t xml:space="preserve"> alleged trade injury from US cotton subsidies.</w:t>
      </w:r>
    </w:p>
    <w:p>
      <w:r>
        <w:rPr>
          <w:rFonts w:ascii="Arial" w:hAnsi="Arial"/>
          <w:b/>
          <w:i w:val="0"/>
          <w:color w:val="1E242A"/>
          <w:sz w:val="21"/>
        </w:rPr>
        <w:t>Objective:</w:t>
      </w:r>
      <w:r>
        <w:rPr>
          <w:rFonts w:ascii="Arial" w:hAnsi="Arial"/>
          <w:b w:val="0"/>
          <w:i w:val="0"/>
          <w:color w:val="1E242A"/>
          <w:sz w:val="21"/>
        </w:rPr>
        <w:t xml:space="preserve"> secure compliance or compensation.</w:t>
      </w:r>
    </w:p>
    <w:p>
      <w:r>
        <w:rPr>
          <w:rFonts w:ascii="Arial" w:hAnsi="Arial"/>
          <w:b/>
          <w:i w:val="0"/>
          <w:color w:val="1E242A"/>
          <w:sz w:val="21"/>
        </w:rPr>
        <w:t>Action:</w:t>
      </w:r>
      <w:r>
        <w:rPr>
          <w:rFonts w:ascii="Arial" w:hAnsi="Arial"/>
          <w:b w:val="0"/>
          <w:i w:val="0"/>
          <w:color w:val="1E242A"/>
          <w:sz w:val="21"/>
        </w:rPr>
        <w:t xml:space="preserve"> WTO dispute, sustained evidence, coalition diplomacy and preparation for retaliation.</w:t>
      </w:r>
    </w:p>
    <w:p>
      <w:r>
        <w:rPr>
          <w:rFonts w:ascii="Arial" w:hAnsi="Arial"/>
          <w:b/>
          <w:i w:val="0"/>
          <w:color w:val="1E242A"/>
          <w:sz w:val="21"/>
        </w:rPr>
        <w:t>Institutional route:</w:t>
      </w:r>
      <w:r>
        <w:rPr>
          <w:rFonts w:ascii="Arial" w:hAnsi="Arial"/>
          <w:b w:val="0"/>
          <w:i w:val="0"/>
          <w:color w:val="1E242A"/>
          <w:sz w:val="21"/>
        </w:rPr>
        <w:t xml:space="preserve"> MRE/CAMEX and producers before WTO panels/Appellate Body/arbitration; domestic retaliation authority.</w:t>
      </w:r>
    </w:p>
    <w:p>
      <w:r>
        <w:rPr>
          <w:rFonts w:ascii="Arial" w:hAnsi="Arial"/>
          <w:b/>
          <w:i w:val="0"/>
          <w:color w:val="1E242A"/>
          <w:sz w:val="21"/>
        </w:rPr>
        <w:t>Implementation:</w:t>
      </w:r>
      <w:r>
        <w:rPr>
          <w:rFonts w:ascii="Arial" w:hAnsi="Arial"/>
          <w:b w:val="0"/>
          <w:i w:val="0"/>
          <w:color w:val="1E242A"/>
          <w:sz w:val="21"/>
        </w:rPr>
        <w:t xml:space="preserve"> favourable rulings, authorised countermeasures, 2010 framework and 2014 settlement.</w:t>
      </w:r>
    </w:p>
    <w:p>
      <w:r>
        <w:rPr>
          <w:rFonts w:ascii="Arial" w:hAnsi="Arial"/>
          <w:b/>
          <w:i w:val="0"/>
          <w:color w:val="1E242A"/>
          <w:sz w:val="21"/>
        </w:rPr>
        <w:t>Other actors:</w:t>
      </w:r>
      <w:r>
        <w:rPr>
          <w:rFonts w:ascii="Arial" w:hAnsi="Arial"/>
          <w:b w:val="0"/>
          <w:i w:val="0"/>
          <w:color w:val="1E242A"/>
          <w:sz w:val="21"/>
        </w:rPr>
        <w:t xml:space="preserve"> US executive/Congress, Brazilian producers and WTO members.</w:t>
      </w:r>
    </w:p>
    <w:p>
      <w:r>
        <w:rPr>
          <w:rFonts w:ascii="Arial" w:hAnsi="Arial"/>
          <w:b/>
          <w:i w:val="0"/>
          <w:color w:val="1E242A"/>
          <w:sz w:val="21"/>
        </w:rPr>
        <w:t>Outcome:</w:t>
      </w:r>
      <w:r>
        <w:rPr>
          <w:rFonts w:ascii="Arial" w:hAnsi="Arial"/>
          <w:b w:val="0"/>
          <w:i w:val="0"/>
          <w:color w:val="1E242A"/>
          <w:sz w:val="21"/>
        </w:rPr>
        <w:t xml:space="preserve"> negotiated compensation and policy resolution after protracted litigation.</w:t>
      </w:r>
    </w:p>
    <w:p>
      <w:r>
        <w:rPr>
          <w:rFonts w:ascii="Arial" w:hAnsi="Arial"/>
          <w:b/>
          <w:i w:val="0"/>
          <w:color w:val="1E242A"/>
          <w:sz w:val="21"/>
        </w:rPr>
        <w:t>What mattered:</w:t>
      </w:r>
      <w:r>
        <w:rPr>
          <w:rFonts w:ascii="Arial" w:hAnsi="Arial"/>
          <w:b w:val="0"/>
          <w:i w:val="0"/>
          <w:color w:val="1E242A"/>
          <w:sz w:val="21"/>
        </w:rPr>
        <w:t xml:space="preserve"> strong legal claim, specialist continuity, producer support and credible cross-retaliation.</w:t>
      </w:r>
    </w:p>
    <w:p>
      <w:r>
        <w:rPr>
          <w:rFonts w:ascii="Arial" w:hAnsi="Arial"/>
          <w:b/>
          <w:i w:val="0"/>
          <w:color w:val="1E242A"/>
          <w:sz w:val="21"/>
        </w:rPr>
        <w:t>Cannot conclude:</w:t>
      </w:r>
      <w:r>
        <w:rPr>
          <w:rFonts w:ascii="Arial" w:hAnsi="Arial"/>
          <w:b w:val="0"/>
          <w:i w:val="0"/>
          <w:color w:val="1E242A"/>
          <w:sz w:val="21"/>
        </w:rPr>
        <w:t xml:space="preserve"> every trade dispute yields leverage or that litigation alone produced US change.</w:t>
      </w:r>
    </w:p>
    <w:p>
      <w:r>
        <w:rPr>
          <w:rFonts w:ascii="Arial" w:hAnsi="Arial"/>
          <w:b/>
          <w:i w:val="0"/>
          <w:color w:val="1E242A"/>
          <w:sz w:val="21"/>
        </w:rPr>
        <w:t>Sovereign relevance:</w:t>
      </w:r>
      <w:r>
        <w:rPr>
          <w:rFonts w:ascii="Arial" w:hAnsi="Arial"/>
          <w:b w:val="0"/>
          <w:i w:val="0"/>
          <w:color w:val="1E242A"/>
          <w:sz w:val="21"/>
        </w:rPr>
        <w:t xml:space="preserve"> counterpart incentives and enforcement credibility shape negotiation.</w:t>
      </w:r>
    </w:p>
    <w:p>
      <w:r>
        <w:rPr>
          <w:rFonts w:ascii="Arial" w:hAnsi="Arial"/>
          <w:b/>
          <w:i w:val="0"/>
          <w:color w:val="1E242A"/>
          <w:sz w:val="21"/>
        </w:rPr>
        <w:t>Sources/confidence:</w:t>
      </w:r>
      <w:r>
        <w:rPr>
          <w:rFonts w:ascii="Arial" w:hAnsi="Arial"/>
          <w:b w:val="0"/>
          <w:i w:val="0"/>
          <w:color w:val="1E242A"/>
          <w:sz w:val="21"/>
        </w:rPr>
        <w:t xml:space="preserve"> WTO DS267 record. High.</w:t>
      </w:r>
    </w:p>
    <w:p>
      <w:pPr>
        <w:pStyle w:val="Heading1"/>
      </w:pPr>
      <w:r>
        <w:rPr>
          <w:rFonts w:ascii="Arial" w:hAnsi="Arial"/>
          <w:b w:val="0"/>
          <w:i w:val="0"/>
          <w:color w:val="183752"/>
          <w:sz w:val="34"/>
        </w:rPr>
        <w:t>D. Actor and Institutional Learning Findings</w:t>
      </w:r>
    </w:p>
    <w:p>
      <w:pPr>
        <w:pStyle w:val="ListBullet"/>
        <w:numPr>
          <w:ilvl w:val="0"/>
          <w:numId w:val="2"/>
        </w:numPr>
      </w:pPr>
      <w:r>
        <w:rPr>
          <w:rFonts w:ascii="Arial" w:hAnsi="Arial"/>
          <w:b/>
          <w:i w:val="0"/>
          <w:color w:val="1E242A"/>
          <w:sz w:val="20"/>
        </w:rPr>
        <w:t>Observed with strong evidence:</w:t>
      </w:r>
      <w:r>
        <w:rPr>
          <w:rFonts w:ascii="Arial" w:hAnsi="Arial"/>
          <w:b w:val="0"/>
          <w:i w:val="0"/>
          <w:color w:val="1E242A"/>
          <w:sz w:val="20"/>
        </w:rPr>
        <w:t xml:space="preserve"> Real Plan designers explicitly distinguished their staged, non-freeze approach from failed plans; institutional accounts document the three-stage design. This is genuine policy learning.</w:t>
      </w:r>
    </w:p>
    <w:p>
      <w:pPr>
        <w:pStyle w:val="ListBullet"/>
        <w:numPr>
          <w:ilvl w:val="0"/>
          <w:numId w:val="2"/>
        </w:numPr>
      </w:pPr>
      <w:r>
        <w:rPr>
          <w:rFonts w:ascii="Arial" w:hAnsi="Arial"/>
          <w:b/>
          <w:i w:val="0"/>
          <w:color w:val="1E242A"/>
          <w:sz w:val="20"/>
        </w:rPr>
        <w:t>Observed with moderate evidence:</w:t>
      </w:r>
      <w:r>
        <w:rPr>
          <w:rFonts w:ascii="Arial" w:hAnsi="Arial"/>
          <w:b w:val="0"/>
          <w:i w:val="0"/>
          <w:color w:val="1E242A"/>
          <w:sz w:val="20"/>
        </w:rPr>
        <w:t xml:space="preserve"> recurrent state fiscal crises and debt bailouts informed debt contracts and LRF constraints; the temporal and design connection is well documented, though motives were also political and market-driven.</w:t>
      </w:r>
    </w:p>
    <w:p>
      <w:pPr>
        <w:pStyle w:val="ListBullet"/>
        <w:numPr>
          <w:ilvl w:val="0"/>
          <w:numId w:val="2"/>
        </w:numPr>
      </w:pPr>
      <w:r>
        <w:rPr>
          <w:rFonts w:ascii="Arial" w:hAnsi="Arial"/>
          <w:b/>
          <w:i w:val="0"/>
          <w:color w:val="1E242A"/>
          <w:sz w:val="20"/>
        </w:rPr>
        <w:t>Observed:</w:t>
      </w:r>
      <w:r>
        <w:rPr>
          <w:rFonts w:ascii="Arial" w:hAnsi="Arial"/>
          <w:b w:val="0"/>
          <w:i w:val="0"/>
          <w:color w:val="1E242A"/>
          <w:sz w:val="20"/>
        </w:rPr>
        <w:t xml:space="preserve"> 2001 rationing informed later electricity planning, auctions and reserve/security mechanisms. Whether every later investment choice was efficient is separate.</w:t>
      </w:r>
    </w:p>
    <w:p>
      <w:pPr>
        <w:pStyle w:val="ListBullet"/>
        <w:numPr>
          <w:ilvl w:val="0"/>
          <w:numId w:val="2"/>
        </w:numPr>
      </w:pPr>
      <w:r>
        <w:rPr>
          <w:rFonts w:ascii="Arial" w:hAnsi="Arial"/>
          <w:b/>
          <w:i w:val="0"/>
          <w:color w:val="1E242A"/>
          <w:sz w:val="20"/>
        </w:rPr>
        <w:t>Observed:</w:t>
      </w:r>
      <w:r>
        <w:rPr>
          <w:rFonts w:ascii="Arial" w:hAnsi="Arial"/>
          <w:b w:val="0"/>
          <w:i w:val="0"/>
          <w:color w:val="1E242A"/>
          <w:sz w:val="20"/>
        </w:rPr>
        <w:t xml:space="preserve"> Bolsa Família consolidated predecessor programmes and registry experience; emergency aid later reused and expanded these administrative rails.</w:t>
      </w:r>
    </w:p>
    <w:p>
      <w:pPr>
        <w:pStyle w:val="ListBullet"/>
        <w:numPr>
          <w:ilvl w:val="0"/>
          <w:numId w:val="2"/>
        </w:numPr>
      </w:pPr>
      <w:r>
        <w:rPr>
          <w:rFonts w:ascii="Arial" w:hAnsi="Arial"/>
          <w:b/>
          <w:i w:val="0"/>
          <w:color w:val="1E242A"/>
          <w:sz w:val="20"/>
        </w:rPr>
        <w:t>Observed:</w:t>
      </w:r>
      <w:r>
        <w:rPr>
          <w:rFonts w:ascii="Arial" w:hAnsi="Arial"/>
          <w:b w:val="0"/>
          <w:i w:val="0"/>
          <w:color w:val="1E242A"/>
          <w:sz w:val="20"/>
        </w:rPr>
        <w:t xml:space="preserve"> successive pension amendments reused prior constitutional language, transition techniques and actuarial arguments; the failed Temer proposal formed part of the technical/political inheritance of 2019.</w:t>
      </w:r>
    </w:p>
    <w:p>
      <w:pPr>
        <w:pStyle w:val="ListBullet"/>
        <w:numPr>
          <w:ilvl w:val="0"/>
          <w:numId w:val="2"/>
        </w:numPr>
      </w:pPr>
      <w:r>
        <w:rPr>
          <w:rFonts w:ascii="Arial" w:hAnsi="Arial"/>
          <w:b/>
          <w:i w:val="0"/>
          <w:color w:val="1E242A"/>
          <w:sz w:val="20"/>
        </w:rPr>
        <w:t>Observed with moderate evidence:</w:t>
      </w:r>
      <w:r>
        <w:rPr>
          <w:rFonts w:ascii="Arial" w:hAnsi="Arial"/>
          <w:b w:val="0"/>
          <w:i w:val="0"/>
          <w:color w:val="1E242A"/>
          <w:sz w:val="20"/>
        </w:rPr>
        <w:t xml:space="preserve"> repeated failed tax proposals generated mature designs and compensation mechanisms; EC 132's passage also depended on a distinct congressional window, so “learning” was not sufficient alone.</w:t>
      </w:r>
    </w:p>
    <w:p>
      <w:pPr>
        <w:pStyle w:val="ListBullet"/>
        <w:numPr>
          <w:ilvl w:val="0"/>
          <w:numId w:val="2"/>
        </w:numPr>
      </w:pPr>
      <w:r>
        <w:rPr>
          <w:rFonts w:ascii="Arial" w:hAnsi="Arial"/>
          <w:b/>
          <w:i w:val="0"/>
          <w:color w:val="1E242A"/>
          <w:sz w:val="20"/>
        </w:rPr>
        <w:t>Observed:</w:t>
      </w:r>
      <w:r>
        <w:rPr>
          <w:rFonts w:ascii="Arial" w:hAnsi="Arial"/>
          <w:b w:val="0"/>
          <w:i w:val="0"/>
          <w:color w:val="1E242A"/>
          <w:sz w:val="20"/>
        </w:rPr>
        <w:t xml:space="preserve"> TCU diagnoses of incomplete/paralysed works prompted integrated registers and monitoring requirements. Persistent paralysis shows that information reform did not itself cure project capacity.</w:t>
      </w:r>
    </w:p>
    <w:p>
      <w:pPr>
        <w:pStyle w:val="ListBullet"/>
        <w:numPr>
          <w:ilvl w:val="0"/>
          <w:numId w:val="2"/>
        </w:numPr>
      </w:pPr>
      <w:r>
        <w:rPr>
          <w:rFonts w:ascii="Arial" w:hAnsi="Arial"/>
          <w:b/>
          <w:i w:val="0"/>
          <w:color w:val="1E242A"/>
          <w:sz w:val="20"/>
        </w:rPr>
        <w:t>Observed with caveat:</w:t>
      </w:r>
      <w:r>
        <w:rPr>
          <w:rFonts w:ascii="Arial" w:hAnsi="Arial"/>
          <w:b w:val="0"/>
          <w:i w:val="0"/>
          <w:color w:val="1E242A"/>
          <w:sz w:val="20"/>
        </w:rPr>
        <w:t xml:space="preserve"> security bodies increasingly use financial investigation, federal prisons and integrated forces after learning that leadership arrests and territorial operations alone permit adaptation. Attribution to any single prior failure is usually inferential.</w:t>
      </w:r>
    </w:p>
    <w:p>
      <w:pPr>
        <w:pStyle w:val="ListBullet"/>
        <w:numPr>
          <w:ilvl w:val="0"/>
          <w:numId w:val="2"/>
        </w:numPr>
      </w:pPr>
      <w:r>
        <w:rPr>
          <w:rFonts w:ascii="Arial" w:hAnsi="Arial"/>
          <w:b/>
          <w:i w:val="0"/>
          <w:color w:val="1E242A"/>
          <w:sz w:val="20"/>
        </w:rPr>
        <w:t>Speculative/contested:</w:t>
      </w:r>
      <w:r>
        <w:rPr>
          <w:rFonts w:ascii="Arial" w:hAnsi="Arial"/>
          <w:b w:val="0"/>
          <w:i w:val="0"/>
          <w:color w:val="1E242A"/>
          <w:sz w:val="20"/>
        </w:rPr>
        <w:t xml:space="preserve"> later coalition strategies are often narrated as learning from Mensalão, Dilma's breakdown or Bolsonaro's initial minority posture; observed changes are clear, but private motivations and alternative pressures prevent strong causal claims.</w:t>
      </w:r>
    </w:p>
    <w:p>
      <w:pPr>
        <w:pStyle w:val="ListBullet"/>
        <w:numPr>
          <w:ilvl w:val="0"/>
          <w:numId w:val="2"/>
        </w:numPr>
      </w:pPr>
      <w:r>
        <w:rPr>
          <w:rFonts w:ascii="Arial" w:hAnsi="Arial"/>
          <w:b/>
          <w:i w:val="0"/>
          <w:color w:val="1E242A"/>
          <w:sz w:val="20"/>
        </w:rPr>
        <w:t>Observed:</w:t>
      </w:r>
      <w:r>
        <w:rPr>
          <w:rFonts w:ascii="Arial" w:hAnsi="Arial"/>
          <w:b w:val="0"/>
          <w:i w:val="0"/>
          <w:color w:val="1E242A"/>
          <w:sz w:val="20"/>
        </w:rPr>
        <w:t xml:space="preserve"> STF and enforcement doctrine changed after Lava Jato litigation, clarifying jurisdiction, impartiality and procedural constraints. Whether this strengthened or weakened anti-corruption capacity overall is disputed.</w:t>
      </w:r>
    </w:p>
    <w:p>
      <w:pPr>
        <w:pStyle w:val="Heading1"/>
      </w:pPr>
      <w:r>
        <w:rPr>
          <w:rFonts w:ascii="Arial" w:hAnsi="Arial"/>
          <w:b w:val="0"/>
          <w:i w:val="0"/>
          <w:color w:val="183752"/>
          <w:sz w:val="34"/>
        </w:rPr>
        <w:t>E. Historical Player-Context Findings</w:t>
      </w:r>
    </w:p>
    <w:p>
      <w:pPr>
        <w:pStyle w:val="ListBullet"/>
        <w:numPr>
          <w:ilvl w:val="0"/>
          <w:numId w:val="2"/>
        </w:numPr>
      </w:pPr>
      <w:r>
        <w:rPr>
          <w:rFonts w:ascii="Arial" w:hAnsi="Arial"/>
          <w:b/>
          <w:i w:val="0"/>
          <w:color w:val="1E242A"/>
          <w:sz w:val="20"/>
        </w:rPr>
        <w:t>Real Plan:</w:t>
      </w:r>
      <w:r>
        <w:rPr>
          <w:rFonts w:ascii="Arial" w:hAnsi="Arial"/>
          <w:b w:val="0"/>
          <w:i w:val="0"/>
          <w:color w:val="1E242A"/>
          <w:sz w:val="20"/>
        </w:rPr>
        <w:t xml:space="preserve"> explains why credible stabilisation is a sequenced political-administrative operation, not a currency-name decision.</w:t>
      </w:r>
    </w:p>
    <w:p>
      <w:pPr>
        <w:pStyle w:val="ListBullet"/>
        <w:numPr>
          <w:ilvl w:val="0"/>
          <w:numId w:val="2"/>
        </w:numPr>
      </w:pPr>
      <w:r>
        <w:rPr>
          <w:rFonts w:ascii="Arial" w:hAnsi="Arial"/>
          <w:b/>
          <w:i w:val="0"/>
          <w:color w:val="1E242A"/>
          <w:sz w:val="20"/>
        </w:rPr>
        <w:t>Pension and tax reform:</w:t>
      </w:r>
      <w:r>
        <w:rPr>
          <w:rFonts w:ascii="Arial" w:hAnsi="Arial"/>
          <w:b w:val="0"/>
          <w:i w:val="0"/>
          <w:color w:val="1E242A"/>
          <w:sz w:val="20"/>
        </w:rPr>
        <w:t xml:space="preserve"> shows a player why the final constitutional text belongs jointly to Congress and the initiating government.</w:t>
      </w:r>
    </w:p>
    <w:p>
      <w:pPr>
        <w:pStyle w:val="ListBullet"/>
        <w:numPr>
          <w:ilvl w:val="0"/>
          <w:numId w:val="2"/>
        </w:numPr>
      </w:pPr>
      <w:r>
        <w:rPr>
          <w:rFonts w:ascii="Arial" w:hAnsi="Arial"/>
          <w:b/>
          <w:i w:val="0"/>
          <w:color w:val="1E242A"/>
          <w:sz w:val="20"/>
        </w:rPr>
        <w:t>Bolsa Família/emergency aid:</w:t>
      </w:r>
      <w:r>
        <w:rPr>
          <w:rFonts w:ascii="Arial" w:hAnsi="Arial"/>
          <w:b w:val="0"/>
          <w:i w:val="0"/>
          <w:color w:val="1E242A"/>
          <w:sz w:val="20"/>
        </w:rPr>
        <w:t xml:space="preserve"> illustrates why registries, public banks and municipalities matter to presidential promises of immediate relief.</w:t>
      </w:r>
    </w:p>
    <w:p>
      <w:pPr>
        <w:pStyle w:val="ListBullet"/>
        <w:numPr>
          <w:ilvl w:val="0"/>
          <w:numId w:val="2"/>
        </w:numPr>
      </w:pPr>
      <w:r>
        <w:rPr>
          <w:rFonts w:ascii="Arial" w:hAnsi="Arial"/>
          <w:b/>
          <w:i w:val="0"/>
          <w:color w:val="1E242A"/>
          <w:sz w:val="20"/>
        </w:rPr>
        <w:t>PAC/paralysed works:</w:t>
      </w:r>
      <w:r>
        <w:rPr>
          <w:rFonts w:ascii="Arial" w:hAnsi="Arial"/>
          <w:b w:val="0"/>
          <w:i w:val="0"/>
          <w:color w:val="1E242A"/>
          <w:sz w:val="20"/>
        </w:rPr>
        <w:t xml:space="preserve"> explains appropriation, contracting, execution and completed service as different states.</w:t>
      </w:r>
    </w:p>
    <w:p>
      <w:pPr>
        <w:pStyle w:val="ListBullet"/>
        <w:numPr>
          <w:ilvl w:val="0"/>
          <w:numId w:val="2"/>
        </w:numPr>
      </w:pPr>
      <w:r>
        <w:rPr>
          <w:rFonts w:ascii="Arial" w:hAnsi="Arial"/>
          <w:b/>
          <w:i w:val="0"/>
          <w:color w:val="1E242A"/>
          <w:sz w:val="20"/>
        </w:rPr>
        <w:t>Truckers' strike:</w:t>
      </w:r>
      <w:r>
        <w:rPr>
          <w:rFonts w:ascii="Arial" w:hAnsi="Arial"/>
          <w:b w:val="0"/>
          <w:i w:val="0"/>
          <w:color w:val="1E242A"/>
          <w:sz w:val="20"/>
        </w:rPr>
        <w:t xml:space="preserve"> shows how dependence on a transport network gives a dispersed group bargaining power.</w:t>
      </w:r>
    </w:p>
    <w:p>
      <w:pPr>
        <w:pStyle w:val="ListBullet"/>
        <w:numPr>
          <w:ilvl w:val="0"/>
          <w:numId w:val="2"/>
        </w:numPr>
      </w:pPr>
      <w:r>
        <w:rPr>
          <w:rFonts w:ascii="Arial" w:hAnsi="Arial"/>
          <w:b/>
          <w:i w:val="0"/>
          <w:color w:val="1E242A"/>
          <w:sz w:val="20"/>
        </w:rPr>
        <w:t>PPCDAm:</w:t>
      </w:r>
      <w:r>
        <w:rPr>
          <w:rFonts w:ascii="Arial" w:hAnsi="Arial"/>
          <w:b w:val="0"/>
          <w:i w:val="0"/>
          <w:color w:val="1E242A"/>
          <w:sz w:val="20"/>
        </w:rPr>
        <w:t xml:space="preserve"> explains how satellite data, field enforcement, credit and market rules reinforce one another.</w:t>
      </w:r>
    </w:p>
    <w:p>
      <w:pPr>
        <w:pStyle w:val="ListBullet"/>
        <w:numPr>
          <w:ilvl w:val="0"/>
          <w:numId w:val="2"/>
        </w:numPr>
      </w:pPr>
      <w:r>
        <w:rPr>
          <w:rFonts w:ascii="Arial" w:hAnsi="Arial"/>
          <w:b/>
          <w:i w:val="0"/>
          <w:color w:val="1E242A"/>
          <w:sz w:val="20"/>
        </w:rPr>
        <w:t>Rio intervention/PCC:</w:t>
      </w:r>
      <w:r>
        <w:rPr>
          <w:rFonts w:ascii="Arial" w:hAnsi="Arial"/>
          <w:b w:val="0"/>
          <w:i w:val="0"/>
          <w:color w:val="1E242A"/>
          <w:sz w:val="20"/>
        </w:rPr>
        <w:t xml:space="preserve"> distinguishes exceptional federal command and tactical outputs from durable public-security capacity.</w:t>
      </w:r>
    </w:p>
    <w:p>
      <w:pPr>
        <w:pStyle w:val="ListBullet"/>
        <w:numPr>
          <w:ilvl w:val="0"/>
          <w:numId w:val="2"/>
        </w:numPr>
      </w:pPr>
      <w:r>
        <w:rPr>
          <w:rFonts w:ascii="Arial" w:hAnsi="Arial"/>
          <w:b/>
          <w:i w:val="0"/>
          <w:color w:val="1E242A"/>
          <w:sz w:val="20"/>
        </w:rPr>
        <w:t>Collor, Dilma and Temer:</w:t>
      </w:r>
      <w:r>
        <w:rPr>
          <w:rFonts w:ascii="Arial" w:hAnsi="Arial"/>
          <w:b w:val="0"/>
          <w:i w:val="0"/>
          <w:color w:val="1E242A"/>
          <w:sz w:val="20"/>
        </w:rPr>
        <w:t xml:space="preserve"> demonstrates that impeachment is a legal-political coalition process, not an approval-meter event.</w:t>
      </w:r>
    </w:p>
    <w:p>
      <w:pPr>
        <w:pStyle w:val="ListBullet"/>
        <w:numPr>
          <w:ilvl w:val="0"/>
          <w:numId w:val="2"/>
        </w:numPr>
      </w:pPr>
      <w:r>
        <w:rPr>
          <w:rFonts w:ascii="Arial" w:hAnsi="Arial"/>
          <w:b/>
          <w:i w:val="0"/>
          <w:color w:val="1E242A"/>
          <w:sz w:val="20"/>
        </w:rPr>
        <w:t>Lava Jato:</w:t>
      </w:r>
      <w:r>
        <w:rPr>
          <w:rFonts w:ascii="Arial" w:hAnsi="Arial"/>
          <w:b w:val="0"/>
          <w:i w:val="0"/>
          <w:color w:val="1E242A"/>
          <w:sz w:val="20"/>
        </w:rPr>
        <w:t xml:space="preserve"> explains both autonomous accountability and why due-process defects can reverse apparently settled outcomes.</w:t>
      </w:r>
    </w:p>
    <w:p>
      <w:pPr>
        <w:pStyle w:val="ListBullet"/>
        <w:numPr>
          <w:ilvl w:val="0"/>
          <w:numId w:val="2"/>
        </w:numPr>
      </w:pPr>
      <w:r>
        <w:rPr>
          <w:rFonts w:ascii="Arial" w:hAnsi="Arial"/>
          <w:b/>
          <w:i w:val="0"/>
          <w:color w:val="1E242A"/>
          <w:sz w:val="20"/>
        </w:rPr>
        <w:t>COVID federalism:</w:t>
      </w:r>
      <w:r>
        <w:rPr>
          <w:rFonts w:ascii="Arial" w:hAnsi="Arial"/>
          <w:b w:val="0"/>
          <w:i w:val="0"/>
          <w:color w:val="1E242A"/>
          <w:sz w:val="20"/>
        </w:rPr>
        <w:t xml:space="preserve"> shows that federal, state and municipal authority can coexist and conflict during the same emergency.</w:t>
      </w:r>
    </w:p>
    <w:p>
      <w:pPr>
        <w:pStyle w:val="ListBullet"/>
        <w:numPr>
          <w:ilvl w:val="0"/>
          <w:numId w:val="2"/>
        </w:numPr>
      </w:pPr>
      <w:r>
        <w:rPr>
          <w:rFonts w:ascii="Arial" w:hAnsi="Arial"/>
          <w:b/>
          <w:i w:val="0"/>
          <w:color w:val="1E242A"/>
          <w:sz w:val="20"/>
        </w:rPr>
        <w:t>WTO cotton and Iran initiative:</w:t>
      </w:r>
      <w:r>
        <w:rPr>
          <w:rFonts w:ascii="Arial" w:hAnsi="Arial"/>
          <w:b w:val="0"/>
          <w:i w:val="0"/>
          <w:color w:val="1E242A"/>
          <w:sz w:val="20"/>
        </w:rPr>
        <w:t xml:space="preserve"> contrasts leverage backed by adjudication/retaliation with diplomacy rejected by decisive third parties.</w:t>
      </w:r>
    </w:p>
    <w:p>
      <w:pPr>
        <w:pStyle w:val="ListBullet"/>
        <w:numPr>
          <w:ilvl w:val="0"/>
          <w:numId w:val="2"/>
        </w:numPr>
      </w:pPr>
      <w:r>
        <w:rPr>
          <w:rFonts w:ascii="Arial" w:hAnsi="Arial"/>
          <w:b/>
          <w:i w:val="0"/>
          <w:color w:val="1E242A"/>
          <w:sz w:val="20"/>
        </w:rPr>
        <w:t>Mercosur and climate policy:</w:t>
      </w:r>
      <w:r>
        <w:rPr>
          <w:rFonts w:ascii="Arial" w:hAnsi="Arial"/>
          <w:b w:val="0"/>
          <w:i w:val="0"/>
          <w:color w:val="1E242A"/>
          <w:sz w:val="20"/>
        </w:rPr>
        <w:t xml:space="preserve"> illustrates why presidential external commitments often depend on domestic and foreign implementation.</w:t>
      </w:r>
    </w:p>
    <w:p>
      <w:pPr>
        <w:pStyle w:val="Heading1"/>
      </w:pPr>
      <w:r>
        <w:rPr>
          <w:rFonts w:ascii="Arial" w:hAnsi="Arial"/>
          <w:b w:val="0"/>
          <w:i w:val="0"/>
          <w:color w:val="183752"/>
          <w:sz w:val="34"/>
        </w:rPr>
        <w:t>F. Uncertainty and Validation Register</w:t>
      </w:r>
    </w:p>
    <w:p>
      <w:pPr>
        <w:pStyle w:val="ListNumber"/>
        <w:numPr>
          <w:ilvl w:val="0"/>
          <w:numId w:val="3"/>
        </w:numPr>
      </w:pPr>
      <w:r>
        <w:rPr>
          <w:rFonts w:ascii="Arial" w:hAnsi="Arial"/>
          <w:b/>
          <w:i w:val="0"/>
          <w:color w:val="1E242A"/>
          <w:sz w:val="20"/>
        </w:rPr>
        <w:t>Pass 2 unavailable.</w:t>
      </w:r>
      <w:r>
        <w:rPr>
          <w:rFonts w:ascii="Arial" w:hAnsi="Arial"/>
          <w:b w:val="0"/>
          <w:i w:val="0"/>
          <w:color w:val="1E242A"/>
          <w:sz w:val="20"/>
        </w:rPr>
        <w:t xml:space="preserve"> The supplied Pass 2 dossier is empty. Fiscal, monetary, SOE, tax and regulator claims were checked independently, but final synthesis must reconcile terminology and any contrary Pass 2 findings.</w:t>
      </w:r>
    </w:p>
    <w:p>
      <w:pPr>
        <w:pStyle w:val="ListNumber"/>
        <w:numPr>
          <w:ilvl w:val="0"/>
          <w:numId w:val="3"/>
        </w:numPr>
      </w:pPr>
      <w:r>
        <w:rPr>
          <w:rFonts w:ascii="Arial" w:hAnsi="Arial"/>
          <w:b/>
          <w:i w:val="0"/>
          <w:color w:val="1E242A"/>
          <w:sz w:val="20"/>
        </w:rPr>
        <w:t>Real Plan causal weights.</w:t>
      </w:r>
      <w:r>
        <w:rPr>
          <w:rFonts w:ascii="Arial" w:hAnsi="Arial"/>
          <w:b w:val="0"/>
          <w:i w:val="0"/>
          <w:color w:val="1E242A"/>
          <w:sz w:val="20"/>
        </w:rPr>
        <w:t xml:space="preserve"> Strong agreement exists on the inflation break and URV sequence; fiscal sufficiency, exchange-rate-anchor contribution and distribution of adjustment costs remain debated.</w:t>
      </w:r>
    </w:p>
    <w:p>
      <w:pPr>
        <w:pStyle w:val="ListNumber"/>
        <w:numPr>
          <w:ilvl w:val="0"/>
          <w:numId w:val="3"/>
        </w:numPr>
      </w:pPr>
      <w:r>
        <w:rPr>
          <w:rFonts w:ascii="Arial" w:hAnsi="Arial"/>
          <w:b/>
          <w:i w:val="0"/>
          <w:color w:val="1E242A"/>
          <w:sz w:val="20"/>
        </w:rPr>
        <w:t>Fiscal-rule welfare and credibility effects.</w:t>
      </w:r>
      <w:r>
        <w:rPr>
          <w:rFonts w:ascii="Arial" w:hAnsi="Arial"/>
          <w:b w:val="0"/>
          <w:i w:val="0"/>
          <w:color w:val="1E242A"/>
          <w:sz w:val="20"/>
        </w:rPr>
        <w:t xml:space="preserve"> EC 95 and LC 200 are politically and academically contested; estimates depend on counterfactual spending, exemptions, revenue and horizon. Never encode “ceiling = growth/decline.”</w:t>
      </w:r>
    </w:p>
    <w:p>
      <w:pPr>
        <w:pStyle w:val="ListNumber"/>
        <w:numPr>
          <w:ilvl w:val="0"/>
          <w:numId w:val="3"/>
        </w:numPr>
      </w:pPr>
      <w:r>
        <w:rPr>
          <w:rFonts w:ascii="Arial" w:hAnsi="Arial"/>
          <w:b/>
          <w:i w:val="0"/>
          <w:color w:val="1E242A"/>
          <w:sz w:val="20"/>
        </w:rPr>
        <w:t>LC 200 and tax reform are SCENARIO-SPECIFIC.</w:t>
      </w:r>
      <w:r>
        <w:rPr>
          <w:rFonts w:ascii="Arial" w:hAnsi="Arial"/>
          <w:b w:val="0"/>
          <w:i w:val="0"/>
          <w:color w:val="1E242A"/>
          <w:sz w:val="20"/>
        </w:rPr>
        <w:t xml:space="preserve"> Their long-run operation was not observable by the 3 September 2026 cutoff. Transition regulations and litigation require synthesis updates.</w:t>
      </w:r>
    </w:p>
    <w:p>
      <w:pPr>
        <w:pStyle w:val="ListNumber"/>
        <w:numPr>
          <w:ilvl w:val="0"/>
          <w:numId w:val="3"/>
        </w:numPr>
      </w:pPr>
      <w:r>
        <w:rPr>
          <w:rFonts w:ascii="Arial" w:hAnsi="Arial"/>
          <w:b/>
          <w:i w:val="0"/>
          <w:color w:val="1E242A"/>
          <w:sz w:val="20"/>
        </w:rPr>
        <w:t>Pension savings.</w:t>
      </w:r>
      <w:r>
        <w:rPr>
          <w:rFonts w:ascii="Arial" w:hAnsi="Arial"/>
          <w:b w:val="0"/>
          <w:i w:val="0"/>
          <w:color w:val="1E242A"/>
          <w:sz w:val="20"/>
        </w:rPr>
        <w:t xml:space="preserve"> Official projected savings are assumption-dependent and enacted texts differed from proposals. Validate realised, regime-specific effects over time.</w:t>
      </w:r>
    </w:p>
    <w:p>
      <w:pPr>
        <w:pStyle w:val="ListNumber"/>
        <w:numPr>
          <w:ilvl w:val="0"/>
          <w:numId w:val="3"/>
        </w:numPr>
      </w:pPr>
      <w:r>
        <w:rPr>
          <w:rFonts w:ascii="Arial" w:hAnsi="Arial"/>
          <w:b/>
          <w:i w:val="0"/>
          <w:color w:val="1E242A"/>
          <w:sz w:val="20"/>
        </w:rPr>
        <w:t>Administrative reform savings.</w:t>
      </w:r>
      <w:r>
        <w:rPr>
          <w:rFonts w:ascii="Arial" w:hAnsi="Arial"/>
          <w:b w:val="0"/>
          <w:i w:val="0"/>
          <w:color w:val="1E242A"/>
          <w:sz w:val="20"/>
        </w:rPr>
        <w:t xml:space="preserve"> Evidence does not justify an across-the-board percentage. Disaggregate payroll, procurement, property, transfers, pensions, digitisation and capacity loss.</w:t>
      </w:r>
    </w:p>
    <w:p>
      <w:pPr>
        <w:pStyle w:val="ListNumber"/>
        <w:numPr>
          <w:ilvl w:val="0"/>
          <w:numId w:val="3"/>
        </w:numPr>
      </w:pPr>
      <w:r>
        <w:rPr>
          <w:rFonts w:ascii="Arial" w:hAnsi="Arial"/>
          <w:b/>
          <w:i w:val="0"/>
          <w:color w:val="1E242A"/>
          <w:sz w:val="20"/>
        </w:rPr>
        <w:t>Privatisation outcomes.</w:t>
      </w:r>
      <w:r>
        <w:rPr>
          <w:rFonts w:ascii="Arial" w:hAnsi="Arial"/>
          <w:b w:val="0"/>
          <w:i w:val="0"/>
          <w:color w:val="1E242A"/>
          <w:sz w:val="20"/>
        </w:rPr>
        <w:t xml:space="preserve"> Telecom, mining and electricity had different technology, regulation and market structures. Do not generalise sector results.</w:t>
      </w:r>
    </w:p>
    <w:p>
      <w:pPr>
        <w:pStyle w:val="ListNumber"/>
        <w:numPr>
          <w:ilvl w:val="0"/>
          <w:numId w:val="3"/>
        </w:numPr>
      </w:pPr>
      <w:r>
        <w:rPr>
          <w:rFonts w:ascii="Arial" w:hAnsi="Arial"/>
          <w:b/>
          <w:i w:val="0"/>
          <w:color w:val="1E242A"/>
          <w:sz w:val="20"/>
        </w:rPr>
        <w:t>BNDES/national champions.</w:t>
      </w:r>
      <w:r>
        <w:rPr>
          <w:rFonts w:ascii="Arial" w:hAnsi="Arial"/>
          <w:b w:val="0"/>
          <w:i w:val="0"/>
          <w:color w:val="1E242A"/>
          <w:sz w:val="20"/>
        </w:rPr>
        <w:t xml:space="preserve"> Additional investment, productivity and fiscal subsidy remain disputed; distinguish programme cohorts and funding periods.</w:t>
      </w:r>
    </w:p>
    <w:p>
      <w:pPr>
        <w:pStyle w:val="ListNumber"/>
        <w:numPr>
          <w:ilvl w:val="0"/>
          <w:numId w:val="3"/>
        </w:numPr>
      </w:pPr>
      <w:r>
        <w:rPr>
          <w:rFonts w:ascii="Arial" w:hAnsi="Arial"/>
          <w:b/>
          <w:i w:val="0"/>
          <w:color w:val="1E242A"/>
          <w:sz w:val="20"/>
        </w:rPr>
        <w:t>PAC scale.</w:t>
      </w:r>
      <w:r>
        <w:rPr>
          <w:rFonts w:ascii="Arial" w:hAnsi="Arial"/>
          <w:b w:val="0"/>
          <w:i w:val="0"/>
          <w:color w:val="1E242A"/>
          <w:sz w:val="20"/>
        </w:rPr>
        <w:t xml:space="preserve"> Announced investment mixes public, SOE and private resources. TCU paralysed-work universes must not be mislabelled as causal PAC failure rates.</w:t>
      </w:r>
    </w:p>
    <w:p>
      <w:pPr>
        <w:pStyle w:val="ListNumber"/>
        <w:numPr>
          <w:ilvl w:val="0"/>
          <w:numId w:val="3"/>
        </w:numPr>
      </w:pPr>
      <w:r>
        <w:rPr>
          <w:rFonts w:ascii="Arial" w:hAnsi="Arial"/>
          <w:b/>
          <w:i w:val="0"/>
          <w:color w:val="1E242A"/>
          <w:sz w:val="20"/>
        </w:rPr>
        <w:t>Bolsa Família effects.</w:t>
      </w:r>
      <w:r>
        <w:rPr>
          <w:rFonts w:ascii="Arial" w:hAnsi="Arial"/>
          <w:b w:val="0"/>
          <w:i w:val="0"/>
          <w:color w:val="1E242A"/>
          <w:sz w:val="20"/>
        </w:rPr>
        <w:t xml:space="preserve"> Poverty/inequality evidence is comparatively strong; education/health and labour-supply effects vary by outcome and design.</w:t>
      </w:r>
    </w:p>
    <w:p>
      <w:pPr>
        <w:pStyle w:val="ListNumber"/>
        <w:numPr>
          <w:ilvl w:val="0"/>
          <w:numId w:val="3"/>
        </w:numPr>
      </w:pPr>
      <w:r>
        <w:rPr>
          <w:rFonts w:ascii="Arial" w:hAnsi="Arial"/>
          <w:b/>
          <w:i w:val="0"/>
          <w:color w:val="1E242A"/>
          <w:sz w:val="20"/>
        </w:rPr>
        <w:t>Pandemic counterfactuals.</w:t>
      </w:r>
      <w:r>
        <w:rPr>
          <w:rFonts w:ascii="Arial" w:hAnsi="Arial"/>
          <w:b w:val="0"/>
          <w:i w:val="0"/>
          <w:color w:val="1E242A"/>
          <w:sz w:val="20"/>
        </w:rPr>
        <w:t xml:space="preserve"> Aid effects and mortality-policy comparisons face exceptional confounding and data issues. Preserve exact dates and jurisdiction.</w:t>
      </w:r>
    </w:p>
    <w:p>
      <w:pPr>
        <w:pStyle w:val="ListNumber"/>
        <w:numPr>
          <w:ilvl w:val="0"/>
          <w:numId w:val="3"/>
        </w:numPr>
      </w:pPr>
      <w:r>
        <w:rPr>
          <w:rFonts w:ascii="Arial" w:hAnsi="Arial"/>
          <w:b/>
          <w:i w:val="0"/>
          <w:color w:val="1E242A"/>
          <w:sz w:val="20"/>
        </w:rPr>
        <w:t>Truckers' mobilisation.</w:t>
      </w:r>
      <w:r>
        <w:rPr>
          <w:rFonts w:ascii="Arial" w:hAnsi="Arial"/>
          <w:b w:val="0"/>
          <w:i w:val="0"/>
          <w:color w:val="1E242A"/>
          <w:sz w:val="20"/>
        </w:rPr>
        <w:t xml:space="preserve"> Leadership and representation were diffuse; claims of coordinated political sponsorship are contested and often weakly sourced.</w:t>
      </w:r>
    </w:p>
    <w:p>
      <w:pPr>
        <w:pStyle w:val="ListNumber"/>
        <w:numPr>
          <w:ilvl w:val="0"/>
          <w:numId w:val="3"/>
        </w:numPr>
      </w:pPr>
      <w:r>
        <w:rPr>
          <w:rFonts w:ascii="Arial" w:hAnsi="Arial"/>
          <w:b/>
          <w:i w:val="0"/>
          <w:color w:val="1E242A"/>
          <w:sz w:val="20"/>
        </w:rPr>
        <w:t>PPCDAm attribution.</w:t>
      </w:r>
      <w:r>
        <w:rPr>
          <w:rFonts w:ascii="Arial" w:hAnsi="Arial"/>
          <w:b w:val="0"/>
          <w:i w:val="0"/>
          <w:color w:val="1E242A"/>
          <w:sz w:val="20"/>
        </w:rPr>
        <w:t xml:space="preserve"> Enforcement, protected areas, credit, commodity prices and private moratoria overlap. Encode a bundle and channel-specific evidence, not one coefficient.</w:t>
      </w:r>
    </w:p>
    <w:p>
      <w:pPr>
        <w:pStyle w:val="ListNumber"/>
        <w:numPr>
          <w:ilvl w:val="0"/>
          <w:numId w:val="3"/>
        </w:numPr>
      </w:pPr>
      <w:r>
        <w:rPr>
          <w:rFonts w:ascii="Arial" w:hAnsi="Arial"/>
          <w:b/>
          <w:i w:val="0"/>
          <w:color w:val="1E242A"/>
          <w:sz w:val="20"/>
        </w:rPr>
        <w:t>2018 Rio intervention.</w:t>
      </w:r>
      <w:r>
        <w:rPr>
          <w:rFonts w:ascii="Arial" w:hAnsi="Arial"/>
          <w:b w:val="0"/>
          <w:i w:val="0"/>
          <w:color w:val="1E242A"/>
          <w:sz w:val="20"/>
        </w:rPr>
        <w:t xml:space="preserve"> Short duration and concurrent crime trends prevent confident long-term attribution. Operational metrics need targeted audit-source validation.</w:t>
      </w:r>
    </w:p>
    <w:p>
      <w:pPr>
        <w:pStyle w:val="ListNumber"/>
        <w:numPr>
          <w:ilvl w:val="0"/>
          <w:numId w:val="3"/>
        </w:numPr>
      </w:pPr>
      <w:r>
        <w:rPr>
          <w:rFonts w:ascii="Arial" w:hAnsi="Arial"/>
          <w:b/>
          <w:i w:val="0"/>
          <w:color w:val="1E242A"/>
          <w:sz w:val="20"/>
        </w:rPr>
        <w:t>PCC adaptation.</w:t>
      </w:r>
      <w:r>
        <w:rPr>
          <w:rFonts w:ascii="Arial" w:hAnsi="Arial"/>
          <w:b w:val="0"/>
          <w:i w:val="0"/>
          <w:color w:val="1E242A"/>
          <w:sz w:val="20"/>
        </w:rPr>
        <w:t xml:space="preserve"> Reliable organisational data are incomplete; avoid converting investigative narratives into verified command maps or deterministic succession.</w:t>
      </w:r>
    </w:p>
    <w:p>
      <w:pPr>
        <w:pStyle w:val="ListNumber"/>
        <w:numPr>
          <w:ilvl w:val="0"/>
          <w:numId w:val="3"/>
        </w:numPr>
      </w:pPr>
      <w:r>
        <w:rPr>
          <w:rFonts w:ascii="Arial" w:hAnsi="Arial"/>
          <w:b/>
          <w:i w:val="0"/>
          <w:color w:val="1E242A"/>
          <w:sz w:val="20"/>
        </w:rPr>
        <w:t>Lava Jato.</w:t>
      </w:r>
      <w:r>
        <w:rPr>
          <w:rFonts w:ascii="Arial" w:hAnsi="Arial"/>
          <w:b w:val="0"/>
          <w:i w:val="0"/>
          <w:color w:val="1E242A"/>
          <w:sz w:val="20"/>
        </w:rPr>
        <w:t xml:space="preserve"> Separate valid judgments, annulled cases, admissions/settlements and allegations. Net economic and democratic effects are deeply disputed.</w:t>
      </w:r>
    </w:p>
    <w:p>
      <w:pPr>
        <w:pStyle w:val="ListNumber"/>
        <w:numPr>
          <w:ilvl w:val="0"/>
          <w:numId w:val="3"/>
        </w:numPr>
      </w:pPr>
      <w:r>
        <w:rPr>
          <w:rFonts w:ascii="Arial" w:hAnsi="Arial"/>
          <w:b/>
          <w:i w:val="0"/>
          <w:color w:val="1E242A"/>
          <w:sz w:val="20"/>
        </w:rPr>
        <w:t>Dilma impeachment.</w:t>
      </w:r>
      <w:r>
        <w:rPr>
          <w:rFonts w:ascii="Arial" w:hAnsi="Arial"/>
          <w:b w:val="0"/>
          <w:i w:val="0"/>
          <w:color w:val="1E242A"/>
          <w:sz w:val="20"/>
        </w:rPr>
        <w:t xml:space="preserve"> Formal votes are settled; whether charged conduct met the substantive constitutional standard and whether the process constituted a coup remain contested. Preserve both legal and political interpretations.</w:t>
      </w:r>
    </w:p>
    <w:p>
      <w:pPr>
        <w:pStyle w:val="ListNumber"/>
        <w:numPr>
          <w:ilvl w:val="0"/>
          <w:numId w:val="3"/>
        </w:numPr>
      </w:pPr>
      <w:r>
        <w:rPr>
          <w:rFonts w:ascii="Arial" w:hAnsi="Arial"/>
          <w:b/>
          <w:i w:val="0"/>
          <w:color w:val="1E242A"/>
          <w:sz w:val="20"/>
        </w:rPr>
        <w:t>Coalition causation.</w:t>
      </w:r>
      <w:r>
        <w:rPr>
          <w:rFonts w:ascii="Arial" w:hAnsi="Arial"/>
          <w:b w:val="0"/>
          <w:i w:val="0"/>
          <w:color w:val="1E242A"/>
          <w:sz w:val="20"/>
        </w:rPr>
        <w:t xml:space="preserve"> Portfolio allocation, budget amendments, ideology, popularity and leadership are correlated. Do not infer individual votes were purchased from timing alone.</w:t>
      </w:r>
    </w:p>
    <w:p>
      <w:pPr>
        <w:pStyle w:val="ListNumber"/>
        <w:numPr>
          <w:ilvl w:val="0"/>
          <w:numId w:val="3"/>
        </w:numPr>
      </w:pPr>
      <w:r>
        <w:rPr>
          <w:rFonts w:ascii="Arial" w:hAnsi="Arial"/>
          <w:b/>
          <w:i w:val="0"/>
          <w:color w:val="1E242A"/>
          <w:sz w:val="20"/>
        </w:rPr>
        <w:t>2013 legacy.</w:t>
      </w:r>
      <w:r>
        <w:rPr>
          <w:rFonts w:ascii="Arial" w:hAnsi="Arial"/>
          <w:b w:val="0"/>
          <w:i w:val="0"/>
          <w:color w:val="1E242A"/>
          <w:sz w:val="20"/>
        </w:rPr>
        <w:t xml:space="preserve"> Diffusion and immediate government response are clear; long causal chains to 2016 or 2018 remain contested.</w:t>
      </w:r>
    </w:p>
    <w:p>
      <w:pPr>
        <w:pStyle w:val="ListNumber"/>
        <w:numPr>
          <w:ilvl w:val="0"/>
          <w:numId w:val="3"/>
        </w:numPr>
      </w:pPr>
      <w:r>
        <w:rPr>
          <w:rFonts w:ascii="Arial" w:hAnsi="Arial"/>
          <w:b/>
          <w:i w:val="0"/>
          <w:color w:val="1E242A"/>
          <w:sz w:val="20"/>
        </w:rPr>
        <w:t>Judicial implementation.</w:t>
      </w:r>
      <w:r>
        <w:rPr>
          <w:rFonts w:ascii="Arial" w:hAnsi="Arial"/>
          <w:b w:val="0"/>
          <w:i w:val="0"/>
          <w:color w:val="1E242A"/>
          <w:sz w:val="20"/>
        </w:rPr>
        <w:t xml:space="preserve"> Orders may be partial, interim or repeatedly supervised. Validate final merits and compliance status before machine encoding.</w:t>
      </w:r>
    </w:p>
    <w:p>
      <w:pPr>
        <w:pStyle w:val="ListNumber"/>
        <w:numPr>
          <w:ilvl w:val="0"/>
          <w:numId w:val="3"/>
        </w:numPr>
      </w:pPr>
      <w:r>
        <w:rPr>
          <w:rFonts w:ascii="Arial" w:hAnsi="Arial"/>
          <w:b/>
          <w:i w:val="0"/>
          <w:color w:val="1E242A"/>
          <w:sz w:val="20"/>
        </w:rPr>
        <w:t>Haiti outcomes.</w:t>
      </w:r>
      <w:r>
        <w:rPr>
          <w:rFonts w:ascii="Arial" w:hAnsi="Arial"/>
          <w:b w:val="0"/>
          <w:i w:val="0"/>
          <w:color w:val="1E242A"/>
          <w:sz w:val="20"/>
        </w:rPr>
        <w:t xml:space="preserve"> Mission effects on security, institutions and rights are contested and partly driven by international/host-country conditions.</w:t>
      </w:r>
    </w:p>
    <w:p>
      <w:pPr>
        <w:pStyle w:val="ListNumber"/>
        <w:numPr>
          <w:ilvl w:val="0"/>
          <w:numId w:val="3"/>
        </w:numPr>
      </w:pPr>
      <w:r>
        <w:rPr>
          <w:rFonts w:ascii="Arial" w:hAnsi="Arial"/>
          <w:b/>
          <w:i w:val="0"/>
          <w:color w:val="1E242A"/>
          <w:sz w:val="20"/>
        </w:rPr>
        <w:t>Foreign-policy counterfactuals.</w:t>
      </w:r>
      <w:r>
        <w:rPr>
          <w:rFonts w:ascii="Arial" w:hAnsi="Arial"/>
          <w:b w:val="0"/>
          <w:i w:val="0"/>
          <w:color w:val="1E242A"/>
          <w:sz w:val="20"/>
        </w:rPr>
        <w:t xml:space="preserve"> WTO cotton had formal rulings; Iran diplomacy and regional mediation lack clean counterfactuals. A rejected initiative proves attempted capability, not that the strategy was mistaken or would have succeeded with different timing.</w:t>
      </w:r>
    </w:p>
    <w:p>
      <w:pPr>
        <w:pStyle w:val="ListNumber"/>
        <w:numPr>
          <w:ilvl w:val="0"/>
          <w:numId w:val="3"/>
        </w:numPr>
      </w:pPr>
      <w:r>
        <w:rPr>
          <w:rFonts w:ascii="Arial" w:hAnsi="Arial"/>
          <w:b/>
          <w:i w:val="0"/>
          <w:color w:val="1E242A"/>
          <w:sz w:val="20"/>
        </w:rPr>
        <w:t>Precedent gaps for final synthesis.</w:t>
      </w:r>
      <w:r>
        <w:rPr>
          <w:rFonts w:ascii="Arial" w:hAnsi="Arial"/>
          <w:b w:val="0"/>
          <w:i w:val="0"/>
          <w:color w:val="1E242A"/>
          <w:sz w:val="20"/>
        </w:rPr>
        <w:t xml:space="preserve"> Add targeted records on state fiscal-recovery regimes, disaster response, sanitation concessions, health-programme implementation, specific veto overrides, congressional budget-appropriation change after 2015, and post-2023 environmental enforcement outcomes.</w:t>
      </w:r>
    </w:p>
    <w:p>
      <w:pPr>
        <w:pStyle w:val="ListNumber"/>
        <w:numPr>
          <w:ilvl w:val="0"/>
          <w:numId w:val="3"/>
        </w:numPr>
      </w:pPr>
      <w:r>
        <w:rPr>
          <w:rFonts w:ascii="Arial" w:hAnsi="Arial"/>
          <w:b/>
          <w:i w:val="0"/>
          <w:color w:val="1E242A"/>
          <w:sz w:val="20"/>
        </w:rPr>
        <w:t>Never deterministic.</w:t>
      </w:r>
      <w:r>
        <w:rPr>
          <w:rFonts w:ascii="Arial" w:hAnsi="Arial"/>
          <w:b w:val="0"/>
          <w:i w:val="0"/>
          <w:color w:val="1E242A"/>
          <w:sz w:val="20"/>
        </w:rPr>
        <w:t xml:space="preserve"> No precedent should directly generate a guaranteed effect. Every record must carry period, institutional route, actors, context, implementation state, time horizon and confidence.</w:t>
      </w:r>
    </w:p>
    <w:p>
      <w:pPr>
        <w:pStyle w:val="Heading1"/>
      </w:pPr>
      <w:r>
        <w:rPr>
          <w:rFonts w:ascii="Arial" w:hAnsi="Arial"/>
          <w:b w:val="0"/>
          <w:i w:val="0"/>
          <w:color w:val="183752"/>
          <w:sz w:val="34"/>
        </w:rPr>
        <w:t>Selected source register</w:t>
      </w:r>
    </w:p>
    <w:p>
      <w:r>
        <w:rPr>
          <w:rFonts w:ascii="Arial" w:hAnsi="Arial"/>
          <w:b/>
          <w:i w:val="0"/>
          <w:color w:val="1E242A"/>
          <w:sz w:val="21"/>
        </w:rPr>
        <w:t>Primary Brazilian law and institutions:</w:t>
      </w:r>
      <w:r>
        <w:rPr>
          <w:rFonts w:ascii="Arial" w:hAnsi="Arial"/>
          <w:b w:val="0"/>
          <w:i w:val="0"/>
          <w:color w:val="1E242A"/>
          <w:sz w:val="21"/>
        </w:rPr>
        <w:t xml:space="preserve"> </w:t>
      </w:r>
      <w:hyperlink r:id="rId36">
        <w:r>
          <w:rPr>
            <w:color w:val="2C5F80"/>
            <w:u w:val="single"/>
            <w:rFonts w:ascii="Arial" w:hAnsi="Arial"/>
            <w:sz w:val="21"/>
          </w:rPr>
          <w:t>1988 Constitution, compiled</w:t>
        </w:r>
      </w:hyperlink>
      <w:r>
        <w:rPr>
          <w:rFonts w:ascii="Arial" w:hAnsi="Arial"/>
          <w:b w:val="0"/>
          <w:i w:val="0"/>
          <w:color w:val="1E242A"/>
          <w:sz w:val="21"/>
        </w:rPr>
        <w:t xml:space="preserve">; </w:t>
      </w:r>
      <w:hyperlink r:id="rId15">
        <w:r>
          <w:rPr>
            <w:color w:val="2C5F80"/>
            <w:u w:val="single"/>
            <w:rFonts w:ascii="Arial" w:hAnsi="Arial"/>
            <w:sz w:val="21"/>
          </w:rPr>
          <w:t>LC 101/2000</w:t>
        </w:r>
      </w:hyperlink>
      <w:r>
        <w:rPr>
          <w:rFonts w:ascii="Arial" w:hAnsi="Arial"/>
          <w:b w:val="0"/>
          <w:i w:val="0"/>
          <w:color w:val="1E242A"/>
          <w:sz w:val="21"/>
        </w:rPr>
        <w:t xml:space="preserve">; </w:t>
      </w:r>
      <w:hyperlink r:id="rId16">
        <w:r>
          <w:rPr>
            <w:color w:val="2C5F80"/>
            <w:u w:val="single"/>
            <w:rFonts w:ascii="Arial" w:hAnsi="Arial"/>
            <w:sz w:val="21"/>
          </w:rPr>
          <w:t>EC 95/2016</w:t>
        </w:r>
      </w:hyperlink>
      <w:r>
        <w:rPr>
          <w:rFonts w:ascii="Arial" w:hAnsi="Arial"/>
          <w:b w:val="0"/>
          <w:i w:val="0"/>
          <w:color w:val="1E242A"/>
          <w:sz w:val="21"/>
        </w:rPr>
        <w:t xml:space="preserve">; </w:t>
      </w:r>
      <w:hyperlink r:id="rId17">
        <w:r>
          <w:rPr>
            <w:color w:val="2C5F80"/>
            <w:u w:val="single"/>
            <w:rFonts w:ascii="Arial" w:hAnsi="Arial"/>
            <w:sz w:val="21"/>
          </w:rPr>
          <w:t>LC 200/2023</w:t>
        </w:r>
      </w:hyperlink>
      <w:r>
        <w:rPr>
          <w:rFonts w:ascii="Arial" w:hAnsi="Arial"/>
          <w:b w:val="0"/>
          <w:i w:val="0"/>
          <w:color w:val="1E242A"/>
          <w:sz w:val="21"/>
        </w:rPr>
        <w:t xml:space="preserve">; </w:t>
      </w:r>
      <w:hyperlink r:id="rId18">
        <w:r>
          <w:rPr>
            <w:color w:val="2C5F80"/>
            <w:u w:val="single"/>
            <w:rFonts w:ascii="Arial" w:hAnsi="Arial"/>
            <w:sz w:val="21"/>
          </w:rPr>
          <w:t>EC 20/1998</w:t>
        </w:r>
      </w:hyperlink>
      <w:r>
        <w:rPr>
          <w:rFonts w:ascii="Arial" w:hAnsi="Arial"/>
          <w:b w:val="0"/>
          <w:i w:val="0"/>
          <w:color w:val="1E242A"/>
          <w:sz w:val="21"/>
        </w:rPr>
        <w:t xml:space="preserve">; </w:t>
      </w:r>
      <w:hyperlink r:id="rId19">
        <w:r>
          <w:rPr>
            <w:color w:val="2C5F80"/>
            <w:u w:val="single"/>
            <w:rFonts w:ascii="Arial" w:hAnsi="Arial"/>
            <w:sz w:val="21"/>
          </w:rPr>
          <w:t>EC 41/2003</w:t>
        </w:r>
      </w:hyperlink>
      <w:r>
        <w:rPr>
          <w:rFonts w:ascii="Arial" w:hAnsi="Arial"/>
          <w:b w:val="0"/>
          <w:i w:val="0"/>
          <w:color w:val="1E242A"/>
          <w:sz w:val="21"/>
        </w:rPr>
        <w:t xml:space="preserve">; </w:t>
      </w:r>
      <w:hyperlink r:id="rId20">
        <w:r>
          <w:rPr>
            <w:color w:val="2C5F80"/>
            <w:u w:val="single"/>
            <w:rFonts w:ascii="Arial" w:hAnsi="Arial"/>
            <w:sz w:val="21"/>
          </w:rPr>
          <w:t>EC 103/2019</w:t>
        </w:r>
      </w:hyperlink>
      <w:r>
        <w:rPr>
          <w:rFonts w:ascii="Arial" w:hAnsi="Arial"/>
          <w:b w:val="0"/>
          <w:i w:val="0"/>
          <w:color w:val="1E242A"/>
          <w:sz w:val="21"/>
        </w:rPr>
        <w:t xml:space="preserve">; </w:t>
      </w:r>
      <w:hyperlink r:id="rId21">
        <w:r>
          <w:rPr>
            <w:color w:val="2C5F80"/>
            <w:u w:val="single"/>
            <w:rFonts w:ascii="Arial" w:hAnsi="Arial"/>
            <w:sz w:val="21"/>
          </w:rPr>
          <w:t>EC 132/2023</w:t>
        </w:r>
      </w:hyperlink>
      <w:r>
        <w:rPr>
          <w:rFonts w:ascii="Arial" w:hAnsi="Arial"/>
          <w:b w:val="0"/>
          <w:i w:val="0"/>
          <w:color w:val="1E242A"/>
          <w:sz w:val="21"/>
        </w:rPr>
        <w:t xml:space="preserve">; </w:t>
      </w:r>
      <w:hyperlink r:id="rId22">
        <w:r>
          <w:rPr>
            <w:color w:val="2C5F80"/>
            <w:u w:val="single"/>
            <w:rFonts w:ascii="Arial" w:hAnsi="Arial"/>
            <w:sz w:val="21"/>
          </w:rPr>
          <w:t>LC 214/2025</w:t>
        </w:r>
      </w:hyperlink>
      <w:r>
        <w:rPr>
          <w:rFonts w:ascii="Arial" w:hAnsi="Arial"/>
          <w:b w:val="0"/>
          <w:i w:val="0"/>
          <w:color w:val="1E242A"/>
          <w:sz w:val="21"/>
        </w:rPr>
        <w:t xml:space="preserve">; </w:t>
      </w:r>
      <w:hyperlink r:id="rId23">
        <w:r>
          <w:rPr>
            <w:color w:val="2C5F80"/>
            <w:u w:val="single"/>
            <w:rFonts w:ascii="Arial" w:hAnsi="Arial"/>
            <w:sz w:val="21"/>
          </w:rPr>
          <w:t>Law 9,491/1997</w:t>
        </w:r>
      </w:hyperlink>
      <w:r>
        <w:rPr>
          <w:rFonts w:ascii="Arial" w:hAnsi="Arial"/>
          <w:b w:val="0"/>
          <w:i w:val="0"/>
          <w:color w:val="1E242A"/>
          <w:sz w:val="21"/>
        </w:rPr>
        <w:t xml:space="preserve">; </w:t>
      </w:r>
      <w:hyperlink r:id="rId25">
        <w:r>
          <w:rPr>
            <w:color w:val="2C5F80"/>
            <w:u w:val="single"/>
            <w:rFonts w:ascii="Arial" w:hAnsi="Arial"/>
            <w:sz w:val="21"/>
          </w:rPr>
          <w:t>Law 10,836/2004</w:t>
        </w:r>
      </w:hyperlink>
      <w:r>
        <w:rPr>
          <w:rFonts w:ascii="Arial" w:hAnsi="Arial"/>
          <w:b w:val="0"/>
          <w:i w:val="0"/>
          <w:color w:val="1E242A"/>
          <w:sz w:val="21"/>
        </w:rPr>
        <w:t xml:space="preserve">; </w:t>
      </w:r>
      <w:hyperlink r:id="rId28">
        <w:r>
          <w:rPr>
            <w:color w:val="2C5F80"/>
            <w:u w:val="single"/>
            <w:rFonts w:ascii="Arial" w:hAnsi="Arial"/>
            <w:sz w:val="21"/>
          </w:rPr>
          <w:t>Law 13,982/2020</w:t>
        </w:r>
      </w:hyperlink>
      <w:r>
        <w:rPr>
          <w:rFonts w:ascii="Arial" w:hAnsi="Arial"/>
          <w:b w:val="0"/>
          <w:i w:val="0"/>
          <w:color w:val="1E242A"/>
          <w:sz w:val="21"/>
        </w:rPr>
        <w:t xml:space="preserve">; </w:t>
      </w:r>
      <w:hyperlink r:id="rId27">
        <w:r>
          <w:rPr>
            <w:color w:val="2C5F80"/>
            <w:u w:val="single"/>
            <w:rFonts w:ascii="Arial" w:hAnsi="Arial"/>
            <w:sz w:val="21"/>
          </w:rPr>
          <w:t>Law 14,601/2023</w:t>
        </w:r>
      </w:hyperlink>
      <w:r>
        <w:rPr>
          <w:rFonts w:ascii="Arial" w:hAnsi="Arial"/>
          <w:b w:val="0"/>
          <w:i w:val="0"/>
          <w:color w:val="1E242A"/>
          <w:sz w:val="21"/>
        </w:rPr>
        <w:t xml:space="preserve">; </w:t>
      </w:r>
      <w:hyperlink r:id="rId6">
        <w:r>
          <w:rPr>
            <w:color w:val="2C5F80"/>
            <w:u w:val="single"/>
            <w:rFonts w:ascii="Arial" w:hAnsi="Arial"/>
            <w:sz w:val="21"/>
          </w:rPr>
          <w:t>BCB Real Plan history</w:t>
        </w:r>
      </w:hyperlink>
      <w:r>
        <w:rPr>
          <w:rFonts w:ascii="Arial" w:hAnsi="Arial"/>
          <w:b w:val="0"/>
          <w:i w:val="0"/>
          <w:color w:val="1E242A"/>
          <w:sz w:val="21"/>
        </w:rPr>
        <w:t xml:space="preserve">; </w:t>
      </w:r>
      <w:hyperlink r:id="rId37">
        <w:r>
          <w:rPr>
            <w:color w:val="2C5F80"/>
            <w:u w:val="single"/>
            <w:rFonts w:ascii="Arial" w:hAnsi="Arial"/>
            <w:sz w:val="21"/>
          </w:rPr>
          <w:t>TCU paralysed works</w:t>
        </w:r>
      </w:hyperlink>
      <w:r>
        <w:rPr>
          <w:rFonts w:ascii="Arial" w:hAnsi="Arial"/>
          <w:b w:val="0"/>
          <w:i w:val="0"/>
          <w:color w:val="1E242A"/>
          <w:sz w:val="21"/>
        </w:rPr>
        <w:t xml:space="preserve">; </w:t>
      </w:r>
      <w:hyperlink r:id="rId29">
        <w:r>
          <w:rPr>
            <w:color w:val="2C5F80"/>
            <w:u w:val="single"/>
            <w:rFonts w:ascii="Arial" w:hAnsi="Arial"/>
            <w:sz w:val="21"/>
          </w:rPr>
          <w:t>STF ADI 6341 summary</w:t>
        </w:r>
      </w:hyperlink>
      <w:r>
        <w:rPr>
          <w:rFonts w:ascii="Arial" w:hAnsi="Arial"/>
          <w:b w:val="0"/>
          <w:i w:val="0"/>
          <w:color w:val="1E242A"/>
          <w:sz w:val="21"/>
        </w:rPr>
        <w:t xml:space="preserve">; </w:t>
      </w:r>
      <w:hyperlink r:id="rId30">
        <w:r>
          <w:rPr>
            <w:color w:val="2C5F80"/>
            <w:u w:val="single"/>
            <w:rFonts w:ascii="Arial" w:hAnsi="Arial"/>
            <w:sz w:val="21"/>
          </w:rPr>
          <w:t>STF ADPF 709</w:t>
        </w:r>
      </w:hyperlink>
      <w:r>
        <w:rPr>
          <w:rFonts w:ascii="Arial" w:hAnsi="Arial"/>
          <w:b w:val="0"/>
          <w:i w:val="0"/>
          <w:color w:val="1E242A"/>
          <w:sz w:val="21"/>
        </w:rPr>
        <w:t xml:space="preserve">; </w:t>
      </w:r>
      <w:hyperlink r:id="rId33">
        <w:r>
          <w:rPr>
            <w:color w:val="2C5F80"/>
            <w:u w:val="single"/>
            <w:rFonts w:ascii="Arial" w:hAnsi="Arial"/>
            <w:sz w:val="21"/>
          </w:rPr>
          <w:t>Câmara Collor record</w:t>
        </w:r>
      </w:hyperlink>
      <w:r>
        <w:rPr>
          <w:rFonts w:ascii="Arial" w:hAnsi="Arial"/>
          <w:b w:val="0"/>
          <w:i w:val="0"/>
          <w:color w:val="1E242A"/>
          <w:sz w:val="21"/>
        </w:rPr>
        <w:t xml:space="preserve">; </w:t>
      </w:r>
      <w:hyperlink r:id="rId34">
        <w:r>
          <w:rPr>
            <w:color w:val="2C5F80"/>
            <w:u w:val="single"/>
            <w:rFonts w:ascii="Arial" w:hAnsi="Arial"/>
            <w:sz w:val="21"/>
          </w:rPr>
          <w:t>Senado Dilma judgment</w:t>
        </w:r>
      </w:hyperlink>
      <w:r>
        <w:rPr>
          <w:rFonts w:ascii="Arial" w:hAnsi="Arial"/>
          <w:b w:val="0"/>
          <w:i w:val="0"/>
          <w:color w:val="1E242A"/>
          <w:sz w:val="21"/>
        </w:rPr>
        <w:t>.</w:t>
      </w:r>
    </w:p>
    <w:p>
      <w:r>
        <w:rPr>
          <w:rFonts w:ascii="Arial" w:hAnsi="Arial"/>
          <w:b/>
          <w:i w:val="0"/>
          <w:color w:val="1E242A"/>
          <w:sz w:val="21"/>
        </w:rPr>
        <w:t>Evaluation and comparative evidence:</w:t>
      </w:r>
      <w:r>
        <w:rPr>
          <w:rFonts w:ascii="Arial" w:hAnsi="Arial"/>
          <w:b w:val="0"/>
          <w:i w:val="0"/>
          <w:color w:val="1E242A"/>
          <w:sz w:val="21"/>
        </w:rPr>
        <w:t xml:space="preserve"> </w:t>
      </w:r>
      <w:hyperlink r:id="rId26">
        <w:r>
          <w:rPr>
            <w:color w:val="2C5F80"/>
            <w:u w:val="single"/>
            <w:rFonts w:ascii="Arial" w:hAnsi="Arial"/>
            <w:sz w:val="21"/>
          </w:rPr>
          <w:t>IPEA/IPC-IG, Bolsa Família's first 15 years</w:t>
        </w:r>
      </w:hyperlink>
      <w:r>
        <w:rPr>
          <w:rFonts w:ascii="Arial" w:hAnsi="Arial"/>
          <w:b w:val="0"/>
          <w:i w:val="0"/>
          <w:color w:val="1E242A"/>
          <w:sz w:val="21"/>
        </w:rPr>
        <w:t xml:space="preserve">; </w:t>
      </w:r>
      <w:hyperlink r:id="rId31">
        <w:r>
          <w:rPr>
            <w:color w:val="2C5F80"/>
            <w:u w:val="single"/>
            <w:rFonts w:ascii="Arial" w:hAnsi="Arial"/>
            <w:sz w:val="21"/>
          </w:rPr>
          <w:t>IPEA/GIZ PPCDAm evaluation</w:t>
        </w:r>
      </w:hyperlink>
      <w:r>
        <w:rPr>
          <w:rFonts w:ascii="Arial" w:hAnsi="Arial"/>
          <w:b w:val="0"/>
          <w:i w:val="0"/>
          <w:color w:val="1E242A"/>
          <w:sz w:val="21"/>
        </w:rPr>
        <w:t xml:space="preserve">; </w:t>
      </w:r>
      <w:hyperlink r:id="rId35">
        <w:r>
          <w:rPr>
            <w:color w:val="2C5F80"/>
            <w:u w:val="single"/>
            <w:rFonts w:ascii="Arial" w:hAnsi="Arial"/>
            <w:sz w:val="21"/>
          </w:rPr>
          <w:t>WTO DS267 Upland Cotton</w:t>
        </w:r>
      </w:hyperlink>
      <w:r>
        <w:rPr>
          <w:rFonts w:ascii="Arial" w:hAnsi="Arial"/>
          <w:b w:val="0"/>
          <w:i w:val="0"/>
          <w:color w:val="1E242A"/>
          <w:sz w:val="21"/>
        </w:rPr>
        <w:t xml:space="preserve">; </w:t>
      </w:r>
      <w:hyperlink r:id="rId38">
        <w:r>
          <w:rPr>
            <w:color w:val="2C5F80"/>
            <w:u w:val="single"/>
            <w:rFonts w:ascii="Arial" w:hAnsi="Arial"/>
            <w:sz w:val="21"/>
          </w:rPr>
          <w:t>Power, coalition presidentialism review</w:t>
        </w:r>
      </w:hyperlink>
      <w:r>
        <w:rPr>
          <w:rFonts w:ascii="Arial" w:hAnsi="Arial"/>
          <w:b w:val="0"/>
          <w:i w:val="0"/>
          <w:color w:val="1E242A"/>
          <w:sz w:val="21"/>
        </w:rPr>
        <w:t xml:space="preserve">; </w:t>
      </w:r>
      <w:hyperlink r:id="rId32">
        <w:r>
          <w:rPr>
            <w:color w:val="2C5F80"/>
            <w:u w:val="single"/>
            <w:rFonts w:ascii="Arial" w:hAnsi="Arial"/>
            <w:sz w:val="21"/>
          </w:rPr>
          <w:t>Assis &amp; Silva, informal coalitions</w:t>
        </w:r>
      </w:hyperlink>
      <w:r>
        <w:rPr>
          <w:rFonts w:ascii="Arial" w:hAnsi="Arial"/>
          <w:b w:val="0"/>
          <w:i w:val="0"/>
          <w:color w:val="1E242A"/>
          <w:sz w:val="21"/>
        </w:rPr>
        <w:t xml:space="preserve">; </w:t>
      </w:r>
      <w:hyperlink r:id="rId39">
        <w:r>
          <w:rPr>
            <w:color w:val="2C5F80"/>
            <w:u w:val="single"/>
            <w:rFonts w:ascii="Arial" w:hAnsi="Arial"/>
            <w:sz w:val="21"/>
          </w:rPr>
          <w:t>Senado RIL, executive agenda and legislative success</w:t>
        </w:r>
      </w:hyperlink>
      <w:r>
        <w:rPr>
          <w:rFonts w:ascii="Arial" w:hAnsi="Arial"/>
          <w:b w:val="0"/>
          <w:i w:val="0"/>
          <w:color w:val="1E242A"/>
          <w:sz w:val="21"/>
        </w:rPr>
        <w:t>.</w:t>
      </w:r>
    </w:p>
    <w:p>
      <w:pPr>
        <w:pStyle w:val="Heading1"/>
      </w:pPr>
      <w:r>
        <w:rPr>
          <w:rFonts w:ascii="Arial" w:hAnsi="Arial"/>
          <w:b w:val="0"/>
          <w:i w:val="0"/>
          <w:color w:val="183752"/>
          <w:sz w:val="34"/>
        </w:rPr>
        <w:t>Closing principle</w:t>
      </w:r>
    </w:p>
    <w:p>
      <w:r>
        <w:rPr>
          <w:rFonts w:ascii="Arial" w:hAnsi="Arial"/>
          <w:b w:val="0"/>
          <w:i w:val="0"/>
          <w:color w:val="1E242A"/>
          <w:sz w:val="21"/>
        </w:rPr>
        <w:t>History provides experience, not answers. These cases establish that Brazilian governments attempted particular actions through particular institutions under particular conditions. Similarity retrieval may widen judgement; only the future simulation can determine how present actors respond and what consequences follow.</w:t>
      </w:r>
    </w:p>
    <w:sectPr>
      <w:headerReference r:id="rId13" w:type="default"/>
      <w:footerReference r:id="rId14" w:type="default"/>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val="right" w:leader="none" w:pos="9214"/>
      </w:tabs>
      <w:jc w:val="center"/>
      <w:rPr>
        <w:color w:val="999999"/>
        <w:sz w:val="18"/>
        <w:szCs w:val="18"/>
      </w:rPr>
    </w:pPr>
    <w:r>
      <w:rPr>
        <w:rFonts w:ascii="Arial" w:hAnsi="Arial"/>
        <w:b w:val="0"/>
        <w:i w:val="0"/>
        <w:color w:val="5A636B"/>
        <w:sz w:val="16"/>
      </w:rPr>
      <w:t>Research Pass 6  |  Political History and Policy Precedents  |  3 September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left"/>
      <w:rPr>
        <w:color w:val="999999"/>
        <w:sz w:val="24"/>
        <w:szCs w:val="24"/>
      </w:rPr>
    </w:pPr>
    <w:r>
      <w:rPr>
        <w:rFonts w:ascii="Arial" w:hAnsi="Arial"/>
        <w:b/>
        <w:i w:val="0"/>
        <w:color w:val="5A636B"/>
        <w:sz w:val="17"/>
      </w:rPr>
      <w:t>SOVEREIGN  |  BRAZIL COUNTRY RESEARCH PROGRAMME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abstractNum w:abstractNumId="2">
    <w:multiLevelType w:val="singleLevel"/>
    <w:lvl w:ilvl="0">
      <w:start w:val="1"/>
      <w:numFmt w:val="bullet"/>
      <w:lvlText w:val="•"/>
      <w:lvlJc w:val="left"/>
      <w:pPr>
        <w:tabs>
          <w:tab w:val="num" w:pos="720"/>
        </w:tabs>
        <w:ind w:left="720" w:hanging="360"/>
      </w:pPr>
    </w:lvl>
  </w:abstractNum>
  <w:num w:numId="2">
    <w:abstractNumId w:val="2"/>
  </w:num>
  <w:abstractNum w:abstractNumId="3">
    <w:multiLevelType w:val="singleLevel"/>
    <w:lvl w:ilvl="0">
      <w:start w:val="1"/>
      <w:numFmt w:val="decimal"/>
      <w:lvlText w:val="%1."/>
      <w:lvlJc w:val="left"/>
      <w:pPr>
        <w:tabs>
          <w:tab w:val="num" w:pos="720"/>
        </w:tabs>
        <w:ind w:left="720" w:hanging="360"/>
      </w:pPr>
    </w:lvl>
  </w:abstract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9" w:lineRule="auto"/>
    </w:pPr>
    <w:rPr>
      <w:rFonts w:ascii="Arial" w:hAnsi="Arial"/>
      <w:color w:val="1E242A"/>
      <w:sz w:val="21"/>
    </w:rPr>
  </w:style>
  <w:style w:type="paragraph" w:styleId="Heading1">
    <w:name w:val="heading 1"/>
    <w:basedOn w:val="Normal"/>
    <w:next w:val="Normal"/>
    <w:pPr>
      <w:keepNext/>
      <w:keepLines w:val="1"/>
      <w:spacing w:after="140" w:before="320" w:lineRule="auto"/>
    </w:pPr>
    <w:rPr>
      <w:rFonts w:ascii="Arial" w:hAnsi="Arial"/>
      <w:b/>
      <w:color w:val="183752"/>
      <w:sz w:val="34"/>
      <w:szCs w:val="40"/>
    </w:rPr>
  </w:style>
  <w:style w:type="paragraph" w:styleId="Heading2">
    <w:name w:val="heading 2"/>
    <w:basedOn w:val="Normal"/>
    <w:next w:val="Normal"/>
    <w:pPr>
      <w:keepNext/>
      <w:keepLines w:val="1"/>
      <w:spacing w:after="100" w:before="240" w:lineRule="auto"/>
    </w:pPr>
    <w:rPr>
      <w:rFonts w:ascii="Arial" w:hAnsi="Arial"/>
      <w:b/>
      <w:color w:val="2C5F80"/>
      <w:sz w:val="27"/>
      <w:szCs w:val="32"/>
    </w:rPr>
  </w:style>
  <w:style w:type="paragraph" w:styleId="Heading3">
    <w:name w:val="heading 3"/>
    <w:basedOn w:val="Normal"/>
    <w:next w:val="Normal"/>
    <w:pPr>
      <w:keepNext/>
      <w:keepLines w:val="1"/>
      <w:spacing w:after="60" w:before="160" w:lineRule="auto"/>
    </w:pPr>
    <w:rPr>
      <w:rFonts w:ascii="Arial" w:hAnsi="Arial"/>
      <w:b/>
      <w:color w:val="183752"/>
      <w:sz w:val="23"/>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keepLines w:val="1"/>
      <w:spacing w:after="200" w:lineRule="auto" w:before="0"/>
    </w:pPr>
    <w:rPr>
      <w:rFonts w:ascii="Arial" w:hAnsi="Arial"/>
      <w:b/>
      <w:color w:val="183752"/>
      <w:sz w:val="56"/>
      <w:szCs w:val="52"/>
    </w:rPr>
  </w:style>
  <w:style w:type="paragraph" w:styleId="Subtitle">
    <w:name w:val="Subtitle"/>
    <w:basedOn w:val="Normal"/>
    <w:next w:val="Normal"/>
    <w:pPr>
      <w:keepNext/>
      <w:keepLines w:val="1"/>
      <w:spacing w:after="240" w:lineRule="auto" w:before="0"/>
    </w:pPr>
    <w:rPr>
      <w:rFonts w:ascii="Arial" w:hAnsi="Arial"/>
      <w:b w:val="0"/>
      <w:color w:val="5A636B"/>
      <w:sz w:val="26"/>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customStyle="1" w:styleId="ListBullet">
    <w:name w:val="List Bullet"/>
    <w:basedOn w:val="Normal"/>
    <w:pPr>
      <w:spacing w:after="60" w:line="269" w:lineRule="auto"/>
    </w:pPr>
    <w:rPr>
      <w:rFonts w:ascii="Arial" w:hAnsi="Arial"/>
      <w:sz w:val="20"/>
    </w:rPr>
  </w:style>
  <w:style w:type="paragraph" w:customStyle="1" w:styleId="ListNumber">
    <w:name w:val="List Number"/>
    <w:basedOn w:val="Normal"/>
    <w:pPr>
      <w:spacing w:after="60" w:line="269" w:lineRule="auto"/>
    </w:pPr>
    <w:rPr>
      <w:rFonts w:ascii="Arial" w:hAnsi="Arial"/>
      <w:sz w:val="2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 Id="rId6" Type="http://schemas.openxmlformats.org/officeDocument/2006/relationships/hyperlink" Target="https://www.bcb.gov.br/controleinflacao/planoreal" TargetMode="External"/><Relationship Id="rId15" Type="http://schemas.openxmlformats.org/officeDocument/2006/relationships/hyperlink" Target="https://www.planalto.gov.br/ccivil_03/leis/lcp/lcp101.htm" TargetMode="External"/><Relationship Id="rId16" Type="http://schemas.openxmlformats.org/officeDocument/2006/relationships/hyperlink" Target="https://www.planalto.gov.br/ccivil_03/constituicao/emendas/emc/emc95.htm" TargetMode="External"/><Relationship Id="rId17" Type="http://schemas.openxmlformats.org/officeDocument/2006/relationships/hyperlink" Target="https://www.planalto.gov.br/ccivil_03/leis/lcp/lcp200.htm" TargetMode="External"/><Relationship Id="rId18" Type="http://schemas.openxmlformats.org/officeDocument/2006/relationships/hyperlink" Target="https://www.planalto.gov.br/ccivil_03/constituicao/emendas/emc/emc20.htm" TargetMode="External"/><Relationship Id="rId19" Type="http://schemas.openxmlformats.org/officeDocument/2006/relationships/hyperlink" Target="https://www.planalto.gov.br/ccivil_03/constituicao/emendas/emc/emc41.htm" TargetMode="External"/><Relationship Id="rId20" Type="http://schemas.openxmlformats.org/officeDocument/2006/relationships/hyperlink" Target="https://www.planalto.gov.br/ccivil_03/constituicao/emendas/emc/emc103.htm" TargetMode="External"/><Relationship Id="rId21" Type="http://schemas.openxmlformats.org/officeDocument/2006/relationships/hyperlink" Target="https://www.planalto.gov.br/ccivil_03/constituicao/emendas/emc/emc132.htm" TargetMode="External"/><Relationship Id="rId22" Type="http://schemas.openxmlformats.org/officeDocument/2006/relationships/hyperlink" Target="https://www.planalto.gov.br/ccivil_03/leis/lcp/lcp214.htm" TargetMode="External"/><Relationship Id="rId23" Type="http://schemas.openxmlformats.org/officeDocument/2006/relationships/hyperlink" Target="https://www.planalto.gov.br/ccivil_03/leis/l9491.htm" TargetMode="External"/><Relationship Id="rId24" Type="http://schemas.openxmlformats.org/officeDocument/2006/relationships/hyperlink" Target="https://portal.tcu.gov.br/data/files/5E/65/83/5E/0D9628102DFE0FF7F18818A8/AUDITORIA%20OPERACIONAL%20SOBRE%20OBRAS%20PARALISADAS.pdf" TargetMode="External"/><Relationship Id="rId25" Type="http://schemas.openxmlformats.org/officeDocument/2006/relationships/hyperlink" Target="https://www.planalto.gov.br/ccivil_03/_ato2004-2006/2004/lei/l10.836.htm" TargetMode="External"/><Relationship Id="rId26" Type="http://schemas.openxmlformats.org/officeDocument/2006/relationships/hyperlink" Target="https://repositorio.ipea.gov.br/bitstreams/44428030-55be-4eb9-95a4-c9f7cc55ffad/download" TargetMode="External"/><Relationship Id="rId27" Type="http://schemas.openxmlformats.org/officeDocument/2006/relationships/hyperlink" Target="https://www.planalto.gov.br/ccivil_03/_ato2023-2026/2023/lei/l14601.htm" TargetMode="External"/><Relationship Id="rId28" Type="http://schemas.openxmlformats.org/officeDocument/2006/relationships/hyperlink" Target="https://www.planalto.gov.br/ccivil_03/_ato2019-2022/2020/lei/l13982.htm" TargetMode="External"/><Relationship Id="rId29" Type="http://schemas.openxmlformats.org/officeDocument/2006/relationships/hyperlink" Target="https://portal.stf.jus.br/textos/verTexto.asp?pagina=resumocovid_adi&amp;servico=resumocovid" TargetMode="External"/><Relationship Id="rId30" Type="http://schemas.openxmlformats.org/officeDocument/2006/relationships/hyperlink" Target="https://portal.stf.jus.br/peticaoInicial/verPeticaoInicial.asp?base=ADPF&amp;numProcesso=709" TargetMode="External"/><Relationship Id="rId31" Type="http://schemas.openxmlformats.org/officeDocument/2006/relationships/hyperlink" Target="https://repositorio.ipea.gov.br/bitstream/11058/886/1/PPCDAm%20evaluation_EEEN_2012_JH07.pdf" TargetMode="External"/><Relationship Id="rId32" Type="http://schemas.openxmlformats.org/officeDocument/2006/relationships/hyperlink" Target="https://www.scielo.br/j/bpsr/a/rwXz4YfqcJmSsZ8zyxgG8hd/" TargetMode="External"/><Relationship Id="rId33" Type="http://schemas.openxmlformats.org/officeDocument/2006/relationships/hyperlink" Target="https://www2.camara.leg.br/atividade-legislativa/plenario/discursos/escrevendohistoria/destaque-de-materias/20-anos-do-impeachment" TargetMode="External"/><Relationship Id="rId34" Type="http://schemas.openxmlformats.org/officeDocument/2006/relationships/hyperlink" Target="https://www12.senado.leg.br/noticias/materias/2016/08/31/dilma-rousseff-perde-o-mandato-e-temer-e-confirmado-presidente" TargetMode="External"/><Relationship Id="rId35" Type="http://schemas.openxmlformats.org/officeDocument/2006/relationships/hyperlink" Target="https://www.wto.org/english/tratop_e/dispu_e/cases_e/ds267_e.htm" TargetMode="External"/><Relationship Id="rId36" Type="http://schemas.openxmlformats.org/officeDocument/2006/relationships/hyperlink" Target="https://www.planalto.gov.br/ccivil_03/constituicao/constituicao.htm" TargetMode="External"/><Relationship Id="rId37" Type="http://schemas.openxmlformats.org/officeDocument/2006/relationships/hyperlink" Target="https://sites.tcu.gov.br/listadealtorisco2022/gestao_das_obras_paralisadas.html" TargetMode="External"/><Relationship Id="rId38" Type="http://schemas.openxmlformats.org/officeDocument/2006/relationships/hyperlink" Target="https://www.scielo.br/j/rinc/a/w6HH7Z8CjKyQnZqGtxqCXry/?lang=en" TargetMode="External"/><Relationship Id="rId39" Type="http://schemas.openxmlformats.org/officeDocument/2006/relationships/hyperlink" Target="https://www12.senado.leg.br/ril/edicoes/61/242/ril_v61_n242_p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Sovereign Brazil Research Pass 6</dc:title>
  <cp:lastModifiedBy>python-docx</cp:lastModifiedBy>
  <cp:revision>1</cp:revision>
  <dcterms:modified xsi:type="dcterms:W3CDTF">2026-09-04T02:27:42Z</dcterms:modified>
  <dc:subject>Political History, Government Decisions and Policy Precedents</dc:subject>
  <dc:creator>Sovereign Country Research Programme</dc:creator>
  <cp:keywords>Brazil, political history, policy precedent, implementation, institutions, causal inference</cp:keywords>
</cp:coreProperties>
</file>