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rFonts w:ascii="Arial" w:hAnsi="Arial"/>
          <w:b w:val="0"/>
          <w:i w:val="0"/>
          <w:color w:val="183752"/>
          <w:sz w:val="56"/>
        </w:rPr>
        <w:t>Sovereign Brazil Country Research Programme</w:t>
      </w:r>
    </w:p>
    <w:p>
      <w:pPr>
        <w:pStyle w:val="Subtitle"/>
      </w:pPr>
      <w:r>
        <w:rPr>
          <w:rFonts w:ascii="Arial" w:hAnsi="Arial"/>
          <w:b w:val="0"/>
          <w:i w:val="0"/>
          <w:color w:val="5A636B"/>
          <w:sz w:val="26"/>
        </w:rPr>
        <w:t>Research Pass 1: Brazil's State, Constitution and Political Institutions</w:t>
      </w:r>
    </w:p>
    <w:p>
      <w:r>
        <w:rPr>
          <w:rFonts w:ascii="Arial" w:hAnsi="Arial"/>
          <w:b/>
          <w:i w:val="0"/>
          <w:color w:val="1E242A"/>
          <w:sz w:val="21"/>
        </w:rPr>
        <w:t>Research cutoff:</w:t>
      </w:r>
      <w:r>
        <w:rPr>
          <w:rFonts w:ascii="Arial" w:hAnsi="Arial"/>
          <w:b w:val="0"/>
          <w:i w:val="0"/>
          <w:color w:val="1E242A"/>
          <w:sz w:val="21"/>
        </w:rPr>
        <w:t xml:space="preserve"> 3 September 2026</w:t>
      </w:r>
    </w:p>
    <w:p>
      <w:r>
        <w:rPr>
          <w:rFonts w:ascii="Arial" w:hAnsi="Arial"/>
          <w:b/>
          <w:i w:val="0"/>
          <w:color w:val="1E242A"/>
          <w:sz w:val="21"/>
        </w:rPr>
        <w:t>Audience:</w:t>
      </w:r>
      <w:r>
        <w:rPr>
          <w:rFonts w:ascii="Arial" w:hAnsi="Arial"/>
          <w:b w:val="0"/>
          <w:i w:val="0"/>
          <w:color w:val="1E242A"/>
          <w:sz w:val="21"/>
        </w:rPr>
        <w:t xml:space="preserve"> Sovereign designers, institutional modelers, policy researchers and future knowledge-base maintainers</w:t>
      </w:r>
    </w:p>
    <w:p>
      <w:r>
        <w:rPr>
          <w:rFonts w:ascii="Arial" w:hAnsi="Arial"/>
          <w:b/>
          <w:i w:val="0"/>
          <w:color w:val="1E242A"/>
          <w:sz w:val="21"/>
        </w:rPr>
        <w:t>Scope:</w:t>
      </w:r>
      <w:r>
        <w:rPr>
          <w:rFonts w:ascii="Arial" w:hAnsi="Arial"/>
          <w:b w:val="0"/>
          <w:i w:val="0"/>
          <w:color w:val="1E242A"/>
          <w:sz w:val="21"/>
        </w:rPr>
        <w:t xml:space="preserve"> The constitutional state, presidency, National Congress, constitutional judiciary, federalism, federal executive architecture, and the electoral/party institutions that shape governability</w:t>
      </w:r>
    </w:p>
    <w:p>
      <w:r>
        <w:rPr>
          <w:rFonts w:ascii="Arial" w:hAnsi="Arial"/>
          <w:b/>
          <w:i w:val="0"/>
          <w:color w:val="1E242A"/>
          <w:sz w:val="21"/>
        </w:rPr>
        <w:t>Governing text:</w:t>
      </w:r>
      <w:r>
        <w:rPr>
          <w:rFonts w:ascii="Arial" w:hAnsi="Arial"/>
          <w:b w:val="0"/>
          <w:i w:val="0"/>
          <w:color w:val="1E242A"/>
          <w:sz w:val="21"/>
        </w:rPr>
        <w:t xml:space="preserve"> Constitution of 5 October 1988, consolidated through Constitutional Amendment 139/2026</w:t>
      </w:r>
    </w:p>
    <w:p>
      <w:pPr>
        <w:pStyle w:val="Heading2"/>
      </w:pPr>
      <w:r>
        <w:rPr>
          <w:rFonts w:ascii="Arial" w:hAnsi="Arial"/>
          <w:b w:val="0"/>
          <w:i w:val="0"/>
          <w:color w:val="2C5F80"/>
          <w:sz w:val="27"/>
        </w:rPr>
        <w:t>Classification key</w:t>
      </w:r>
    </w:p>
    <w:p>
      <w:pPr>
        <w:pStyle w:val="ListBullet"/>
        <w:numPr>
          <w:ilvl w:val="0"/>
          <w:numId w:val="2"/>
        </w:numPr>
      </w:pPr>
      <w:r>
        <w:rPr>
          <w:rFonts w:ascii="Arial" w:hAnsi="Arial"/>
          <w:b/>
          <w:i w:val="0"/>
          <w:color w:val="1E242A"/>
          <w:sz w:val="20"/>
        </w:rPr>
        <w:t>FORMAL RULE</w:t>
      </w:r>
      <w:r>
        <w:rPr>
          <w:rFonts w:ascii="Arial" w:hAnsi="Arial"/>
          <w:b w:val="0"/>
          <w:i w:val="0"/>
          <w:color w:val="1E242A"/>
          <w:sz w:val="20"/>
        </w:rPr>
        <w:t xml:space="preserve"> — constitutional, statutory, regulatory or procedural authority.</w:t>
      </w:r>
    </w:p>
    <w:p>
      <w:pPr>
        <w:pStyle w:val="ListBullet"/>
        <w:numPr>
          <w:ilvl w:val="0"/>
          <w:numId w:val="2"/>
        </w:numPr>
      </w:pPr>
      <w:r>
        <w:rPr>
          <w:rFonts w:ascii="Arial" w:hAnsi="Arial"/>
          <w:b/>
          <w:i w:val="0"/>
          <w:color w:val="1E242A"/>
          <w:sz w:val="20"/>
        </w:rPr>
        <w:t>POLITICAL PRACTICE</w:t>
      </w:r>
      <w:r>
        <w:rPr>
          <w:rFonts w:ascii="Arial" w:hAnsi="Arial"/>
          <w:b w:val="0"/>
          <w:i w:val="0"/>
          <w:color w:val="1E242A"/>
          <w:sz w:val="20"/>
        </w:rPr>
        <w:t xml:space="preserve"> — recurring behavior that changes how formal authority can be used.</w:t>
      </w:r>
    </w:p>
    <w:p>
      <w:pPr>
        <w:pStyle w:val="ListBullet"/>
        <w:numPr>
          <w:ilvl w:val="0"/>
          <w:numId w:val="2"/>
        </w:numPr>
      </w:pPr>
      <w:r>
        <w:rPr>
          <w:rFonts w:ascii="Arial" w:hAnsi="Arial"/>
          <w:b/>
          <w:i w:val="0"/>
          <w:color w:val="1E242A"/>
          <w:sz w:val="20"/>
        </w:rPr>
        <w:t>HISTORICAL EXPERIENCE</w:t>
      </w:r>
      <w:r>
        <w:rPr>
          <w:rFonts w:ascii="Arial" w:hAnsi="Arial"/>
          <w:b w:val="0"/>
          <w:i w:val="0"/>
          <w:color w:val="1E242A"/>
          <w:sz w:val="20"/>
        </w:rPr>
        <w:t xml:space="preserve"> — a bounded example showing how institutions have operated.</w:t>
      </w:r>
    </w:p>
    <w:p>
      <w:pPr>
        <w:pStyle w:val="ListBullet"/>
        <w:numPr>
          <w:ilvl w:val="0"/>
          <w:numId w:val="2"/>
        </w:numPr>
      </w:pPr>
      <w:r>
        <w:rPr>
          <w:rFonts w:ascii="Arial" w:hAnsi="Arial"/>
          <w:b/>
          <w:i w:val="0"/>
          <w:color w:val="1E242A"/>
          <w:sz w:val="20"/>
        </w:rPr>
        <w:t>SCENARIO-SPECIFIC</w:t>
      </w:r>
      <w:r>
        <w:rPr>
          <w:rFonts w:ascii="Arial" w:hAnsi="Arial"/>
          <w:b w:val="0"/>
          <w:i w:val="0"/>
          <w:color w:val="1E242A"/>
          <w:sz w:val="20"/>
        </w:rPr>
        <w:t xml:space="preserve"> — true at the research cutoff but liable to change with elections, legislation, litigation or reorganization.</w:t>
      </w:r>
    </w:p>
    <w:p>
      <w:pPr>
        <w:pStyle w:val="Heading1"/>
      </w:pPr>
      <w:r>
        <w:rPr>
          <w:rFonts w:ascii="Arial" w:hAnsi="Arial"/>
          <w:b w:val="0"/>
          <w:i w:val="0"/>
          <w:color w:val="183752"/>
          <w:sz w:val="34"/>
        </w:rPr>
        <w:t>Executive answer</w:t>
      </w:r>
    </w:p>
    <w:p>
      <w:r>
        <w:rPr>
          <w:rFonts w:ascii="Arial" w:hAnsi="Arial"/>
          <w:b w:val="0"/>
          <w:i w:val="0"/>
          <w:color w:val="1E242A"/>
          <w:sz w:val="21"/>
        </w:rPr>
        <w:t xml:space="preserve">Brazil is a presidential, constitutional federation in which a nationally elected President leads the federal executive but does not command the federation as a unitary hierarchy. The Union, 26 states, Federal District and municipalities are constitutionally autonomous. The President is a powerful agenda setter: the office directs federal administration, appoints and dismisses ministers, initiates reserved legislation and all federal budget bills, requests urgency, issues provisional measures with immediate temporary force of law, regulates statutes, uses a narrow autonomous-decree power, conducts diplomacy, participates in major appointments and commands the Armed Forces. Those powers are nevertheless divided by instrument and bounded by Congress, courts, federalism, appropriations, statutory bodies and implementation capacity. </w:t>
      </w:r>
      <w:hyperlink r:id="rId6">
        <w:r>
          <w:rPr>
            <w:color w:val="2C5F80"/>
            <w:u w:val="single"/>
            <w:rFonts w:ascii="Arial" w:hAnsi="Arial"/>
            <w:sz w:val="21"/>
          </w:rPr>
          <w:t>Constitution, arts. 1-2, 18, 44, 60-66, 76-91 and 163-169</w:t>
        </w:r>
      </w:hyperlink>
      <w:r>
        <w:rPr>
          <w:rFonts w:ascii="Arial" w:hAnsi="Arial"/>
          <w:b w:val="0"/>
          <w:i w:val="0"/>
          <w:color w:val="1E242A"/>
          <w:sz w:val="21"/>
        </w:rPr>
        <w:t>.</w:t>
      </w:r>
    </w:p>
    <w:p>
      <w:r>
        <w:rPr>
          <w:rFonts w:ascii="Arial" w:hAnsi="Arial"/>
          <w:b w:val="0"/>
          <w:i w:val="0"/>
          <w:color w:val="1E242A"/>
          <w:sz w:val="21"/>
        </w:rPr>
        <w:t xml:space="preserve">The practical governing system is therefore neither presidential command nor parliamentary government. Presidents serve fixed terms and are not dependent on confidence votes, but normally require multiparty coalitions to legislate, confirm nominees, sustain vetoes, approve budgets and defend against impeachment. Congress is internally centralized around presiding officers, party and bloc leaders, committee chairs and rapporteurs. That organization has historically helped governments assemble disciplined voting coalitions, but more recent research finds declining executive dominance and growing congressional control over budget allocation. Coalition membership is not a guarantee of votes, especially for three-fifths constitutional amendments. </w:t>
      </w:r>
      <w:hyperlink r:id="rId15">
        <w:r>
          <w:rPr>
            <w:color w:val="2C5F80"/>
            <w:u w:val="single"/>
            <w:rFonts w:ascii="Arial" w:hAnsi="Arial"/>
            <w:sz w:val="21"/>
          </w:rPr>
          <w:t>Figueiredo and Limongi, 1998</w:t>
        </w:r>
      </w:hyperlink>
      <w:r>
        <w:rPr>
          <w:rFonts w:ascii="Arial" w:hAnsi="Arial"/>
          <w:b w:val="0"/>
          <w:i w:val="0"/>
          <w:color w:val="1E242A"/>
          <w:sz w:val="21"/>
        </w:rPr>
        <w:t xml:space="preserve">; </w:t>
      </w:r>
      <w:hyperlink r:id="rId16">
        <w:r>
          <w:rPr>
            <w:color w:val="2C5F80"/>
            <w:u w:val="single"/>
            <w:rFonts w:ascii="Arial" w:hAnsi="Arial"/>
            <w:sz w:val="21"/>
          </w:rPr>
          <w:t>Pinheiro, Falconi and Vieira, 2024</w:t>
        </w:r>
      </w:hyperlink>
      <w:r>
        <w:rPr>
          <w:rFonts w:ascii="Arial" w:hAnsi="Arial"/>
          <w:b w:val="0"/>
          <w:i w:val="0"/>
          <w:color w:val="1E242A"/>
          <w:sz w:val="21"/>
        </w:rPr>
        <w:t xml:space="preserve">; </w:t>
      </w:r>
      <w:hyperlink r:id="rId17">
        <w:r>
          <w:rPr>
            <w:color w:val="2C5F80"/>
            <w:u w:val="single"/>
            <w:rFonts w:ascii="Arial" w:hAnsi="Arial"/>
            <w:sz w:val="21"/>
          </w:rPr>
          <w:t>Brazilian Political Science Review, 2026</w:t>
        </w:r>
      </w:hyperlink>
      <w:r>
        <w:rPr>
          <w:rFonts w:ascii="Arial" w:hAnsi="Arial"/>
          <w:b w:val="0"/>
          <w:i w:val="0"/>
          <w:color w:val="1E242A"/>
          <w:sz w:val="21"/>
        </w:rPr>
        <w:t>.</w:t>
      </w:r>
    </w:p>
    <w:p>
      <w:r>
        <w:rPr>
          <w:rFonts w:ascii="Arial" w:hAnsi="Arial"/>
          <w:b w:val="0"/>
          <w:i w:val="0"/>
          <w:color w:val="1E242A"/>
          <w:sz w:val="21"/>
        </w:rPr>
        <w:t>For Sovereign, the central institutional fact is that an objective does not identify its lawful route. The same policy may require a statute, a complementary law, a constitutional amendment, a provisional measure, a regulatory decree, a budget bill, a transfer agreement, an agency decision or subnational cooperation. Each route has different initiators, timing, approval thresholds, subject-matter limits, durability and exposure to judicial review. A plausible Brazilian government must select both a policy and the institutionally valid instrument.</w:t>
      </w:r>
    </w:p>
    <w:p>
      <w:pPr>
        <w:pStyle w:val="Heading1"/>
      </w:pPr>
      <w:r>
        <w:rPr>
          <w:rFonts w:ascii="Arial" w:hAnsi="Arial"/>
          <w:b w:val="0"/>
          <w:i w:val="0"/>
          <w:color w:val="183752"/>
          <w:sz w:val="34"/>
        </w:rPr>
        <w:t>1. Constitutional architecture</w:t>
      </w:r>
    </w:p>
    <w:p>
      <w:pPr>
        <w:pStyle w:val="Heading2"/>
      </w:pPr>
      <w:r>
        <w:rPr>
          <w:rFonts w:ascii="Arial" w:hAnsi="Arial"/>
          <w:b w:val="0"/>
          <w:i w:val="0"/>
          <w:color w:val="2C5F80"/>
          <w:sz w:val="27"/>
        </w:rPr>
        <w:t>1.1 The state and the federation</w:t>
      </w:r>
    </w:p>
    <w:p>
      <w:r>
        <w:rPr>
          <w:rFonts w:ascii="Arial" w:hAnsi="Arial"/>
          <w:b/>
          <w:i w:val="0"/>
          <w:color w:val="1E242A"/>
          <w:sz w:val="21"/>
        </w:rPr>
        <w:t>FORMAL RULE.</w:t>
      </w:r>
      <w:r>
        <w:rPr>
          <w:rFonts w:ascii="Arial" w:hAnsi="Arial"/>
          <w:b w:val="0"/>
          <w:i w:val="0"/>
          <w:color w:val="1E242A"/>
          <w:sz w:val="21"/>
        </w:rPr>
        <w:t xml:space="preserve"> The Constitution defines the Federative Republic as the indissoluble union of states, municipalities and the Federal District, constituted as a democratic state under the rule of law. Legislative, Executive and Judicial powers of the Union are independent and harmonious. The political-administrative organization comprises the Union, states, Federal District and municipalities, all autonomous under the Constitution. Autonomy means constitutionally protected self-government, legislation, administration and revenue within allocated competences; it is not sovereignty and does not create a hierarchy in which governors and mayors take presidential orders. </w:t>
      </w:r>
      <w:hyperlink r:id="rId18">
        <w:r>
          <w:rPr>
            <w:color w:val="2C5F80"/>
            <w:u w:val="single"/>
            <w:rFonts w:ascii="Arial" w:hAnsi="Arial"/>
            <w:sz w:val="21"/>
          </w:rPr>
          <w:t>Constitution, arts. 1-2 and 18</w:t>
        </w:r>
      </w:hyperlink>
      <w:r>
        <w:rPr>
          <w:rFonts w:ascii="Arial" w:hAnsi="Arial"/>
          <w:b w:val="0"/>
          <w:i w:val="0"/>
          <w:color w:val="1E242A"/>
          <w:sz w:val="21"/>
        </w:rPr>
        <w:t>.</w:t>
      </w:r>
    </w:p>
    <w:p>
      <w:r>
        <w:rPr>
          <w:rFonts w:ascii="Arial" w:hAnsi="Arial"/>
          <w:b w:val="0"/>
          <w:i w:val="0"/>
          <w:color w:val="1E242A"/>
          <w:sz w:val="21"/>
        </w:rPr>
        <w:t>The Constitution allocates authority through several overlapping techniques:</w:t>
      </w:r>
    </w:p>
    <w:p>
      <w:pPr>
        <w:pStyle w:val="ListBullet"/>
        <w:numPr>
          <w:ilvl w:val="0"/>
          <w:numId w:val="2"/>
        </w:numPr>
      </w:pPr>
      <w:r>
        <w:rPr>
          <w:rFonts w:ascii="Arial" w:hAnsi="Arial"/>
          <w:b w:val="0"/>
          <w:i w:val="0"/>
          <w:color w:val="1E242A"/>
          <w:sz w:val="20"/>
        </w:rPr>
        <w:t>material/administrative competences assigned to the Union (art. 21);</w:t>
      </w:r>
    </w:p>
    <w:p>
      <w:pPr>
        <w:pStyle w:val="ListBullet"/>
        <w:numPr>
          <w:ilvl w:val="0"/>
          <w:numId w:val="2"/>
        </w:numPr>
      </w:pPr>
      <w:r>
        <w:rPr>
          <w:rFonts w:ascii="Arial" w:hAnsi="Arial"/>
          <w:b w:val="0"/>
          <w:i w:val="0"/>
          <w:color w:val="1E242A"/>
          <w:sz w:val="20"/>
        </w:rPr>
        <w:t>fields in which the Union legislates exclusively, subject to possible complementary-law authorization for states on specific questions (art. 22);</w:t>
      </w:r>
    </w:p>
    <w:p>
      <w:pPr>
        <w:pStyle w:val="ListBullet"/>
        <w:numPr>
          <w:ilvl w:val="0"/>
          <w:numId w:val="2"/>
        </w:numPr>
      </w:pPr>
      <w:r>
        <w:rPr>
          <w:rFonts w:ascii="Arial" w:hAnsi="Arial"/>
          <w:b w:val="0"/>
          <w:i w:val="0"/>
          <w:color w:val="1E242A"/>
          <w:sz w:val="20"/>
        </w:rPr>
        <w:t>common administrative duties shared by all levels (art. 23);</w:t>
      </w:r>
    </w:p>
    <w:p>
      <w:pPr>
        <w:pStyle w:val="ListBullet"/>
        <w:numPr>
          <w:ilvl w:val="0"/>
          <w:numId w:val="2"/>
        </w:numPr>
      </w:pPr>
      <w:r>
        <w:rPr>
          <w:rFonts w:ascii="Arial" w:hAnsi="Arial"/>
          <w:b w:val="0"/>
          <w:i w:val="0"/>
          <w:color w:val="1E242A"/>
          <w:sz w:val="20"/>
        </w:rPr>
        <w:t>concurrent legislation by Union, states and the Federal District, with federal general norms and state supplementation (art. 24);</w:t>
      </w:r>
    </w:p>
    <w:p>
      <w:pPr>
        <w:pStyle w:val="ListBullet"/>
        <w:numPr>
          <w:ilvl w:val="0"/>
          <w:numId w:val="2"/>
        </w:numPr>
      </w:pPr>
      <w:r>
        <w:rPr>
          <w:rFonts w:ascii="Arial" w:hAnsi="Arial"/>
          <w:b w:val="0"/>
          <w:i w:val="0"/>
          <w:color w:val="1E242A"/>
          <w:sz w:val="20"/>
        </w:rPr>
        <w:t>residual state powers not prohibited by the Constitution (art. 25 §1);</w:t>
      </w:r>
    </w:p>
    <w:p>
      <w:pPr>
        <w:pStyle w:val="ListBullet"/>
        <w:numPr>
          <w:ilvl w:val="0"/>
          <w:numId w:val="2"/>
        </w:numPr>
      </w:pPr>
      <w:r>
        <w:rPr>
          <w:rFonts w:ascii="Arial" w:hAnsi="Arial"/>
          <w:b w:val="0"/>
          <w:i w:val="0"/>
          <w:color w:val="1E242A"/>
          <w:sz w:val="20"/>
        </w:rPr>
        <w:t>combined state and municipal competences in the Federal District (art. 32 §1); and</w:t>
      </w:r>
    </w:p>
    <w:p>
      <w:pPr>
        <w:pStyle w:val="ListBullet"/>
        <w:numPr>
          <w:ilvl w:val="0"/>
          <w:numId w:val="2"/>
        </w:numPr>
      </w:pPr>
      <w:r>
        <w:rPr>
          <w:rFonts w:ascii="Arial" w:hAnsi="Arial"/>
          <w:b w:val="0"/>
          <w:i w:val="0"/>
          <w:color w:val="1E242A"/>
          <w:sz w:val="20"/>
        </w:rPr>
        <w:t>municipal power over local interests, local services and supplementation of federal and state law (art. 30).</w:t>
      </w:r>
    </w:p>
    <w:p>
      <w:r>
        <w:rPr>
          <w:rFonts w:ascii="Arial" w:hAnsi="Arial"/>
          <w:b w:val="0"/>
          <w:i w:val="0"/>
          <w:color w:val="1E242A"/>
          <w:sz w:val="21"/>
        </w:rPr>
        <w:t>This is cooperative and frequently overlapping federalism. “Federal competence” may mean authority to legislate general standards rather than authority to operate every service. Conversely, decentralized execution does not necessarily prevent federal financing, national norms, audit, data systems or coordination.</w:t>
      </w:r>
    </w:p>
    <w:p>
      <w:r>
        <w:rPr>
          <w:rFonts w:ascii="Arial" w:hAnsi="Arial"/>
          <w:b/>
          <w:i w:val="0"/>
          <w:color w:val="1E242A"/>
          <w:sz w:val="21"/>
        </w:rPr>
        <w:t>Decision relevance.</w:t>
      </w:r>
      <w:r>
        <w:rPr>
          <w:rFonts w:ascii="Arial" w:hAnsi="Arial"/>
          <w:b w:val="0"/>
          <w:i w:val="0"/>
          <w:color w:val="1E242A"/>
          <w:sz w:val="21"/>
        </w:rPr>
        <w:t xml:space="preserve"> A President should first ask: Is the intended action a Union responsibility, a national standard in a shared field, a federal spending programme, or an attempt to direct an autonomous government? The first three may be lawful through different instruments; the fourth normally is not.</w:t>
      </w:r>
    </w:p>
    <w:p>
      <w:pPr>
        <w:pStyle w:val="Heading2"/>
      </w:pPr>
      <w:r>
        <w:rPr>
          <w:rFonts w:ascii="Arial" w:hAnsi="Arial"/>
          <w:b w:val="0"/>
          <w:i w:val="0"/>
          <w:color w:val="2C5F80"/>
          <w:sz w:val="27"/>
        </w:rPr>
        <w:t>1.2 Constitutional supremacy and legal hierarchy</w:t>
      </w:r>
    </w:p>
    <w:p>
      <w:r>
        <w:rPr>
          <w:rFonts w:ascii="Arial" w:hAnsi="Arial"/>
          <w:b/>
          <w:i w:val="0"/>
          <w:color w:val="1E242A"/>
          <w:sz w:val="21"/>
        </w:rPr>
        <w:t>FORMAL RULE.</w:t>
      </w:r>
      <w:r>
        <w:rPr>
          <w:rFonts w:ascii="Arial" w:hAnsi="Arial"/>
          <w:b w:val="0"/>
          <w:i w:val="0"/>
          <w:color w:val="1E242A"/>
          <w:sz w:val="21"/>
        </w:rPr>
        <w:t xml:space="preserve"> The Constitution is superior to ordinary legislation and executive acts. Constitutional amendments become part of the constitutional text but remain subject to procedural and entrenched substantive limits. Complementary and ordinary laws occupy statutory fields defined by the Constitution; a complementary law is not simply a universally “higher” statute, but is required where the Constitution reserves a subject to that form. Provisional measures temporarily have force of law but cannot address complementary-law matters or specified prohibited subjects. Decrees generally implement statutes; only the narrow fields in art. 84 VI permit a decree without statutory implementation authority.</w:t>
      </w:r>
    </w:p>
    <w:p>
      <w:r>
        <w:rPr>
          <w:rFonts w:ascii="Arial" w:hAnsi="Arial"/>
          <w:b w:val="0"/>
          <w:i w:val="0"/>
          <w:color w:val="1E242A"/>
          <w:sz w:val="21"/>
        </w:rPr>
        <w:t xml:space="preserve">The STF can invalidate statutes and executive acts incompatible with the Constitution. Administrative legality also subjects federal action to statutes, due process, reason-giving, appropriations, procurement and judicial/audit review. A presidential decree cannot suspend a higher-ranking norm. </w:t>
      </w:r>
      <w:hyperlink r:id="rId19">
        <w:r>
          <w:rPr>
            <w:color w:val="2C5F80"/>
            <w:u w:val="single"/>
            <w:rFonts w:ascii="Arial" w:hAnsi="Arial"/>
            <w:sz w:val="21"/>
          </w:rPr>
          <w:t>STF annotated Constitution, art. 84</w:t>
        </w:r>
      </w:hyperlink>
      <w:r>
        <w:rPr>
          <w:rFonts w:ascii="Arial" w:hAnsi="Arial"/>
          <w:b w:val="0"/>
          <w:i w:val="0"/>
          <w:color w:val="1E242A"/>
          <w:sz w:val="21"/>
        </w:rPr>
        <w:t>.</w:t>
      </w:r>
    </w:p>
    <w:p>
      <w:pPr>
        <w:pStyle w:val="Heading2"/>
      </w:pPr>
      <w:r>
        <w:rPr>
          <w:rFonts w:ascii="Arial" w:hAnsi="Arial"/>
          <w:b w:val="0"/>
          <w:i w:val="0"/>
          <w:color w:val="2C5F80"/>
          <w:sz w:val="27"/>
        </w:rPr>
        <w:t>1.3 Constitutional amendment</w:t>
      </w:r>
    </w:p>
    <w:p>
      <w:r>
        <w:rPr>
          <w:rFonts w:ascii="Arial" w:hAnsi="Arial"/>
          <w:b/>
          <w:i w:val="0"/>
          <w:color w:val="1E242A"/>
          <w:sz w:val="21"/>
        </w:rPr>
        <w:t>FORMAL RULE.</w:t>
      </w:r>
      <w:r>
        <w:rPr>
          <w:rFonts w:ascii="Arial" w:hAnsi="Arial"/>
          <w:b w:val="0"/>
          <w:i w:val="0"/>
          <w:color w:val="1E242A"/>
          <w:sz w:val="21"/>
        </w:rPr>
        <w:t xml:space="preserve"> A proposed constitutional amendment (PEC) may be initiated by one-third of the Chamber or Senate, the President, or more than half of state legislative assemblies, each acting by relative majority. It must receive three-fifths of all members in two rounds in each house: with the 2026 chambers, 308 deputies and 49 senators in every round. The Mesas of the two houses promulgate an approved amendment. There is no presidential sanction or veto. A rejected or prejudiced proposal cannot be reintroduced in the same legislative session. </w:t>
      </w:r>
      <w:hyperlink r:id="rId18">
        <w:r>
          <w:rPr>
            <w:color w:val="2C5F80"/>
            <w:u w:val="single"/>
            <w:rFonts w:ascii="Arial" w:hAnsi="Arial"/>
            <w:sz w:val="21"/>
          </w:rPr>
          <w:t>Constitution, art. 60</w:t>
        </w:r>
      </w:hyperlink>
      <w:r>
        <w:rPr>
          <w:rFonts w:ascii="Arial" w:hAnsi="Arial"/>
          <w:b w:val="0"/>
          <w:i w:val="0"/>
          <w:color w:val="1E242A"/>
          <w:sz w:val="21"/>
        </w:rPr>
        <w:t>.</w:t>
      </w:r>
    </w:p>
    <w:p>
      <w:r>
        <w:rPr>
          <w:rFonts w:ascii="Arial" w:hAnsi="Arial"/>
          <w:b w:val="0"/>
          <w:i w:val="0"/>
          <w:color w:val="1E242A"/>
          <w:sz w:val="21"/>
        </w:rPr>
        <w:t>No amendment may be made while federal intervention, a state of defence or a state of siege is in force. A proposal “tending to abolish” the federal form, direct/secret/universal/periodic vote, separation of powers, or individual rights and guarantees may not even be deliberated. The exact reach of these entrenched clauses—especially the scope of individual guarantees and “tending to abolish”—is jurisprudential, not reducible to a mechanical list.</w:t>
      </w:r>
    </w:p>
    <w:p>
      <w:r>
        <w:rPr>
          <w:rFonts w:ascii="Arial" w:hAnsi="Arial"/>
          <w:b/>
          <w:i w:val="0"/>
          <w:color w:val="1E242A"/>
          <w:sz w:val="21"/>
        </w:rPr>
        <w:t>GOVERNMENT ACTION INSTRUMENT — Presidential PEC proposal.</w:t>
      </w:r>
      <w:r>
        <w:rPr>
          <w:rFonts w:ascii="Arial" w:hAnsi="Arial"/>
          <w:b w:val="0"/>
          <w:i w:val="0"/>
          <w:color w:val="1E242A"/>
          <w:sz w:val="21"/>
        </w:rPr>
        <w:t xml:space="preserve"> This lets the President place constitutional change before Congress. It supplies no fast-track enactment, veto or unilateral control. It requires a broad bicameral coalition and must survive constitutional review of amendment limits.</w:t>
      </w:r>
    </w:p>
    <w:p>
      <w:pPr>
        <w:pStyle w:val="Heading2"/>
      </w:pPr>
      <w:r>
        <w:rPr>
          <w:rFonts w:ascii="Arial" w:hAnsi="Arial"/>
          <w:b w:val="0"/>
          <w:i w:val="0"/>
          <w:color w:val="2C5F80"/>
          <w:sz w:val="27"/>
        </w:rPr>
        <w:t>1.4 Accountability and removal</w:t>
      </w:r>
    </w:p>
    <w:p>
      <w:r>
        <w:rPr>
          <w:rFonts w:ascii="Arial" w:hAnsi="Arial"/>
          <w:b/>
          <w:i w:val="0"/>
          <w:color w:val="1E242A"/>
          <w:sz w:val="21"/>
        </w:rPr>
        <w:t>FORMAL RULE.</w:t>
      </w:r>
      <w:r>
        <w:rPr>
          <w:rFonts w:ascii="Arial" w:hAnsi="Arial"/>
          <w:b w:val="0"/>
          <w:i w:val="0"/>
          <w:color w:val="1E242A"/>
          <w:sz w:val="21"/>
        </w:rPr>
        <w:t xml:space="preserve"> Brazil has no parliamentary confidence procedure. The President serves a fixed term but can be prosecuted and removed through constitutionally mediated processes. Articles 85-86 define crimes of responsibility and the procedure: the Chamber authorizes proceedings by two-thirds; the STF tries common criminal offences and the Senate tries crimes of responsibility. The President is temporarily suspended after the STF receives a criminal accusation or the Senate institutes the responsibility proceeding, subject to the constitutional 180-day rule. In-term immunity covers acts unrelated to presidential functions. </w:t>
      </w:r>
      <w:hyperlink r:id="rId18">
        <w:r>
          <w:rPr>
            <w:color w:val="2C5F80"/>
            <w:u w:val="single"/>
            <w:rFonts w:ascii="Arial" w:hAnsi="Arial"/>
            <w:sz w:val="21"/>
          </w:rPr>
          <w:t>Constitution, arts. 85-86</w:t>
        </w:r>
      </w:hyperlink>
      <w:r>
        <w:rPr>
          <w:rFonts w:ascii="Arial" w:hAnsi="Arial"/>
          <w:b w:val="0"/>
          <w:i w:val="0"/>
          <w:color w:val="1E242A"/>
          <w:sz w:val="21"/>
        </w:rPr>
        <w:t>.</w:t>
      </w:r>
    </w:p>
    <w:p>
      <w:r>
        <w:rPr>
          <w:rFonts w:ascii="Arial" w:hAnsi="Arial"/>
          <w:b/>
          <w:i w:val="0"/>
          <w:color w:val="1E242A"/>
          <w:sz w:val="21"/>
        </w:rPr>
        <w:t>POLITICAL PRACTICE / HISTORICAL EXPERIENCE.</w:t>
      </w:r>
      <w:r>
        <w:rPr>
          <w:rFonts w:ascii="Arial" w:hAnsi="Arial"/>
          <w:b w:val="0"/>
          <w:i w:val="0"/>
          <w:color w:val="1E242A"/>
          <w:sz w:val="21"/>
        </w:rPr>
        <w:t xml:space="preserve"> Collor (1992) and Dilma Rousseff (2016) demonstrate that impeachment is legally framed but politically activated. Coalition collapse, congressional leadership and public legitimacy affect whether accusations advance. This does not make impeachment a lawful no-confidence vote: the constitutional allegation, chamber threshold and Senate adjudication remain necessary. Scholarly interpretation disagrees over whether practice has made impeachment too politically elastic. </w:t>
      </w:r>
      <w:hyperlink r:id="rId20">
        <w:r>
          <w:rPr>
            <w:color w:val="2C5F80"/>
            <w:u w:val="single"/>
            <w:rFonts w:ascii="Arial" w:hAnsi="Arial"/>
            <w:sz w:val="21"/>
          </w:rPr>
          <w:t>Arantes et al., 2018</w:t>
        </w:r>
      </w:hyperlink>
      <w:r>
        <w:rPr>
          <w:rFonts w:ascii="Arial" w:hAnsi="Arial"/>
          <w:b w:val="0"/>
          <w:i w:val="0"/>
          <w:color w:val="1E242A"/>
          <w:sz w:val="21"/>
        </w:rPr>
        <w:t>.</w:t>
      </w:r>
    </w:p>
    <w:p>
      <w:pPr>
        <w:pStyle w:val="Heading1"/>
      </w:pPr>
      <w:r>
        <w:rPr>
          <w:rFonts w:ascii="Arial" w:hAnsi="Arial"/>
          <w:b w:val="0"/>
          <w:i w:val="0"/>
          <w:color w:val="183752"/>
          <w:sz w:val="34"/>
        </w:rPr>
        <w:t>2. The Presidency and federal executive power</w:t>
      </w:r>
    </w:p>
    <w:p>
      <w:pPr>
        <w:pStyle w:val="Heading2"/>
      </w:pPr>
      <w:r>
        <w:rPr>
          <w:rFonts w:ascii="Arial" w:hAnsi="Arial"/>
          <w:b w:val="0"/>
          <w:i w:val="0"/>
          <w:color w:val="2C5F80"/>
          <w:sz w:val="27"/>
        </w:rPr>
        <w:t>2.1 Constitutional position</w:t>
      </w:r>
    </w:p>
    <w:p>
      <w:r>
        <w:rPr>
          <w:rFonts w:ascii="Arial" w:hAnsi="Arial"/>
          <w:b/>
          <w:i w:val="0"/>
          <w:color w:val="1E242A"/>
          <w:sz w:val="21"/>
        </w:rPr>
        <w:t>FORMAL RULE.</w:t>
      </w:r>
      <w:r>
        <w:rPr>
          <w:rFonts w:ascii="Arial" w:hAnsi="Arial"/>
          <w:b w:val="0"/>
          <w:i w:val="0"/>
          <w:color w:val="1E242A"/>
          <w:sz w:val="21"/>
        </w:rPr>
        <w:t xml:space="preserve"> Executive power is exercised by the President, assisted by ministers. The President is simultaneously head of state and head of the federal government. Article 84 is the core catalogue, but presidential capacity also depends on legislative, budgetary, administrative, military and emergency provisions elsewhere in the Constitution and federal statutes. </w:t>
      </w:r>
      <w:hyperlink r:id="rId18">
        <w:r>
          <w:rPr>
            <w:color w:val="2C5F80"/>
            <w:u w:val="single"/>
            <w:rFonts w:ascii="Arial" w:hAnsi="Arial"/>
            <w:sz w:val="21"/>
          </w:rPr>
          <w:t>Constitution, arts. 76 and 84</w:t>
        </w:r>
      </w:hyperlink>
      <w:r>
        <w:rPr>
          <w:rFonts w:ascii="Arial" w:hAnsi="Arial"/>
          <w:b w:val="0"/>
          <w:i w:val="0"/>
          <w:color w:val="1E242A"/>
          <w:sz w:val="21"/>
        </w:rPr>
        <w:t>.</w:t>
      </w:r>
    </w:p>
    <w:p>
      <w:r>
        <w:rPr>
          <w:rFonts w:ascii="Arial" w:hAnsi="Arial"/>
          <w:b w:val="0"/>
          <w:i w:val="0"/>
          <w:color w:val="1E242A"/>
          <w:sz w:val="21"/>
        </w:rPr>
        <w:t>The following distinctions are essential:</w:t>
      </w:r>
    </w:p>
    <w:p>
      <w:pPr>
        <w:pStyle w:val="ListBullet"/>
        <w:numPr>
          <w:ilvl w:val="0"/>
          <w:numId w:val="2"/>
        </w:numPr>
      </w:pPr>
      <w:r>
        <w:rPr>
          <w:rFonts w:ascii="Arial" w:hAnsi="Arial"/>
          <w:b/>
          <w:i w:val="0"/>
          <w:color w:val="1E242A"/>
          <w:sz w:val="20"/>
        </w:rPr>
        <w:t>Direct presidential authority:</w:t>
      </w:r>
      <w:r>
        <w:rPr>
          <w:rFonts w:ascii="Arial" w:hAnsi="Arial"/>
          <w:b w:val="0"/>
          <w:i w:val="0"/>
          <w:color w:val="1E242A"/>
          <w:sz w:val="20"/>
        </w:rPr>
        <w:t xml:space="preserve"> appoint/dismiss ministers; direct the federal administration; issue valid regulatory and narrow autonomous decrees; nominate or fill offices as law permits; grant pardons/commutations; make certain diplomatic and military decisions; initiate legislation and budgets; sanction/veto bills.</w:t>
      </w:r>
    </w:p>
    <w:p>
      <w:pPr>
        <w:pStyle w:val="ListBullet"/>
        <w:numPr>
          <w:ilvl w:val="0"/>
          <w:numId w:val="2"/>
        </w:numPr>
      </w:pPr>
      <w:r>
        <w:rPr>
          <w:rFonts w:ascii="Arial" w:hAnsi="Arial"/>
          <w:b/>
          <w:i w:val="0"/>
          <w:color w:val="1E242A"/>
          <w:sz w:val="20"/>
        </w:rPr>
        <w:t>Presidential initiation followed by Congress:</w:t>
      </w:r>
      <w:r>
        <w:rPr>
          <w:rFonts w:ascii="Arial" w:hAnsi="Arial"/>
          <w:b w:val="0"/>
          <w:i w:val="0"/>
          <w:color w:val="1E242A"/>
          <w:sz w:val="20"/>
        </w:rPr>
        <w:t xml:space="preserve"> ordinary/complementary bills, PECs, PPA/LDO/LOA, many appointments, treaties, war and peace decisions, and a national calamity fiscal regime.</w:t>
      </w:r>
    </w:p>
    <w:p>
      <w:pPr>
        <w:pStyle w:val="ListBullet"/>
        <w:numPr>
          <w:ilvl w:val="0"/>
          <w:numId w:val="2"/>
        </w:numPr>
      </w:pPr>
      <w:r>
        <w:rPr>
          <w:rFonts w:ascii="Arial" w:hAnsi="Arial"/>
          <w:b/>
          <w:i w:val="0"/>
          <w:color w:val="1E242A"/>
          <w:sz w:val="20"/>
        </w:rPr>
        <w:t>Immediate action subject to rapid legislative control:</w:t>
      </w:r>
      <w:r>
        <w:rPr>
          <w:rFonts w:ascii="Arial" w:hAnsi="Arial"/>
          <w:b w:val="0"/>
          <w:i w:val="0"/>
          <w:color w:val="1E242A"/>
          <w:sz w:val="20"/>
        </w:rPr>
        <w:t xml:space="preserve"> provisional measures, state of defence and most federal interventions.</w:t>
      </w:r>
    </w:p>
    <w:p>
      <w:pPr>
        <w:pStyle w:val="ListBullet"/>
        <w:numPr>
          <w:ilvl w:val="0"/>
          <w:numId w:val="2"/>
        </w:numPr>
      </w:pPr>
      <w:r>
        <w:rPr>
          <w:rFonts w:ascii="Arial" w:hAnsi="Arial"/>
          <w:b/>
          <w:i w:val="0"/>
          <w:color w:val="1E242A"/>
          <w:sz w:val="20"/>
        </w:rPr>
        <w:t>Institutional cooperation:</w:t>
      </w:r>
      <w:r>
        <w:rPr>
          <w:rFonts w:ascii="Arial" w:hAnsi="Arial"/>
          <w:b w:val="0"/>
          <w:i w:val="0"/>
          <w:color w:val="1E242A"/>
          <w:sz w:val="20"/>
        </w:rPr>
        <w:t xml:space="preserve"> policies executed by autonomous states/municipalities, decisions of independent regulators, monetary policy, prosecutions, audits and judicial adjudication.</w:t>
      </w:r>
    </w:p>
    <w:p>
      <w:pPr>
        <w:pStyle w:val="ListBullet"/>
        <w:numPr>
          <w:ilvl w:val="0"/>
          <w:numId w:val="2"/>
        </w:numPr>
      </w:pPr>
      <w:r>
        <w:rPr>
          <w:rFonts w:ascii="Arial" w:hAnsi="Arial"/>
          <w:b/>
          <w:i w:val="0"/>
          <w:color w:val="1E242A"/>
          <w:sz w:val="20"/>
        </w:rPr>
        <w:t>Outside presidential authority:</w:t>
      </w:r>
      <w:r>
        <w:rPr>
          <w:rFonts w:ascii="Arial" w:hAnsi="Arial"/>
          <w:b w:val="0"/>
          <w:i w:val="0"/>
          <w:color w:val="1E242A"/>
          <w:sz w:val="20"/>
        </w:rPr>
        <w:t xml:space="preserve"> commanding Congress, courts, prosecutors, audit tribunals, autonomous subnational governments or independent decision-makers; creating taxes or spending without lawful authority; ordering the Central Bank’s policy rate; using the Armed Forces as a “moderating power.”</w:t>
      </w:r>
    </w:p>
    <w:p>
      <w:pPr>
        <w:pStyle w:val="Heading2"/>
      </w:pPr>
      <w:r>
        <w:rPr>
          <w:rFonts w:ascii="Arial" w:hAnsi="Arial"/>
          <w:b w:val="0"/>
          <w:i w:val="0"/>
          <w:color w:val="2C5F80"/>
          <w:sz w:val="27"/>
        </w:rPr>
        <w:t>2.2 Ministers, cabinet and administrative direction</w:t>
      </w:r>
    </w:p>
    <w:p>
      <w:r>
        <w:rPr>
          <w:rFonts w:ascii="Arial" w:hAnsi="Arial"/>
          <w:b/>
          <w:i w:val="0"/>
          <w:color w:val="1E242A"/>
          <w:sz w:val="21"/>
        </w:rPr>
        <w:t>FORMAL RULE.</w:t>
      </w:r>
      <w:r>
        <w:rPr>
          <w:rFonts w:ascii="Arial" w:hAnsi="Arial"/>
          <w:b w:val="0"/>
          <w:i w:val="0"/>
          <w:color w:val="1E242A"/>
          <w:sz w:val="21"/>
        </w:rPr>
        <w:t xml:space="preserve"> The President appoints and dismisses ministers directly (art. 84 I) and exercises superior direction of federal administration with their assistance (art. 84 II). Ministers orient and supervise their portfolios, countersign presidential acts, issue instructions for executing laws/decrees and exercise powers conferred or delegated to them (art. 87). The political cabinet is therefore removable at will, but the offices, entities, appropriations and statutory powers through which ministers act are not freely mutable.</w:t>
      </w:r>
    </w:p>
    <w:p>
      <w:r>
        <w:rPr>
          <w:rFonts w:ascii="Arial" w:hAnsi="Arial"/>
          <w:b w:val="0"/>
          <w:i w:val="0"/>
          <w:color w:val="1E242A"/>
          <w:sz w:val="21"/>
        </w:rPr>
        <w:t xml:space="preserve">Creating or abolishing ministries or public bodies requires legislation; bills concerning creation/extinction of ministries and much federal executive organization are reserved to presidential initiative. Article 84 VI allows organizational decrees only when they do not increase expenditure or create/abolish public bodies, and permits abolition of functions or posts only when vacant. In ADI 6186, the STF confined a decree abolishing thousands of posts/functions to those vacant when issued. </w:t>
      </w:r>
      <w:hyperlink r:id="rId21">
        <w:r>
          <w:rPr>
            <w:color w:val="2C5F80"/>
            <w:u w:val="single"/>
            <w:rFonts w:ascii="Arial" w:hAnsi="Arial"/>
            <w:sz w:val="21"/>
          </w:rPr>
          <w:t>STF, ADI 6186 summary, 5 May 2023</w:t>
        </w:r>
      </w:hyperlink>
      <w:r>
        <w:rPr>
          <w:rFonts w:ascii="Arial" w:hAnsi="Arial"/>
          <w:b w:val="0"/>
          <w:i w:val="0"/>
          <w:color w:val="1E242A"/>
          <w:sz w:val="21"/>
        </w:rPr>
        <w:t>.</w:t>
      </w:r>
    </w:p>
    <w:p>
      <w:r>
        <w:rPr>
          <w:rFonts w:ascii="Arial" w:hAnsi="Arial"/>
          <w:b w:val="0"/>
          <w:i w:val="0"/>
          <w:color w:val="1E242A"/>
          <w:sz w:val="21"/>
        </w:rPr>
        <w:t>Only the powers in art. 84 VI, XII and the first part of XXV are constitutionally delegable, and only to ministers, the Prosecutor-General or Attorney-General within the delegation. Veto, provisional-measure, treaty, military-command and emergency powers are not generally delegable merely because they are “privative.”</w:t>
      </w:r>
    </w:p>
    <w:p>
      <w:r>
        <w:rPr>
          <w:rFonts w:ascii="Arial" w:hAnsi="Arial"/>
          <w:b/>
          <w:i w:val="0"/>
          <w:color w:val="1E242A"/>
          <w:sz w:val="21"/>
        </w:rPr>
        <w:t>Decision relevance.</w:t>
      </w:r>
      <w:r>
        <w:rPr>
          <w:rFonts w:ascii="Arial" w:hAnsi="Arial"/>
          <w:b w:val="0"/>
          <w:i w:val="0"/>
          <w:color w:val="1E242A"/>
          <w:sz w:val="21"/>
        </w:rPr>
        <w:t xml:space="preserve"> A President can change political leadership quickly. Changing the state machinery’s legal architecture is slower and may require a statute, appropriations, civil-service compliance and implementation time.</w:t>
      </w:r>
    </w:p>
    <w:p>
      <w:pPr>
        <w:pStyle w:val="Heading2"/>
      </w:pPr>
      <w:r>
        <w:rPr>
          <w:rFonts w:ascii="Arial" w:hAnsi="Arial"/>
          <w:b w:val="0"/>
          <w:i w:val="0"/>
          <w:color w:val="2C5F80"/>
          <w:sz w:val="27"/>
        </w:rPr>
        <w:t>2.3 Legislative instruments</w:t>
      </w:r>
    </w:p>
    <w:p>
      <w:pPr>
        <w:pStyle w:val="Heading3"/>
      </w:pPr>
      <w:r>
        <w:rPr>
          <w:rFonts w:ascii="Arial" w:hAnsi="Arial"/>
          <w:b w:val="0"/>
          <w:i w:val="0"/>
          <w:color w:val="183752"/>
          <w:sz w:val="23"/>
        </w:rPr>
        <w:t>Government bills</w:t>
      </w:r>
    </w:p>
    <w:p>
      <w:r>
        <w:rPr>
          <w:rFonts w:ascii="Arial" w:hAnsi="Arial"/>
          <w:b/>
          <w:i w:val="0"/>
          <w:color w:val="1E242A"/>
          <w:sz w:val="21"/>
        </w:rPr>
        <w:t>FORMAL RULE.</w:t>
      </w:r>
      <w:r>
        <w:rPr>
          <w:rFonts w:ascii="Arial" w:hAnsi="Arial"/>
          <w:b w:val="0"/>
          <w:i w:val="0"/>
          <w:color w:val="1E242A"/>
          <w:sz w:val="21"/>
        </w:rPr>
        <w:t xml:space="preserve"> The President shares general initiative with legislators, committees, higher courts, the Prosecutor-General and citizens, but holds reserved initiative over specified Armed Forces staffing, federal personnel/remuneration and administrative organization, and ministry/body creation or abolition. Budget bills are presidential initiatives under article 165. Importantly, federal taxation is not generally a field of exclusive presidential initiative; most tax changes require legislation, while the Constitution separately permits limited executive rate adjustment for certain federal taxes. </w:t>
      </w:r>
      <w:hyperlink r:id="rId18">
        <w:r>
          <w:rPr>
            <w:color w:val="2C5F80"/>
            <w:u w:val="single"/>
            <w:rFonts w:ascii="Arial" w:hAnsi="Arial"/>
            <w:sz w:val="21"/>
          </w:rPr>
          <w:t>Constitution, arts. 61, 150 and 153</w:t>
        </w:r>
      </w:hyperlink>
      <w:r>
        <w:rPr>
          <w:rFonts w:ascii="Arial" w:hAnsi="Arial"/>
          <w:b w:val="0"/>
          <w:i w:val="0"/>
          <w:color w:val="1E242A"/>
          <w:sz w:val="21"/>
        </w:rPr>
        <w:t>.</w:t>
      </w:r>
    </w:p>
    <w:p>
      <w:r>
        <w:rPr>
          <w:rFonts w:ascii="Arial" w:hAnsi="Arial"/>
          <w:b/>
          <w:i w:val="0"/>
          <w:color w:val="1E242A"/>
          <w:sz w:val="21"/>
        </w:rPr>
        <w:t>GOVERNMENT ACTION INSTRUMENT — Ordinary or complementary bill.</w:t>
      </w:r>
      <w:r>
        <w:rPr>
          <w:rFonts w:ascii="Arial" w:hAnsi="Arial"/>
          <w:b w:val="0"/>
          <w:i w:val="0"/>
          <w:color w:val="1E242A"/>
          <w:sz w:val="21"/>
        </w:rPr>
        <w:t xml:space="preserve"> Use where lasting legislation is needed and a provisional measure is unnecessary, unavailable or strategically undesirable. Complementary-law matters require affirmative votes of an absolute majority in each house.</w:t>
      </w:r>
    </w:p>
    <w:p>
      <w:r>
        <w:rPr>
          <w:rFonts w:ascii="Arial" w:hAnsi="Arial"/>
          <w:b/>
          <w:i w:val="0"/>
          <w:color w:val="1E242A"/>
          <w:sz w:val="21"/>
        </w:rPr>
        <w:t>GOVERNMENT ACTION INSTRUMENT — Bill with constitutional urgency request.</w:t>
      </w:r>
      <w:r>
        <w:rPr>
          <w:rFonts w:ascii="Arial" w:hAnsi="Arial"/>
          <w:b w:val="0"/>
          <w:i w:val="0"/>
          <w:color w:val="1E242A"/>
          <w:sz w:val="21"/>
        </w:rPr>
        <w:t xml:space="preserve"> For a presidential bill, article 64 permits the President to request urgency. Each house then has 45 days successively; delay suspends specified other deliberations. The clock pauses in recess and does not apply to code projects. Urgency forces priority, not passage. Senate amendments may return to the Chamber for ten days.</w:t>
      </w:r>
    </w:p>
    <w:p>
      <w:pPr>
        <w:pStyle w:val="Heading3"/>
      </w:pPr>
      <w:r>
        <w:rPr>
          <w:rFonts w:ascii="Arial" w:hAnsi="Arial"/>
          <w:b w:val="0"/>
          <w:i w:val="0"/>
          <w:color w:val="183752"/>
          <w:sz w:val="23"/>
        </w:rPr>
        <w:t>Provisional measures</w:t>
      </w:r>
    </w:p>
    <w:p>
      <w:r>
        <w:rPr>
          <w:rFonts w:ascii="Arial" w:hAnsi="Arial"/>
          <w:b/>
          <w:i w:val="0"/>
          <w:color w:val="1E242A"/>
          <w:sz w:val="21"/>
        </w:rPr>
        <w:t>FORMAL RULE.</w:t>
      </w:r>
      <w:r>
        <w:rPr>
          <w:rFonts w:ascii="Arial" w:hAnsi="Arial"/>
          <w:b w:val="0"/>
          <w:i w:val="0"/>
          <w:color w:val="1E242A"/>
          <w:sz w:val="21"/>
        </w:rPr>
        <w:t xml:space="preserve"> In cases of relevance and urgency, the President may issue a medida provisória (MP) with immediate force of law and submit it at once to Congress. It remains effective for 60 days, automatically extendable once for 60; the period pauses during congressional recess. After 45 days it enters the constitutional urgency regime. A mixed committee considers admissibility and substance before separate plenary decisions, beginning in the Chamber. Congress may approve it unchanged, amend it into a conversion bill, reject it or permit expiry. </w:t>
      </w:r>
      <w:hyperlink r:id="rId18">
        <w:r>
          <w:rPr>
            <w:color w:val="2C5F80"/>
            <w:u w:val="single"/>
            <w:rFonts w:ascii="Arial" w:hAnsi="Arial"/>
            <w:sz w:val="21"/>
          </w:rPr>
          <w:t>Constitution, art. 62</w:t>
        </w:r>
      </w:hyperlink>
      <w:r>
        <w:rPr>
          <w:rFonts w:ascii="Arial" w:hAnsi="Arial"/>
          <w:b w:val="0"/>
          <w:i w:val="0"/>
          <w:color w:val="1E242A"/>
          <w:sz w:val="21"/>
        </w:rPr>
        <w:t xml:space="preserve">; </w:t>
      </w:r>
      <w:hyperlink r:id="rId22">
        <w:r>
          <w:rPr>
            <w:color w:val="2C5F80"/>
            <w:u w:val="single"/>
            <w:rFonts w:ascii="Arial" w:hAnsi="Arial"/>
            <w:sz w:val="21"/>
          </w:rPr>
          <w:t>Congress Resolution 1/2002</w:t>
        </w:r>
      </w:hyperlink>
      <w:r>
        <w:rPr>
          <w:rFonts w:ascii="Arial" w:hAnsi="Arial"/>
          <w:b w:val="0"/>
          <w:i w:val="0"/>
          <w:color w:val="1E242A"/>
          <w:sz w:val="21"/>
        </w:rPr>
        <w:t>.</w:t>
      </w:r>
    </w:p>
    <w:p>
      <w:r>
        <w:rPr>
          <w:rFonts w:ascii="Arial" w:hAnsi="Arial"/>
          <w:b w:val="0"/>
          <w:i w:val="0"/>
          <w:color w:val="1E242A"/>
          <w:sz w:val="21"/>
        </w:rPr>
        <w:t>MPs cannot address nationality/citizenship/political rights/parties/elections; criminal, criminal-procedure or civil-procedure law; judiciary/Ministério Público organization and careers; PPA/LDO/budget and most additional credits except qualifying extraordinary credit; detention/seizure of popular financial assets; complementary-law matters; or a bill already passed and awaiting sanction/veto. Reissuing in the same legislative session an MP rejected or expired is prohibited. Congress is supposed to regulate legal relations after expiry; if it does not do so within the constitutional period, relations formed under the MP may remain governed by it.</w:t>
      </w:r>
    </w:p>
    <w:p>
      <w:r>
        <w:rPr>
          <w:rFonts w:ascii="Arial" w:hAnsi="Arial"/>
          <w:b w:val="0"/>
          <w:i w:val="0"/>
          <w:color w:val="1E242A"/>
          <w:sz w:val="21"/>
        </w:rPr>
        <w:t>Courts may review constitutional subject limits, process and, exceptionally, an evident absence of relevance or urgency. The STF’s ADI 5127 decision prohibited unrelated legislative “riders” in MP conversion. The breadth and practical timing of post-day-45 agenda blockage have also been qualified by congressional procedure and STF interpretation, so the literal constitutional wording should not be modeled without procedural validation.</w:t>
      </w:r>
    </w:p>
    <w:p>
      <w:r>
        <w:rPr>
          <w:rFonts w:ascii="Arial" w:hAnsi="Arial"/>
          <w:b/>
          <w:i w:val="0"/>
          <w:color w:val="1E242A"/>
          <w:sz w:val="21"/>
        </w:rPr>
        <w:t>POLITICAL PRACTICE.</w:t>
      </w:r>
      <w:r>
        <w:rPr>
          <w:rFonts w:ascii="Arial" w:hAnsi="Arial"/>
          <w:b w:val="0"/>
          <w:i w:val="0"/>
          <w:color w:val="1E242A"/>
          <w:sz w:val="21"/>
        </w:rPr>
        <w:t xml:space="preserve"> An MP changes the status quo before a final coalition is assembled, but it is not unilateral lasting law. It also gives Congress a vehicle to rewrite policy and creates a deadline. Post-EC 32/2001 MPs differ substantially from pre-2001 repeated-reissuance practice; historical cases must be period-tagged. </w:t>
      </w:r>
      <w:hyperlink r:id="rId23">
        <w:r>
          <w:rPr>
            <w:color w:val="2C5F80"/>
            <w:u w:val="single"/>
            <w:rFonts w:ascii="Arial" w:hAnsi="Arial"/>
            <w:sz w:val="21"/>
          </w:rPr>
          <w:t>de Paula, 2015</w:t>
        </w:r>
      </w:hyperlink>
      <w:r>
        <w:rPr>
          <w:rFonts w:ascii="Arial" w:hAnsi="Arial"/>
          <w:b w:val="0"/>
          <w:i w:val="0"/>
          <w:color w:val="1E242A"/>
          <w:sz w:val="21"/>
        </w:rPr>
        <w:t>.</w:t>
      </w:r>
    </w:p>
    <w:p>
      <w:pPr>
        <w:pStyle w:val="Heading3"/>
      </w:pPr>
      <w:r>
        <w:rPr>
          <w:rFonts w:ascii="Arial" w:hAnsi="Arial"/>
          <w:b w:val="0"/>
          <w:i w:val="0"/>
          <w:color w:val="183752"/>
          <w:sz w:val="23"/>
        </w:rPr>
        <w:t>Decrees and subordinate regulation</w:t>
      </w:r>
    </w:p>
    <w:p>
      <w:r>
        <w:rPr>
          <w:rFonts w:ascii="Arial" w:hAnsi="Arial"/>
          <w:b/>
          <w:i w:val="0"/>
          <w:color w:val="1E242A"/>
          <w:sz w:val="21"/>
        </w:rPr>
        <w:t>FORMAL RULE.</w:t>
      </w:r>
      <w:r>
        <w:rPr>
          <w:rFonts w:ascii="Arial" w:hAnsi="Arial"/>
          <w:b w:val="0"/>
          <w:i w:val="0"/>
          <w:color w:val="1E242A"/>
          <w:sz w:val="21"/>
        </w:rPr>
        <w:t xml:space="preserve"> Regulatory decrees under art. 84 IV provide for faithful execution of legislation. They cannot replace a necessary statute or contradict/suspend one. Article 84 VI “autonomous” decrees are exceptional: internal organization/functioning without spending increase or creation/abolition of bodies, and abolition of vacant functions/posts. Ministers and agencies may issue subordinate regulations within their statutory and delegated competences. </w:t>
      </w:r>
      <w:hyperlink r:id="rId19">
        <w:r>
          <w:rPr>
            <w:color w:val="2C5F80"/>
            <w:u w:val="single"/>
            <w:rFonts w:ascii="Arial" w:hAnsi="Arial"/>
            <w:sz w:val="21"/>
          </w:rPr>
          <w:t>STF annotated Constitution, art. 84</w:t>
        </w:r>
      </w:hyperlink>
      <w:r>
        <w:rPr>
          <w:rFonts w:ascii="Arial" w:hAnsi="Arial"/>
          <w:b w:val="0"/>
          <w:i w:val="0"/>
          <w:color w:val="1E242A"/>
          <w:sz w:val="21"/>
        </w:rPr>
        <w:t xml:space="preserve">; </w:t>
      </w:r>
      <w:hyperlink r:id="rId24">
        <w:r>
          <w:rPr>
            <w:color w:val="2C5F80"/>
            <w:u w:val="single"/>
            <w:rFonts w:ascii="Arial" w:hAnsi="Arial"/>
            <w:sz w:val="21"/>
          </w:rPr>
          <w:t>Decree 12,002/2024</w:t>
        </w:r>
      </w:hyperlink>
      <w:r>
        <w:rPr>
          <w:rFonts w:ascii="Arial" w:hAnsi="Arial"/>
          <w:b w:val="0"/>
          <w:i w:val="0"/>
          <w:color w:val="1E242A"/>
          <w:sz w:val="21"/>
        </w:rPr>
        <w:t>.</w:t>
      </w:r>
    </w:p>
    <w:p>
      <w:r>
        <w:rPr>
          <w:rFonts w:ascii="Arial" w:hAnsi="Arial"/>
          <w:b/>
          <w:i w:val="0"/>
          <w:color w:val="1E242A"/>
          <w:sz w:val="21"/>
        </w:rPr>
        <w:t>GOVERNMENT ACTION INSTRUMENTS.</w:t>
      </w:r>
      <w:r>
        <w:rPr>
          <w:rFonts w:ascii="Arial" w:hAnsi="Arial"/>
          <w:b w:val="0"/>
          <w:i w:val="0"/>
          <w:color w:val="1E242A"/>
          <w:sz w:val="21"/>
        </w:rPr>
        <w:t xml:space="preserve"> (1) Statutory implementing decree; (2) narrow autonomous organizational decree; (3) ministerial instruction/portaria; (4) regulation adopted by the legally competent agency. These are not interchangeable. Agency independence may make a request, appointment or legislative proposal lawful where a presidential instruction is not.</w:t>
      </w:r>
    </w:p>
    <w:p>
      <w:pPr>
        <w:pStyle w:val="Heading2"/>
      </w:pPr>
      <w:r>
        <w:rPr>
          <w:rFonts w:ascii="Arial" w:hAnsi="Arial"/>
          <w:b w:val="0"/>
          <w:i w:val="0"/>
          <w:color w:val="2C5F80"/>
          <w:sz w:val="27"/>
        </w:rPr>
        <w:t>2.4 Sanction and veto</w:t>
      </w:r>
    </w:p>
    <w:p>
      <w:r>
        <w:rPr>
          <w:rFonts w:ascii="Arial" w:hAnsi="Arial"/>
          <w:b/>
          <w:i w:val="0"/>
          <w:color w:val="1E242A"/>
          <w:sz w:val="21"/>
        </w:rPr>
        <w:t>FORMAL RULE.</w:t>
      </w:r>
      <w:r>
        <w:rPr>
          <w:rFonts w:ascii="Arial" w:hAnsi="Arial"/>
          <w:b w:val="0"/>
          <w:i w:val="0"/>
          <w:color w:val="1E242A"/>
          <w:sz w:val="21"/>
        </w:rPr>
        <w:t xml:space="preserve"> The President has 15 working days to sanction or veto a passed ordinary/complementary bill wholly or partly, on unconstitutionality or public-interest grounds. Silence produces tacit sanction. A partial veto must cover an entire article, paragraph, item or sub-item; it cannot edit isolated words. Reasons must be sent to the Senate President within 48 hours. Congress considers the veto in joint session and can override with an absolute majority of each house—257 deputies and 41 senators. Since EC 76/2013 the constitutional ballot is public, notwithstanding obsolete official explainers that still mention secrecy. </w:t>
      </w:r>
      <w:hyperlink r:id="rId18">
        <w:r>
          <w:rPr>
            <w:color w:val="2C5F80"/>
            <w:u w:val="single"/>
            <w:rFonts w:ascii="Arial" w:hAnsi="Arial"/>
            <w:sz w:val="21"/>
          </w:rPr>
          <w:t>Constitution, art. 66</w:t>
        </w:r>
      </w:hyperlink>
      <w:r>
        <w:rPr>
          <w:rFonts w:ascii="Arial" w:hAnsi="Arial"/>
          <w:b w:val="0"/>
          <w:i w:val="0"/>
          <w:color w:val="1E242A"/>
          <w:sz w:val="21"/>
        </w:rPr>
        <w:t>.</w:t>
      </w:r>
    </w:p>
    <w:p>
      <w:r>
        <w:rPr>
          <w:rFonts w:ascii="Arial" w:hAnsi="Arial"/>
          <w:b/>
          <w:i w:val="0"/>
          <w:color w:val="1E242A"/>
          <w:sz w:val="21"/>
        </w:rPr>
        <w:t>GOVERNMENT ACTION INSTRUMENT — Total or partial veto.</w:t>
      </w:r>
      <w:r>
        <w:rPr>
          <w:rFonts w:ascii="Arial" w:hAnsi="Arial"/>
          <w:b w:val="0"/>
          <w:i w:val="0"/>
          <w:color w:val="1E242A"/>
          <w:sz w:val="21"/>
        </w:rPr>
        <w:t xml:space="preserve"> A veto is suspensive, not final. The government must maintain a blocking minority in at least one chamber and manage joint-session scheduling.</w:t>
      </w:r>
    </w:p>
    <w:p>
      <w:pPr>
        <w:pStyle w:val="Heading2"/>
      </w:pPr>
      <w:r>
        <w:rPr>
          <w:rFonts w:ascii="Arial" w:hAnsi="Arial"/>
          <w:b w:val="0"/>
          <w:i w:val="0"/>
          <w:color w:val="2C5F80"/>
          <w:sz w:val="27"/>
        </w:rPr>
        <w:t>2.5 Appointments: control, concurrence and tenure</w:t>
      </w:r>
    </w:p>
    <w:p>
      <w:r>
        <w:rPr>
          <w:rFonts w:ascii="Arial" w:hAnsi="Arial"/>
          <w:b/>
          <w:i w:val="0"/>
          <w:color w:val="1E242A"/>
          <w:sz w:val="21"/>
        </w:rPr>
        <w:t>FORMAL RULE.</w:t>
      </w:r>
      <w:r>
        <w:rPr>
          <w:rFonts w:ascii="Arial" w:hAnsi="Arial"/>
          <w:b w:val="0"/>
          <w:i w:val="0"/>
          <w:color w:val="1E242A"/>
          <w:sz w:val="21"/>
        </w:rPr>
        <w:t xml:space="preserve"> Appointment authority falls into different classes:</w:t>
      </w:r>
    </w:p>
    <w:p>
      <w:pPr>
        <w:pStyle w:val="ListBullet"/>
        <w:numPr>
          <w:ilvl w:val="0"/>
          <w:numId w:val="2"/>
        </w:numPr>
      </w:pPr>
      <w:r>
        <w:rPr>
          <w:rFonts w:ascii="Arial" w:hAnsi="Arial"/>
          <w:b w:val="0"/>
          <w:i w:val="0"/>
          <w:color w:val="1E242A"/>
          <w:sz w:val="20"/>
        </w:rPr>
        <w:t>ministers and ordinary political appointees are generally presidential choices removable under applicable law;</w:t>
      </w:r>
    </w:p>
    <w:p>
      <w:pPr>
        <w:pStyle w:val="ListBullet"/>
        <w:numPr>
          <w:ilvl w:val="0"/>
          <w:numId w:val="2"/>
        </w:numPr>
      </w:pPr>
      <w:r>
        <w:rPr>
          <w:rFonts w:ascii="Arial" w:hAnsi="Arial"/>
          <w:b w:val="0"/>
          <w:i w:val="0"/>
          <w:color w:val="1E242A"/>
          <w:sz w:val="20"/>
        </w:rPr>
        <w:t>STF and superior-court justices, the Prosecutor-General, Central Bank president/directors, permanent diplomatic mission chiefs and other statutory offices require Senate approval;</w:t>
      </w:r>
    </w:p>
    <w:p>
      <w:pPr>
        <w:pStyle w:val="ListBullet"/>
        <w:numPr>
          <w:ilvl w:val="0"/>
          <w:numId w:val="2"/>
        </w:numPr>
      </w:pPr>
      <w:r>
        <w:rPr>
          <w:rFonts w:ascii="Arial" w:hAnsi="Arial"/>
          <w:b w:val="0"/>
          <w:i w:val="0"/>
          <w:color w:val="1E242A"/>
          <w:sz w:val="20"/>
        </w:rPr>
        <w:t>the PGR must be a career member over 35, is approved by an absolute Senate majority for a two-year term, and presidential removal requires prior absolute-majority Senate authorization;</w:t>
      </w:r>
    </w:p>
    <w:p>
      <w:pPr>
        <w:pStyle w:val="ListBullet"/>
        <w:numPr>
          <w:ilvl w:val="0"/>
          <w:numId w:val="2"/>
        </w:numPr>
      </w:pPr>
      <w:r>
        <w:rPr>
          <w:rFonts w:ascii="Arial" w:hAnsi="Arial"/>
          <w:b w:val="0"/>
          <w:i w:val="0"/>
          <w:color w:val="1E242A"/>
          <w:sz w:val="20"/>
        </w:rPr>
        <w:t>STF justices have judicial guarantees and are not removable by the President;</w:t>
      </w:r>
    </w:p>
    <w:p>
      <w:pPr>
        <w:pStyle w:val="ListBullet"/>
        <w:numPr>
          <w:ilvl w:val="0"/>
          <w:numId w:val="2"/>
        </w:numPr>
      </w:pPr>
      <w:r>
        <w:rPr>
          <w:rFonts w:ascii="Arial" w:hAnsi="Arial"/>
          <w:b w:val="0"/>
          <w:i w:val="0"/>
          <w:color w:val="1E242A"/>
          <w:sz w:val="20"/>
        </w:rPr>
        <w:t>regulatory-agency leaders generally have fixed terms and protections defined by general and enabling statutes.</w:t>
      </w:r>
    </w:p>
    <w:p>
      <w:r>
        <w:rPr>
          <w:rFonts w:ascii="Arial" w:hAnsi="Arial"/>
          <w:b w:val="0"/>
          <w:i w:val="0"/>
          <w:color w:val="1E242A"/>
          <w:sz w:val="21"/>
        </w:rPr>
        <w:t xml:space="preserve">The President’s participation in an appointment does not imply operational command after appointment. </w:t>
      </w:r>
      <w:hyperlink r:id="rId18">
        <w:r>
          <w:rPr>
            <w:color w:val="2C5F80"/>
            <w:u w:val="single"/>
            <w:rFonts w:ascii="Arial" w:hAnsi="Arial"/>
            <w:sz w:val="21"/>
          </w:rPr>
          <w:t>Constitution, arts. 52, 84, 95, 101 and 128</w:t>
        </w:r>
      </w:hyperlink>
      <w:r>
        <w:rPr>
          <w:rFonts w:ascii="Arial" w:hAnsi="Arial"/>
          <w:b w:val="0"/>
          <w:i w:val="0"/>
          <w:color w:val="1E242A"/>
          <w:sz w:val="21"/>
        </w:rPr>
        <w:t>.</w:t>
      </w:r>
    </w:p>
    <w:p>
      <w:r>
        <w:rPr>
          <w:rFonts w:ascii="Arial" w:hAnsi="Arial"/>
          <w:b/>
          <w:i w:val="0"/>
          <w:color w:val="1E242A"/>
          <w:sz w:val="21"/>
        </w:rPr>
        <w:t>GOVERNMENT ACTION INSTRUMENT — Nominate and seek Senate confirmation.</w:t>
      </w:r>
      <w:r>
        <w:rPr>
          <w:rFonts w:ascii="Arial" w:hAnsi="Arial"/>
          <w:b w:val="0"/>
          <w:i w:val="0"/>
          <w:color w:val="1E242A"/>
          <w:sz w:val="21"/>
        </w:rPr>
        <w:t xml:space="preserve"> This is a vacancy-dependent, institutionally shared route to long-run influence, not a direction power.</w:t>
      </w:r>
    </w:p>
    <w:p>
      <w:pPr>
        <w:pStyle w:val="Heading2"/>
      </w:pPr>
      <w:r>
        <w:rPr>
          <w:rFonts w:ascii="Arial" w:hAnsi="Arial"/>
          <w:b w:val="0"/>
          <w:i w:val="0"/>
          <w:color w:val="2C5F80"/>
          <w:sz w:val="27"/>
        </w:rPr>
        <w:t>2.6 Budget and taxation authority</w:t>
      </w:r>
    </w:p>
    <w:p>
      <w:r>
        <w:rPr>
          <w:rFonts w:ascii="Arial" w:hAnsi="Arial"/>
          <w:b/>
          <w:i w:val="0"/>
          <w:color w:val="1E242A"/>
          <w:sz w:val="21"/>
        </w:rPr>
        <w:t>FORMAL RULE.</w:t>
      </w:r>
      <w:r>
        <w:rPr>
          <w:rFonts w:ascii="Arial" w:hAnsi="Arial"/>
          <w:b w:val="0"/>
          <w:i w:val="0"/>
          <w:color w:val="1E242A"/>
          <w:sz w:val="21"/>
        </w:rPr>
        <w:t xml:space="preserve"> The President prepares and submits the multi-year plan (PPA), annual budget guidelines (LDO) and annual budget (LOA). Congress examines all three through its Joint Budget Committee and plenary process. Amendments face constitutional compatibility, resource and subject rules. The President executes the enacted budget under fiscal, appropriation and mandatory-execution constraints and reports execution. </w:t>
      </w:r>
      <w:hyperlink r:id="rId25">
        <w:r>
          <w:rPr>
            <w:color w:val="2C5F80"/>
            <w:u w:val="single"/>
            <w:rFonts w:ascii="Arial" w:hAnsi="Arial"/>
            <w:sz w:val="21"/>
          </w:rPr>
          <w:t>Senate Budget Portal</w:t>
        </w:r>
      </w:hyperlink>
      <w:r>
        <w:rPr>
          <w:rFonts w:ascii="Arial" w:hAnsi="Arial"/>
          <w:b w:val="0"/>
          <w:i w:val="0"/>
          <w:color w:val="1E242A"/>
          <w:sz w:val="21"/>
        </w:rPr>
        <w:t xml:space="preserve">; </w:t>
      </w:r>
      <w:hyperlink r:id="rId18">
        <w:r>
          <w:rPr>
            <w:color w:val="2C5F80"/>
            <w:u w:val="single"/>
            <w:rFonts w:ascii="Arial" w:hAnsi="Arial"/>
            <w:sz w:val="21"/>
          </w:rPr>
          <w:t>Constitution, arts. 165-169</w:t>
        </w:r>
      </w:hyperlink>
      <w:r>
        <w:rPr>
          <w:rFonts w:ascii="Arial" w:hAnsi="Arial"/>
          <w:b w:val="0"/>
          <w:i w:val="0"/>
          <w:color w:val="1E242A"/>
          <w:sz w:val="21"/>
        </w:rPr>
        <w:t>.</w:t>
      </w:r>
    </w:p>
    <w:p>
      <w:r>
        <w:rPr>
          <w:rFonts w:ascii="Arial" w:hAnsi="Arial"/>
          <w:b w:val="0"/>
          <w:i w:val="0"/>
          <w:color w:val="1E242A"/>
          <w:sz w:val="21"/>
        </w:rPr>
        <w:t xml:space="preserve">Constitutional amendments since 2015 have made specified individual and state-bench amendments mandatory, subject to limits and technical/fiscal impediments. LC 210/2024 supplements the regime. This has strengthened Congress’s claim over discretionary allocation and reduced the accuracy of older accounts in which release of amendments was primarily a presidential bargaining resource. STF litigation over transparency, traceability and special transfers further constrains execution. </w:t>
      </w:r>
      <w:hyperlink r:id="rId26">
        <w:r>
          <w:rPr>
            <w:color w:val="2C5F80"/>
            <w:u w:val="single"/>
            <w:rFonts w:ascii="Arial" w:hAnsi="Arial"/>
            <w:sz w:val="21"/>
          </w:rPr>
          <w:t>LC 210/2024</w:t>
        </w:r>
      </w:hyperlink>
      <w:r>
        <w:rPr>
          <w:rFonts w:ascii="Arial" w:hAnsi="Arial"/>
          <w:b w:val="0"/>
          <w:i w:val="0"/>
          <w:color w:val="1E242A"/>
          <w:sz w:val="21"/>
        </w:rPr>
        <w:t xml:space="preserve">; </w:t>
      </w:r>
      <w:hyperlink r:id="rId27">
        <w:r>
          <w:rPr>
            <w:color w:val="2C5F80"/>
            <w:u w:val="single"/>
            <w:rFonts w:ascii="Arial" w:hAnsi="Arial"/>
            <w:sz w:val="21"/>
          </w:rPr>
          <w:t>STF, ADPF 854</w:t>
        </w:r>
      </w:hyperlink>
      <w:r>
        <w:rPr>
          <w:rFonts w:ascii="Arial" w:hAnsi="Arial"/>
          <w:b w:val="0"/>
          <w:i w:val="0"/>
          <w:color w:val="1E242A"/>
          <w:sz w:val="21"/>
        </w:rPr>
        <w:t>.</w:t>
      </w:r>
    </w:p>
    <w:p>
      <w:r>
        <w:rPr>
          <w:rFonts w:ascii="Arial" w:hAnsi="Arial"/>
          <w:b w:val="0"/>
          <w:i w:val="0"/>
          <w:color w:val="1E242A"/>
          <w:sz w:val="21"/>
        </w:rPr>
        <w:t>Tax creation or increase generally requires law. Within statutory limits, the Executive may alter rates of import/export taxes, IPI and IOF, creating narrower, faster instruments. Tax annuality/noventena rules and the 2023-2033 consumption-tax transition require separate fiscal-pass treatment. A President cannot treat “tax policy” as one generic executive power.</w:t>
      </w:r>
    </w:p>
    <w:p>
      <w:r>
        <w:rPr>
          <w:rFonts w:ascii="Arial" w:hAnsi="Arial"/>
          <w:b/>
          <w:i w:val="0"/>
          <w:color w:val="1E242A"/>
          <w:sz w:val="21"/>
        </w:rPr>
        <w:t>GOVERNMENT ACTION INSTRUMENTS.</w:t>
      </w:r>
      <w:r>
        <w:rPr>
          <w:rFonts w:ascii="Arial" w:hAnsi="Arial"/>
          <w:b w:val="0"/>
          <w:i w:val="0"/>
          <w:color w:val="1E242A"/>
          <w:sz w:val="21"/>
        </w:rPr>
        <w:t xml:space="preserve"> PPA bill; LDO bill; LOA bill; additional-credit bill; extraordinary credit by MP only for unforeseeable and urgent expenditure such as war, internal commotion or public calamity; tax bill; constitutionally authorized rate adjustment.</w:t>
      </w:r>
    </w:p>
    <w:p>
      <w:pPr>
        <w:pStyle w:val="Heading2"/>
      </w:pPr>
      <w:r>
        <w:rPr>
          <w:rFonts w:ascii="Arial" w:hAnsi="Arial"/>
          <w:b w:val="0"/>
          <w:i w:val="0"/>
          <w:color w:val="2C5F80"/>
          <w:sz w:val="27"/>
        </w:rPr>
        <w:t>2.7 Foreign affairs and defence</w:t>
      </w:r>
    </w:p>
    <w:p>
      <w:r>
        <w:rPr>
          <w:rFonts w:ascii="Arial" w:hAnsi="Arial"/>
          <w:b/>
          <w:i w:val="0"/>
          <w:color w:val="1E242A"/>
          <w:sz w:val="21"/>
        </w:rPr>
        <w:t>FORMAL RULE.</w:t>
      </w:r>
      <w:r>
        <w:rPr>
          <w:rFonts w:ascii="Arial" w:hAnsi="Arial"/>
          <w:b w:val="0"/>
          <w:i w:val="0"/>
          <w:color w:val="1E242A"/>
          <w:sz w:val="21"/>
        </w:rPr>
        <w:t xml:space="preserve"> The President maintains foreign relations, accredits representatives and concludes treaties subject to congressional referendum. Congress resolves definitively on treaties involving onerous commitments. War, mobilization, peace and foreign-force presence involve specified congressional authorization or subsequent referendum routes. Treaty incorporation is therefore a complex act shared between Executive and Legislature. Human-rights treaties approved by the art. 5 §3 supermajority procedure have constitutional-amendment equivalence; the domestic rank of other treaties depends on subject and STF doctrine. </w:t>
      </w:r>
      <w:hyperlink r:id="rId18">
        <w:r>
          <w:rPr>
            <w:color w:val="2C5F80"/>
            <w:u w:val="single"/>
            <w:rFonts w:ascii="Arial" w:hAnsi="Arial"/>
            <w:sz w:val="21"/>
          </w:rPr>
          <w:t>Constitution, arts. 5 §3, 49 and 84</w:t>
        </w:r>
      </w:hyperlink>
      <w:r>
        <w:rPr>
          <w:rFonts w:ascii="Arial" w:hAnsi="Arial"/>
          <w:b w:val="0"/>
          <w:i w:val="0"/>
          <w:color w:val="1E242A"/>
          <w:sz w:val="21"/>
        </w:rPr>
        <w:t>.</w:t>
      </w:r>
    </w:p>
    <w:p>
      <w:r>
        <w:rPr>
          <w:rFonts w:ascii="Arial" w:hAnsi="Arial"/>
          <w:b w:val="0"/>
          <w:i w:val="0"/>
          <w:color w:val="1E242A"/>
          <w:sz w:val="21"/>
        </w:rPr>
        <w:t xml:space="preserve">The President is supreme commander, appoints service commanders and general officers under law, and decides Armed Forces employment through the Defence Minister and statutory command arrangements. Yet the STF unanimously rejected the claim that article 142 makes the Armed Forces—or the President through them—a moderating power able to intervene among constitutional branches. </w:t>
      </w:r>
      <w:hyperlink r:id="rId28">
        <w:r>
          <w:rPr>
            <w:color w:val="2C5F80"/>
            <w:u w:val="single"/>
            <w:rFonts w:ascii="Arial" w:hAnsi="Arial"/>
            <w:sz w:val="21"/>
          </w:rPr>
          <w:t>LC 97/1999</w:t>
        </w:r>
      </w:hyperlink>
      <w:r>
        <w:rPr>
          <w:rFonts w:ascii="Arial" w:hAnsi="Arial"/>
          <w:b w:val="0"/>
          <w:i w:val="0"/>
          <w:color w:val="1E242A"/>
          <w:sz w:val="21"/>
        </w:rPr>
        <w:t xml:space="preserve">; </w:t>
      </w:r>
      <w:hyperlink r:id="rId29">
        <w:r>
          <w:rPr>
            <w:color w:val="2C5F80"/>
            <w:u w:val="single"/>
            <w:rFonts w:ascii="Arial" w:hAnsi="Arial"/>
            <w:sz w:val="21"/>
          </w:rPr>
          <w:t>STF, ADI 6457, 8 April 2024</w:t>
        </w:r>
      </w:hyperlink>
      <w:r>
        <w:rPr>
          <w:rFonts w:ascii="Arial" w:hAnsi="Arial"/>
          <w:b w:val="0"/>
          <w:i w:val="0"/>
          <w:color w:val="1E242A"/>
          <w:sz w:val="21"/>
        </w:rPr>
        <w:t>.</w:t>
      </w:r>
    </w:p>
    <w:p>
      <w:r>
        <w:rPr>
          <w:rFonts w:ascii="Arial" w:hAnsi="Arial"/>
          <w:b/>
          <w:i w:val="0"/>
          <w:color w:val="1E242A"/>
          <w:sz w:val="21"/>
        </w:rPr>
        <w:t>GOVERNMENT ACTION INSTRUMENTS.</w:t>
      </w:r>
      <w:r>
        <w:rPr>
          <w:rFonts w:ascii="Arial" w:hAnsi="Arial"/>
          <w:b w:val="0"/>
          <w:i w:val="0"/>
          <w:color w:val="1E242A"/>
          <w:sz w:val="21"/>
        </w:rPr>
        <w:t xml:space="preserve"> Negotiate/sign treaty and request approval; appoint diplomatic representative subject to Senate where applicable; request/act on war, mobilization and peace through constitutional procedures; employ Armed Forces/GLO under the Constitution and LC 97. None overrides civilian law, Congress or courts.</w:t>
      </w:r>
    </w:p>
    <w:p>
      <w:pPr>
        <w:pStyle w:val="Heading2"/>
      </w:pPr>
      <w:r>
        <w:rPr>
          <w:rFonts w:ascii="Arial" w:hAnsi="Arial"/>
          <w:b w:val="0"/>
          <w:i w:val="0"/>
          <w:color w:val="2C5F80"/>
          <w:sz w:val="27"/>
        </w:rPr>
        <w:t>2.8 Emergency constitutional powers</w:t>
      </w:r>
    </w:p>
    <w:p>
      <w:r>
        <w:rPr>
          <w:rFonts w:ascii="Arial" w:hAnsi="Arial"/>
          <w:b/>
          <w:i w:val="0"/>
          <w:color w:val="1E242A"/>
          <w:sz w:val="21"/>
        </w:rPr>
        <w:t>FORMAL RULE — State of defence.</w:t>
      </w:r>
      <w:r>
        <w:rPr>
          <w:rFonts w:ascii="Arial" w:hAnsi="Arial"/>
          <w:b w:val="0"/>
          <w:i w:val="0"/>
          <w:color w:val="1E242A"/>
          <w:sz w:val="21"/>
        </w:rPr>
        <w:t xml:space="preserve"> After hearing the Council of the Republic and National Defence Council, the President may decree a state of defence to preserve or promptly restore public order or social peace in restricted, specified places facing grave and imminent institutional instability or a major natural calamity. The decree must define place, duration and measures; rights restrictions are constitutionally enumerated. Duration is at most 30 days, renewable once for the same period. Within 24 hours the President submits it with reasons to Congress, which decides by absolute majority within ten days. Rejection ends it immediately. Consultation is required; council consent is not. </w:t>
      </w:r>
      <w:hyperlink r:id="rId30">
        <w:r>
          <w:rPr>
            <w:color w:val="2C5F80"/>
            <w:u w:val="single"/>
            <w:rFonts w:ascii="Arial" w:hAnsi="Arial"/>
            <w:sz w:val="21"/>
          </w:rPr>
          <w:t>Constitution, art. 136</w:t>
        </w:r>
      </w:hyperlink>
      <w:r>
        <w:rPr>
          <w:rFonts w:ascii="Arial" w:hAnsi="Arial"/>
          <w:b w:val="0"/>
          <w:i w:val="0"/>
          <w:color w:val="1E242A"/>
          <w:sz w:val="21"/>
        </w:rPr>
        <w:t>.</w:t>
      </w:r>
    </w:p>
    <w:p>
      <w:r>
        <w:rPr>
          <w:rFonts w:ascii="Arial" w:hAnsi="Arial"/>
          <w:b/>
          <w:i w:val="0"/>
          <w:color w:val="1E242A"/>
          <w:sz w:val="21"/>
        </w:rPr>
        <w:t>FORMAL RULE — State of siege.</w:t>
      </w:r>
      <w:r>
        <w:rPr>
          <w:rFonts w:ascii="Arial" w:hAnsi="Arial"/>
          <w:b w:val="0"/>
          <w:i w:val="0"/>
          <w:color w:val="1E242A"/>
          <w:sz w:val="21"/>
        </w:rPr>
        <w:t xml:space="preserve"> After hearing the councils, the President asks Congress for prior authorization where grave national commotion or failure of defence measures exists, or in war/foreign armed aggression. Congress decides by absolute majority. The decree sets duration, areas and suspended guarantees; Congress remains in session and monitors implementation. </w:t>
      </w:r>
      <w:hyperlink r:id="rId30">
        <w:r>
          <w:rPr>
            <w:color w:val="2C5F80"/>
            <w:u w:val="single"/>
            <w:rFonts w:ascii="Arial" w:hAnsi="Arial"/>
            <w:sz w:val="21"/>
          </w:rPr>
          <w:t>Constitution, arts. 137-141</w:t>
        </w:r>
      </w:hyperlink>
      <w:r>
        <w:rPr>
          <w:rFonts w:ascii="Arial" w:hAnsi="Arial"/>
          <w:b w:val="0"/>
          <w:i w:val="0"/>
          <w:color w:val="1E242A"/>
          <w:sz w:val="21"/>
        </w:rPr>
        <w:t>.</w:t>
      </w:r>
    </w:p>
    <w:p>
      <w:r>
        <w:rPr>
          <w:rFonts w:ascii="Arial" w:hAnsi="Arial"/>
          <w:b/>
          <w:i w:val="0"/>
          <w:color w:val="1E242A"/>
          <w:sz w:val="21"/>
        </w:rPr>
        <w:t>FORMAL RULE — Federal intervention.</w:t>
      </w:r>
      <w:r>
        <w:rPr>
          <w:rFonts w:ascii="Arial" w:hAnsi="Arial"/>
          <w:b w:val="0"/>
          <w:i w:val="0"/>
          <w:color w:val="1E242A"/>
          <w:sz w:val="21"/>
        </w:rPr>
        <w:t xml:space="preserve"> Intervention in a state/DF is exceptional and limited to exhaustive constitutional grounds: national integrity, invasion, grave public-order compromise, free operation of branches, specified financial failures, enforcement of federal law/order/judgment, and named constitutional principles. Article 36 makes procedure depend on the trigger; some cases require a request, judicial requisition or PGR representation granted by the STF. The presidential decree defines scope, duration and conditions and may appoint an interventor; most interventions go to Congress within 24 hours. It is not general presidential supervision of governors. The 2018 Rio intervention, limited to public security, illustrates scoped substitution rather than federal absorption of the state. </w:t>
      </w:r>
      <w:hyperlink r:id="rId18">
        <w:r>
          <w:rPr>
            <w:color w:val="2C5F80"/>
            <w:u w:val="single"/>
            <w:rFonts w:ascii="Arial" w:hAnsi="Arial"/>
            <w:sz w:val="21"/>
          </w:rPr>
          <w:t>Constitution, arts. 34-36</w:t>
        </w:r>
      </w:hyperlink>
      <w:r>
        <w:rPr>
          <w:rFonts w:ascii="Arial" w:hAnsi="Arial"/>
          <w:b w:val="0"/>
          <w:i w:val="0"/>
          <w:color w:val="1E242A"/>
          <w:sz w:val="21"/>
        </w:rPr>
        <w:t xml:space="preserve">; </w:t>
      </w:r>
      <w:hyperlink r:id="rId31">
        <w:r>
          <w:rPr>
            <w:color w:val="2C5F80"/>
            <w:u w:val="single"/>
            <w:rFonts w:ascii="Arial" w:hAnsi="Arial"/>
            <w:sz w:val="21"/>
          </w:rPr>
          <w:t>Decree 9,288/2018</w:t>
        </w:r>
      </w:hyperlink>
      <w:r>
        <w:rPr>
          <w:rFonts w:ascii="Arial" w:hAnsi="Arial"/>
          <w:b w:val="0"/>
          <w:i w:val="0"/>
          <w:color w:val="1E242A"/>
          <w:sz w:val="21"/>
        </w:rPr>
        <w:t>.</w:t>
      </w:r>
    </w:p>
    <w:p>
      <w:r>
        <w:rPr>
          <w:rFonts w:ascii="Arial" w:hAnsi="Arial"/>
          <w:b/>
          <w:i w:val="0"/>
          <w:color w:val="1E242A"/>
          <w:sz w:val="21"/>
        </w:rPr>
        <w:t>FORMAL RULE — National public-calamity fiscal regime.</w:t>
      </w:r>
      <w:r>
        <w:rPr>
          <w:rFonts w:ascii="Arial" w:hAnsi="Arial"/>
          <w:b w:val="0"/>
          <w:i w:val="0"/>
          <w:color w:val="1E242A"/>
          <w:sz w:val="21"/>
        </w:rPr>
        <w:t xml:space="preserve"> Under art. 84 XXVIII and arts. 167-B-G, the President proposes recognition to Congress. This is distinct from defence/siege, federal intervention, or ordinary civil-defence emergency declarations.</w:t>
      </w:r>
    </w:p>
    <w:p>
      <w:pPr>
        <w:pStyle w:val="Heading1"/>
      </w:pPr>
      <w:r>
        <w:rPr>
          <w:rFonts w:ascii="Arial" w:hAnsi="Arial"/>
          <w:b w:val="0"/>
          <w:i w:val="0"/>
          <w:color w:val="183752"/>
          <w:sz w:val="34"/>
        </w:rPr>
        <w:t>3. National Congress and lawmaking</w:t>
      </w:r>
    </w:p>
    <w:p>
      <w:pPr>
        <w:pStyle w:val="Heading2"/>
      </w:pPr>
      <w:r>
        <w:rPr>
          <w:rFonts w:ascii="Arial" w:hAnsi="Arial"/>
          <w:b w:val="0"/>
          <w:i w:val="0"/>
          <w:color w:val="2C5F80"/>
          <w:sz w:val="27"/>
        </w:rPr>
        <w:t>3.1 Chambers and representation</w:t>
      </w:r>
    </w:p>
    <w:p>
      <w:r>
        <w:rPr>
          <w:rFonts w:ascii="Arial" w:hAnsi="Arial"/>
          <w:b/>
          <w:i w:val="0"/>
          <w:color w:val="1E242A"/>
          <w:sz w:val="21"/>
        </w:rPr>
        <w:t>FORMAL RULE.</w:t>
      </w:r>
      <w:r>
        <w:rPr>
          <w:rFonts w:ascii="Arial" w:hAnsi="Arial"/>
          <w:b w:val="0"/>
          <w:i w:val="0"/>
          <w:color w:val="1E242A"/>
          <w:sz w:val="21"/>
        </w:rPr>
        <w:t xml:space="preserve"> Congress is bicameral. The Chamber represents the people through proportional elections in each state/DF district, with a constitutional floor of eight and ceiling of 70 seats per state. The Senate represents each state and the DF equally with three senators, elected by majority rule for eight-year terms; one-third and two-thirds are renewed alternately every four years. A legislature lasts four years. </w:t>
      </w:r>
      <w:hyperlink r:id="rId18">
        <w:r>
          <w:rPr>
            <w:color w:val="2C5F80"/>
            <w:u w:val="single"/>
            <w:rFonts w:ascii="Arial" w:hAnsi="Arial"/>
            <w:sz w:val="21"/>
          </w:rPr>
          <w:t>Constitution, arts. 44-46</w:t>
        </w:r>
      </w:hyperlink>
      <w:r>
        <w:rPr>
          <w:rFonts w:ascii="Arial" w:hAnsi="Arial"/>
          <w:b w:val="0"/>
          <w:i w:val="0"/>
          <w:color w:val="1E242A"/>
          <w:sz w:val="21"/>
        </w:rPr>
        <w:t>.</w:t>
      </w:r>
    </w:p>
    <w:p>
      <w:r>
        <w:rPr>
          <w:rFonts w:ascii="Arial" w:hAnsi="Arial"/>
          <w:b/>
          <w:i w:val="0"/>
          <w:color w:val="1E242A"/>
          <w:sz w:val="21"/>
        </w:rPr>
        <w:t>SCENARIO-SPECIFIC.</w:t>
      </w:r>
      <w:r>
        <w:rPr>
          <w:rFonts w:ascii="Arial" w:hAnsi="Arial"/>
          <w:b w:val="0"/>
          <w:i w:val="0"/>
          <w:color w:val="1E242A"/>
          <w:sz w:val="21"/>
        </w:rPr>
        <w:t xml:space="preserve"> The Chamber remains at 513 seats for the October 2026 election. Congress passed PLP 177/2023 to raise it to 531, President Lula vetoed it fully in July 2025, and the STF maintained the 2022 allocation for 2026 to protect electoral certainty while the veto remained unresolved. Therefore current thresholds remain 257 for an absolute majority and 308 for three-fifths. Future apportionment remains unresolved and must be refreshed. </w:t>
      </w:r>
      <w:hyperlink r:id="rId32">
        <w:r>
          <w:rPr>
            <w:color w:val="2C5F80"/>
            <w:u w:val="single"/>
            <w:rFonts w:ascii="Arial" w:hAnsi="Arial"/>
            <w:sz w:val="21"/>
          </w:rPr>
          <w:t>STF, 2 October 2025</w:t>
        </w:r>
      </w:hyperlink>
      <w:r>
        <w:rPr>
          <w:rFonts w:ascii="Arial" w:hAnsi="Arial"/>
          <w:b w:val="0"/>
          <w:i w:val="0"/>
          <w:color w:val="1E242A"/>
          <w:sz w:val="21"/>
        </w:rPr>
        <w:t>.</w:t>
      </w:r>
    </w:p>
    <w:p>
      <w:r>
        <w:rPr>
          <w:rFonts w:ascii="Arial" w:hAnsi="Arial"/>
          <w:b w:val="0"/>
          <w:i w:val="0"/>
          <w:color w:val="1E242A"/>
          <w:sz w:val="21"/>
        </w:rPr>
        <w:t>The floor/ceiling means Chamber representation is population-related but not equally proportional across citizens. The Senate’s territorial equality makes it institutionally possible for a coalition strong in populous states to lack Senate support.</w:t>
      </w:r>
    </w:p>
    <w:p>
      <w:pPr>
        <w:pStyle w:val="Heading2"/>
      </w:pPr>
      <w:r>
        <w:rPr>
          <w:rFonts w:ascii="Arial" w:hAnsi="Arial"/>
          <w:b w:val="0"/>
          <w:i w:val="0"/>
          <w:color w:val="2C5F80"/>
          <w:sz w:val="27"/>
        </w:rPr>
        <w:t>3.2 Powers of Congress and each house</w:t>
      </w:r>
    </w:p>
    <w:p>
      <w:r>
        <w:rPr>
          <w:rFonts w:ascii="Arial" w:hAnsi="Arial"/>
          <w:b/>
          <w:i w:val="0"/>
          <w:color w:val="1E242A"/>
          <w:sz w:val="21"/>
        </w:rPr>
        <w:t>FORMAL RULE.</w:t>
      </w:r>
      <w:r>
        <w:rPr>
          <w:rFonts w:ascii="Arial" w:hAnsi="Arial"/>
          <w:b w:val="0"/>
          <w:i w:val="0"/>
          <w:color w:val="1E242A"/>
          <w:sz w:val="21"/>
        </w:rPr>
        <w:t xml:space="preserve"> Article 48 subjects the Union legislative fields listed there to Congress, usually with presidential sanction. Article 49 “exclusive Congress” matters—such as definitive resolution on specified treaties and oversight acts—do not go to presidential sanction. The Chamber has exclusive power to authorize proceedings against the President by two-thirds. The Senate tries the President in responsibility cases, approves specified nominees, authorizes certain financial operations and exercises other federalism/oversight functions. </w:t>
      </w:r>
      <w:hyperlink r:id="rId18">
        <w:r>
          <w:rPr>
            <w:color w:val="2C5F80"/>
            <w:u w:val="single"/>
            <w:rFonts w:ascii="Arial" w:hAnsi="Arial"/>
            <w:sz w:val="21"/>
          </w:rPr>
          <w:t>Constitution, arts. 48-52</w:t>
        </w:r>
      </w:hyperlink>
      <w:r>
        <w:rPr>
          <w:rFonts w:ascii="Arial" w:hAnsi="Arial"/>
          <w:b w:val="0"/>
          <w:i w:val="0"/>
          <w:color w:val="1E242A"/>
          <w:sz w:val="21"/>
        </w:rPr>
        <w:t>.</w:t>
      </w:r>
    </w:p>
    <w:p>
      <w:pPr>
        <w:pStyle w:val="Heading2"/>
      </w:pPr>
      <w:r>
        <w:rPr>
          <w:rFonts w:ascii="Arial" w:hAnsi="Arial"/>
          <w:b w:val="0"/>
          <w:i w:val="0"/>
          <w:color w:val="2C5F80"/>
          <w:sz w:val="27"/>
        </w:rPr>
        <w:t>3.3 Leadership, committees and agenda control</w:t>
      </w:r>
    </w:p>
    <w:p>
      <w:r>
        <w:rPr>
          <w:rFonts w:ascii="Arial" w:hAnsi="Arial"/>
          <w:b/>
          <w:i w:val="0"/>
          <w:color w:val="1E242A"/>
          <w:sz w:val="21"/>
        </w:rPr>
        <w:t>FORMAL RULE.</w:t>
      </w:r>
      <w:r>
        <w:rPr>
          <w:rFonts w:ascii="Arial" w:hAnsi="Arial"/>
          <w:b w:val="0"/>
          <w:i w:val="0"/>
          <w:color w:val="1E242A"/>
          <w:sz w:val="21"/>
        </w:rPr>
        <w:t xml:space="preserve"> Each house elects its Mesa for two years. Immediate reconduction to the same office within the same legislature is barred by the constitutional text. The Chamber President sets the Order of the Day, directs plenary business and votes, and appoints committee members following leadership indications. The College of Leaders, party/bloc leaders and committee chairs organize the route by which nominal chamber membership becomes usable agenda control. </w:t>
      </w:r>
      <w:hyperlink r:id="rId33">
        <w:r>
          <w:rPr>
            <w:color w:val="2C5F80"/>
            <w:u w:val="single"/>
            <w:rFonts w:ascii="Arial" w:hAnsi="Arial"/>
            <w:sz w:val="21"/>
          </w:rPr>
          <w:t>Chamber Presidency functions</w:t>
        </w:r>
      </w:hyperlink>
      <w:r>
        <w:rPr>
          <w:rFonts w:ascii="Arial" w:hAnsi="Arial"/>
          <w:b w:val="0"/>
          <w:i w:val="0"/>
          <w:color w:val="1E242A"/>
          <w:sz w:val="21"/>
        </w:rPr>
        <w:t xml:space="preserve">; </w:t>
      </w:r>
      <w:hyperlink r:id="rId34">
        <w:r>
          <w:rPr>
            <w:color w:val="2C5F80"/>
            <w:u w:val="single"/>
            <w:rFonts w:ascii="Arial" w:hAnsi="Arial"/>
            <w:sz w:val="21"/>
          </w:rPr>
          <w:t>Chamber Rules, consolidated through 2026</w:t>
        </w:r>
      </w:hyperlink>
      <w:r>
        <w:rPr>
          <w:rFonts w:ascii="Arial" w:hAnsi="Arial"/>
          <w:b w:val="0"/>
          <w:i w:val="0"/>
          <w:color w:val="1E242A"/>
          <w:sz w:val="21"/>
        </w:rPr>
        <w:t>.</w:t>
      </w:r>
    </w:p>
    <w:p>
      <w:r>
        <w:rPr>
          <w:rFonts w:ascii="Arial" w:hAnsi="Arial"/>
          <w:b w:val="0"/>
          <w:i w:val="0"/>
          <w:color w:val="1E242A"/>
          <w:sz w:val="21"/>
        </w:rPr>
        <w:t>Article 58 requires proportional representation of parties/blocs in committees as far as possible. Committees can conduct hearings, summon ministers, demand information, investigate and in permitted cases decide bills conclusively/terminatively unless one-tenth of the house appeals to plenary. Urgency, appeals and subject rules can displace committee finality.</w:t>
      </w:r>
    </w:p>
    <w:p>
      <w:r>
        <w:rPr>
          <w:rFonts w:ascii="Arial" w:hAnsi="Arial"/>
          <w:b/>
          <w:i w:val="0"/>
          <w:color w:val="1E242A"/>
          <w:sz w:val="21"/>
        </w:rPr>
        <w:t>POLITICAL PRACTICE.</w:t>
      </w:r>
      <w:r>
        <w:rPr>
          <w:rFonts w:ascii="Arial" w:hAnsi="Arial"/>
          <w:b w:val="0"/>
          <w:i w:val="0"/>
          <w:color w:val="1E242A"/>
          <w:sz w:val="21"/>
        </w:rPr>
        <w:t xml:space="preserve"> Legislative strategy is not a raw roll-call count. A President needs agenda access, a favorable rapporteur, committee/chair cooperation and party leaders capable of delivering members. Leadership control is powerful but not absolute: electoral incentives, region, issue salience, public opinion and intra-party conflict can produce dissidence.</w:t>
      </w:r>
    </w:p>
    <w:p>
      <w:pPr>
        <w:pStyle w:val="Heading2"/>
      </w:pPr>
      <w:r>
        <w:rPr>
          <w:rFonts w:ascii="Arial" w:hAnsi="Arial"/>
          <w:b w:val="0"/>
          <w:i w:val="0"/>
          <w:color w:val="2C5F80"/>
          <w:sz w:val="27"/>
        </w:rPr>
        <w:t>3.4 Procedures and thresholds</w:t>
      </w:r>
    </w:p>
    <w:p>
      <w:r>
        <w:rPr>
          <w:rFonts w:ascii="Arial" w:hAnsi="Arial"/>
          <w:b/>
          <w:i w:val="0"/>
          <w:color w:val="1E242A"/>
          <w:sz w:val="21"/>
        </w:rPr>
        <w:t>Ordinary law.</w:t>
      </w:r>
      <w:r>
        <w:rPr>
          <w:rFonts w:ascii="Arial" w:hAnsi="Arial"/>
          <w:b w:val="0"/>
          <w:i w:val="0"/>
          <w:color w:val="1E242A"/>
          <w:sz w:val="21"/>
        </w:rPr>
        <w:t xml:space="preserve"> Unless the Constitution provides otherwise, a body decides by majority of votes with an absolute majority present. At full current size, the Chamber needs at least 257 present and the Senate 41; approval is a majority of votes cast, subject to that quorum.</w:t>
      </w:r>
    </w:p>
    <w:p>
      <w:r>
        <w:rPr>
          <w:rFonts w:ascii="Arial" w:hAnsi="Arial"/>
          <w:b/>
          <w:i w:val="0"/>
          <w:color w:val="1E242A"/>
          <w:sz w:val="21"/>
        </w:rPr>
        <w:t>Complementary law.</w:t>
      </w:r>
      <w:r>
        <w:rPr>
          <w:rFonts w:ascii="Arial" w:hAnsi="Arial"/>
          <w:b w:val="0"/>
          <w:i w:val="0"/>
          <w:color w:val="1E242A"/>
          <w:sz w:val="21"/>
        </w:rPr>
        <w:t xml:space="preserve"> Requires affirmative votes of an absolute majority: 257 deputies and 41 senators. It is used only where the Constitution requires that legal form.</w:t>
      </w:r>
    </w:p>
    <w:p>
      <w:r>
        <w:rPr>
          <w:rFonts w:ascii="Arial" w:hAnsi="Arial"/>
          <w:b/>
          <w:i w:val="0"/>
          <w:color w:val="1E242A"/>
          <w:sz w:val="21"/>
        </w:rPr>
        <w:t>Constitutional amendment.</w:t>
      </w:r>
      <w:r>
        <w:rPr>
          <w:rFonts w:ascii="Arial" w:hAnsi="Arial"/>
          <w:b w:val="0"/>
          <w:i w:val="0"/>
          <w:color w:val="1E242A"/>
          <w:sz w:val="21"/>
        </w:rPr>
        <w:t xml:space="preserve"> Requires 308 deputies and 49 senators in each of two rounds, with no presidential sanction/veto.</w:t>
      </w:r>
    </w:p>
    <w:p>
      <w:r>
        <w:rPr>
          <w:rFonts w:ascii="Arial" w:hAnsi="Arial"/>
          <w:b/>
          <w:i w:val="0"/>
          <w:color w:val="1E242A"/>
          <w:sz w:val="21"/>
        </w:rPr>
        <w:t>Presidential impeachment authorization.</w:t>
      </w:r>
      <w:r>
        <w:rPr>
          <w:rFonts w:ascii="Arial" w:hAnsi="Arial"/>
          <w:b w:val="0"/>
          <w:i w:val="0"/>
          <w:color w:val="1E242A"/>
          <w:sz w:val="21"/>
        </w:rPr>
        <w:t xml:space="preserve"> Requires two-thirds of the Chamber: 342 at 513 seats.</w:t>
      </w:r>
    </w:p>
    <w:p>
      <w:r>
        <w:rPr>
          <w:rFonts w:ascii="Arial" w:hAnsi="Arial"/>
          <w:b/>
          <w:i w:val="0"/>
          <w:color w:val="1E242A"/>
          <w:sz w:val="21"/>
        </w:rPr>
        <w:t>Veto override.</w:t>
      </w:r>
      <w:r>
        <w:rPr>
          <w:rFonts w:ascii="Arial" w:hAnsi="Arial"/>
          <w:b w:val="0"/>
          <w:i w:val="0"/>
          <w:color w:val="1E242A"/>
          <w:sz w:val="21"/>
        </w:rPr>
        <w:t xml:space="preserve"> Requires 257 deputies and 41 senators in joint session, counted separately.</w:t>
      </w:r>
    </w:p>
    <w:p>
      <w:r>
        <w:rPr>
          <w:rFonts w:ascii="Arial" w:hAnsi="Arial"/>
          <w:b/>
          <w:i w:val="0"/>
          <w:color w:val="1E242A"/>
          <w:sz w:val="21"/>
        </w:rPr>
        <w:t>State of siege authorization and state-of-defence review.</w:t>
      </w:r>
      <w:r>
        <w:rPr>
          <w:rFonts w:ascii="Arial" w:hAnsi="Arial"/>
          <w:b w:val="0"/>
          <w:i w:val="0"/>
          <w:color w:val="1E242A"/>
          <w:sz w:val="21"/>
        </w:rPr>
        <w:t xml:space="preserve"> Absolute majority of Congress under the applicable provisions.</w:t>
      </w:r>
    </w:p>
    <w:p>
      <w:hyperlink r:id="rId18">
        <w:r>
          <w:rPr>
            <w:color w:val="2C5F80"/>
            <w:u w:val="single"/>
            <w:rFonts w:ascii="Arial" w:hAnsi="Arial"/>
            <w:sz w:val="21"/>
          </w:rPr>
          <w:t>Constitution, arts. 47, 51, 60, 66, 69, 136-137</w:t>
        </w:r>
      </w:hyperlink>
      <w:r>
        <w:rPr>
          <w:rFonts w:ascii="Arial" w:hAnsi="Arial"/>
          <w:b w:val="0"/>
          <w:i w:val="0"/>
          <w:color w:val="1E242A"/>
          <w:sz w:val="21"/>
        </w:rPr>
        <w:t>.</w:t>
      </w:r>
    </w:p>
    <w:p>
      <w:pPr>
        <w:pStyle w:val="Heading2"/>
      </w:pPr>
      <w:r>
        <w:rPr>
          <w:rFonts w:ascii="Arial" w:hAnsi="Arial"/>
          <w:b w:val="0"/>
          <w:i w:val="0"/>
          <w:color w:val="2C5F80"/>
          <w:sz w:val="27"/>
        </w:rPr>
        <w:t>3.5 Bicameral reconciliation</w:t>
      </w:r>
    </w:p>
    <w:p>
      <w:r>
        <w:rPr>
          <w:rFonts w:ascii="Arial" w:hAnsi="Arial"/>
          <w:b/>
          <w:i w:val="0"/>
          <w:color w:val="1E242A"/>
          <w:sz w:val="21"/>
        </w:rPr>
        <w:t>FORMAL RULE.</w:t>
      </w:r>
      <w:r>
        <w:rPr>
          <w:rFonts w:ascii="Arial" w:hAnsi="Arial"/>
          <w:b w:val="0"/>
          <w:i w:val="0"/>
          <w:color w:val="1E242A"/>
          <w:sz w:val="21"/>
        </w:rPr>
        <w:t xml:space="preserve"> A bill approved by one house is reviewed by the other in one round. If approved, it proceeds; if rejected, it is archived; if amended, it returns to the initiating house, which decides on the reviewing house’s amendments. Presidential, STF/superior-court and citizen bills start in the Chamber. This is shuttle review, not a standing conference-committee model. </w:t>
      </w:r>
      <w:hyperlink r:id="rId18">
        <w:r>
          <w:rPr>
            <w:color w:val="2C5F80"/>
            <w:u w:val="single"/>
            <w:rFonts w:ascii="Arial" w:hAnsi="Arial"/>
            <w:sz w:val="21"/>
          </w:rPr>
          <w:t>Constitution, arts. 64-65</w:t>
        </w:r>
      </w:hyperlink>
      <w:r>
        <w:rPr>
          <w:rFonts w:ascii="Arial" w:hAnsi="Arial"/>
          <w:b w:val="0"/>
          <w:i w:val="0"/>
          <w:color w:val="1E242A"/>
          <w:sz w:val="21"/>
        </w:rPr>
        <w:t>.</w:t>
      </w:r>
    </w:p>
    <w:p>
      <w:r>
        <w:rPr>
          <w:rFonts w:ascii="Arial" w:hAnsi="Arial"/>
          <w:b w:val="0"/>
          <w:i w:val="0"/>
          <w:color w:val="1E242A"/>
          <w:sz w:val="21"/>
        </w:rPr>
        <w:t>The initiating house’s final control concerns reviewing-house amendments; it cannot bypass outright rejection. Instrument choice and mandatory chamber of origin therefore affect who has the last word on amendments.</w:t>
      </w:r>
    </w:p>
    <w:p>
      <w:pPr>
        <w:pStyle w:val="Heading2"/>
      </w:pPr>
      <w:r>
        <w:rPr>
          <w:rFonts w:ascii="Arial" w:hAnsi="Arial"/>
          <w:b w:val="0"/>
          <w:i w:val="0"/>
          <w:color w:val="2C5F80"/>
          <w:sz w:val="27"/>
        </w:rPr>
        <w:t>3.6 Budget lawmaking and Congress’s changing role</w:t>
      </w:r>
    </w:p>
    <w:p>
      <w:r>
        <w:rPr>
          <w:rFonts w:ascii="Arial" w:hAnsi="Arial"/>
          <w:b/>
          <w:i w:val="0"/>
          <w:color w:val="1E242A"/>
          <w:sz w:val="21"/>
        </w:rPr>
        <w:t>FORMAL RULE.</w:t>
      </w:r>
      <w:r>
        <w:rPr>
          <w:rFonts w:ascii="Arial" w:hAnsi="Arial"/>
          <w:b w:val="0"/>
          <w:i w:val="0"/>
          <w:color w:val="1E242A"/>
          <w:sz w:val="21"/>
        </w:rPr>
        <w:t xml:space="preserve"> PPA, LDO and LOA follow a special joint congressional process centered on the permanent Joint Committee on Plans, Public Budgets and Oversight. The Executive owns initiative, not final allocation. The LDO must be approved before the ordinary recess. Budget amendments must comply with the PPA/LDO and constitutional resource rules. </w:t>
      </w:r>
      <w:hyperlink r:id="rId25">
        <w:r>
          <w:rPr>
            <w:color w:val="2C5F80"/>
            <w:u w:val="single"/>
            <w:rFonts w:ascii="Arial" w:hAnsi="Arial"/>
            <w:sz w:val="21"/>
          </w:rPr>
          <w:t>Senate Budget Portal</w:t>
        </w:r>
      </w:hyperlink>
      <w:r>
        <w:rPr>
          <w:rFonts w:ascii="Arial" w:hAnsi="Arial"/>
          <w:b w:val="0"/>
          <w:i w:val="0"/>
          <w:color w:val="1E242A"/>
          <w:sz w:val="21"/>
        </w:rPr>
        <w:t>.</w:t>
      </w:r>
    </w:p>
    <w:p>
      <w:r>
        <w:rPr>
          <w:rFonts w:ascii="Arial" w:hAnsi="Arial"/>
          <w:b/>
          <w:i w:val="0"/>
          <w:color w:val="1E242A"/>
          <w:sz w:val="21"/>
        </w:rPr>
        <w:t>SIGNIFICANT DEVELOPMENT.</w:t>
      </w:r>
      <w:r>
        <w:rPr>
          <w:rFonts w:ascii="Arial" w:hAnsi="Arial"/>
          <w:b w:val="0"/>
          <w:i w:val="0"/>
          <w:color w:val="1E242A"/>
          <w:sz w:val="21"/>
        </w:rPr>
        <w:t xml:space="preserve"> Mandatory individual and state-bench amendments and later statutory regulation have shifted practical budget authority toward Congress. State-bench amendments must meet structural-project/action rules and cannot simply be individualized. Commission amendments are regulated but not constitutionally mandatory in the same way. Exact annual percentages and execution rules are time-sensitive because the constitutional text, LDO, revenue and STF orders interact.</w:t>
      </w:r>
    </w:p>
    <w:p>
      <w:r>
        <w:rPr>
          <w:rFonts w:ascii="Arial" w:hAnsi="Arial"/>
          <w:b/>
          <w:i w:val="0"/>
          <w:color w:val="1E242A"/>
          <w:sz w:val="21"/>
        </w:rPr>
        <w:t>HISTORICAL EXPERIENCE.</w:t>
      </w:r>
      <w:r>
        <w:rPr>
          <w:rFonts w:ascii="Arial" w:hAnsi="Arial"/>
          <w:b w:val="0"/>
          <w:i w:val="0"/>
          <w:color w:val="1E242A"/>
          <w:sz w:val="21"/>
        </w:rPr>
        <w:t xml:space="preserve"> In 2022 the STF held opaque RP9 “secret budget” practices unconstitutional by a 6-5 vote, limiting relator amendments to correction of errors/omissions and enforcing publicity, impersonality and planning constraints. Continuing litigation over traceability illustrates that the judiciary can condition execution after political passage. </w:t>
      </w:r>
      <w:hyperlink r:id="rId27">
        <w:r>
          <w:rPr>
            <w:color w:val="2C5F80"/>
            <w:u w:val="single"/>
            <w:rFonts w:ascii="Arial" w:hAnsi="Arial"/>
            <w:sz w:val="21"/>
          </w:rPr>
          <w:t>STF, ADPF 850/851/854/1014</w:t>
        </w:r>
      </w:hyperlink>
      <w:r>
        <w:rPr>
          <w:rFonts w:ascii="Arial" w:hAnsi="Arial"/>
          <w:b w:val="0"/>
          <w:i w:val="0"/>
          <w:color w:val="1E242A"/>
          <w:sz w:val="21"/>
        </w:rPr>
        <w:t>.</w:t>
      </w:r>
    </w:p>
    <w:p>
      <w:pPr>
        <w:pStyle w:val="Heading2"/>
      </w:pPr>
      <w:r>
        <w:rPr>
          <w:rFonts w:ascii="Arial" w:hAnsi="Arial"/>
          <w:b w:val="0"/>
          <w:i w:val="0"/>
          <w:color w:val="2C5F80"/>
          <w:sz w:val="27"/>
        </w:rPr>
        <w:t>3.7 Political reality: coalition presidentialism</w:t>
      </w:r>
    </w:p>
    <w:p>
      <w:r>
        <w:rPr>
          <w:rFonts w:ascii="Arial" w:hAnsi="Arial"/>
          <w:b/>
          <w:i w:val="0"/>
          <w:color w:val="1E242A"/>
          <w:sz w:val="21"/>
        </w:rPr>
        <w:t>POLITICAL PRACTICE.</w:t>
      </w:r>
      <w:r>
        <w:rPr>
          <w:rFonts w:ascii="Arial" w:hAnsi="Arial"/>
          <w:b w:val="0"/>
          <w:i w:val="0"/>
          <w:color w:val="1E242A"/>
          <w:sz w:val="21"/>
        </w:rPr>
        <w:t xml:space="preserve"> Presidents are elected nationally and separately from legislators. The party system has usually denied the President’s own party a congressional majority. Governments therefore assemble multiparty coalitions using policy agreements, cabinet and administrative participation, leadership arrangements and budget negotiations. The foundational Figueiredo-Limongi account challenged the view of inevitable fragmentation and paralysis: strong presidential agenda tools and centralized internal rules produced disciplined party support and high executive success. </w:t>
      </w:r>
      <w:hyperlink r:id="rId15">
        <w:r>
          <w:rPr>
            <w:color w:val="2C5F80"/>
            <w:u w:val="single"/>
            <w:rFonts w:ascii="Arial" w:hAnsi="Arial"/>
            <w:sz w:val="21"/>
          </w:rPr>
          <w:t>Figueiredo and Limongi, 1998</w:t>
        </w:r>
      </w:hyperlink>
      <w:r>
        <w:rPr>
          <w:rFonts w:ascii="Arial" w:hAnsi="Arial"/>
          <w:b w:val="0"/>
          <w:i w:val="0"/>
          <w:color w:val="1E242A"/>
          <w:sz w:val="21"/>
        </w:rPr>
        <w:t>.</w:t>
      </w:r>
    </w:p>
    <w:p>
      <w:r>
        <w:rPr>
          <w:rFonts w:ascii="Arial" w:hAnsi="Arial"/>
          <w:b w:val="0"/>
          <w:i w:val="0"/>
          <w:color w:val="1E242A"/>
          <w:sz w:val="21"/>
        </w:rPr>
        <w:t xml:space="preserve">The literature does not support one timeless conclusion. Pessimistic accounts emphasize personal votes, distributive incentives and coalition costs; centralized-procedure accounts emphasize leaders and executive agenda power; newer evidence indicates relative decline in executive dominance and success in recent legislatures. A 2026 study reports that cabinet coalitions often did not alone supply legislative autonomy and governments used votes from outside the coalition, especially for demanding measures. </w:t>
      </w:r>
      <w:hyperlink r:id="rId16">
        <w:r>
          <w:rPr>
            <w:color w:val="2C5F80"/>
            <w:u w:val="single"/>
            <w:rFonts w:ascii="Arial" w:hAnsi="Arial"/>
            <w:sz w:val="21"/>
          </w:rPr>
          <w:t>Pinheiro, Falconi and Vieira, 2024</w:t>
        </w:r>
      </w:hyperlink>
      <w:r>
        <w:rPr>
          <w:rFonts w:ascii="Arial" w:hAnsi="Arial"/>
          <w:b w:val="0"/>
          <w:i w:val="0"/>
          <w:color w:val="1E242A"/>
          <w:sz w:val="21"/>
        </w:rPr>
        <w:t xml:space="preserve">; </w:t>
      </w:r>
      <w:hyperlink r:id="rId17">
        <w:r>
          <w:rPr>
            <w:color w:val="2C5F80"/>
            <w:u w:val="single"/>
            <w:rFonts w:ascii="Arial" w:hAnsi="Arial"/>
            <w:sz w:val="21"/>
          </w:rPr>
          <w:t>Informal Coalitions in Action, 2026</w:t>
        </w:r>
      </w:hyperlink>
      <w:r>
        <w:rPr>
          <w:rFonts w:ascii="Arial" w:hAnsi="Arial"/>
          <w:b w:val="0"/>
          <w:i w:val="0"/>
          <w:color w:val="1E242A"/>
          <w:sz w:val="21"/>
        </w:rPr>
        <w:t>.</w:t>
      </w:r>
    </w:p>
    <w:p>
      <w:r>
        <w:rPr>
          <w:rFonts w:ascii="Arial" w:hAnsi="Arial"/>
          <w:b/>
          <w:i w:val="0"/>
          <w:color w:val="1E242A"/>
          <w:sz w:val="21"/>
        </w:rPr>
        <w:t>Decision relevance.</w:t>
      </w:r>
      <w:r>
        <w:rPr>
          <w:rFonts w:ascii="Arial" w:hAnsi="Arial"/>
          <w:b w:val="0"/>
          <w:i w:val="0"/>
          <w:color w:val="1E242A"/>
          <w:sz w:val="21"/>
        </w:rPr>
        <w:t xml:space="preserve"> Cabinet membership should not be encoded as guaranteed votes. Expected support must be assessed by chamber, proposal, threshold, leadership position and political timing. Losing coalition support can stall policy, expose vetoes, reject nominees and make impeachment politically viable.</w:t>
      </w:r>
    </w:p>
    <w:p>
      <w:pPr>
        <w:pStyle w:val="Heading1"/>
      </w:pPr>
      <w:r>
        <w:rPr>
          <w:rFonts w:ascii="Arial" w:hAnsi="Arial"/>
          <w:b w:val="0"/>
          <w:i w:val="0"/>
          <w:color w:val="183752"/>
          <w:sz w:val="34"/>
        </w:rPr>
        <w:t>4. Judiciary and constitutional constraint</w:t>
      </w:r>
    </w:p>
    <w:p>
      <w:pPr>
        <w:pStyle w:val="Heading2"/>
      </w:pPr>
      <w:r>
        <w:rPr>
          <w:rFonts w:ascii="Arial" w:hAnsi="Arial"/>
          <w:b w:val="0"/>
          <w:i w:val="0"/>
          <w:color w:val="2C5F80"/>
          <w:sz w:val="27"/>
        </w:rPr>
        <w:t>4.1 Institutional architecture and appointments</w:t>
      </w:r>
    </w:p>
    <w:p>
      <w:r>
        <w:rPr>
          <w:rFonts w:ascii="Arial" w:hAnsi="Arial"/>
          <w:b/>
          <w:i w:val="0"/>
          <w:color w:val="1E242A"/>
          <w:sz w:val="21"/>
        </w:rPr>
        <w:t>FORMAL RULE.</w:t>
      </w:r>
      <w:r>
        <w:rPr>
          <w:rFonts w:ascii="Arial" w:hAnsi="Arial"/>
          <w:b w:val="0"/>
          <w:i w:val="0"/>
          <w:color w:val="1E242A"/>
          <w:sz w:val="21"/>
        </w:rPr>
        <w:t xml:space="preserve"> The judicial structure includes the STF, National Council of Justice (CNJ), Superior Court of Justice (STJ), federal courts, labor, electoral and military courts, and state courts. The STF guards the Constitution; the STJ primarily standardizes federal statutory law; federal jurisdiction is enumerated and residual ordinary jurisdiction generally belongs to states. Courts possess administrative and budgetary autonomy, and judges enjoy tenure, irremovability and salary guarantees subject to constitutional rules. The CNJ controls administrative, financial and disciplinary legality, not appellate merits. </w:t>
      </w:r>
      <w:hyperlink r:id="rId18">
        <w:r>
          <w:rPr>
            <w:color w:val="2C5F80"/>
            <w:u w:val="single"/>
            <w:rFonts w:ascii="Arial" w:hAnsi="Arial"/>
            <w:sz w:val="21"/>
          </w:rPr>
          <w:t>Constitution, arts. 92-126</w:t>
        </w:r>
      </w:hyperlink>
      <w:r>
        <w:rPr>
          <w:rFonts w:ascii="Arial" w:hAnsi="Arial"/>
          <w:b w:val="0"/>
          <w:i w:val="0"/>
          <w:color w:val="1E242A"/>
          <w:sz w:val="21"/>
        </w:rPr>
        <w:t>.</w:t>
      </w:r>
    </w:p>
    <w:p>
      <w:r>
        <w:rPr>
          <w:rFonts w:ascii="Arial" w:hAnsi="Arial"/>
          <w:b w:val="0"/>
          <w:i w:val="0"/>
          <w:color w:val="1E242A"/>
          <w:sz w:val="21"/>
        </w:rPr>
        <w:t xml:space="preserve">The STF has 11 justices, Brazilian citizens aged 35-70 with notable legal knowledge and unblemished reputation, appointed by the President after approval by an absolute Senate majority. A vacancy creates a presidential nomination opportunity; it does not create presidential direction or dismissal power. Senators try responsibility charges against STF justices. Compulsory retirement is generally 75. </w:t>
      </w:r>
      <w:hyperlink r:id="rId18">
        <w:r>
          <w:rPr>
            <w:color w:val="2C5F80"/>
            <w:u w:val="single"/>
            <w:rFonts w:ascii="Arial" w:hAnsi="Arial"/>
            <w:sz w:val="21"/>
          </w:rPr>
          <w:t>Constitution, arts. 40, 52 and 101</w:t>
        </w:r>
      </w:hyperlink>
      <w:r>
        <w:rPr>
          <w:rFonts w:ascii="Arial" w:hAnsi="Arial"/>
          <w:b w:val="0"/>
          <w:i w:val="0"/>
          <w:color w:val="1E242A"/>
          <w:sz w:val="21"/>
        </w:rPr>
        <w:t>.</w:t>
      </w:r>
    </w:p>
    <w:p>
      <w:pPr>
        <w:pStyle w:val="Heading2"/>
      </w:pPr>
      <w:r>
        <w:rPr>
          <w:rFonts w:ascii="Arial" w:hAnsi="Arial"/>
          <w:b w:val="0"/>
          <w:i w:val="0"/>
          <w:color w:val="2C5F80"/>
          <w:sz w:val="27"/>
        </w:rPr>
        <w:t>4.2 Constitutional review routes</w:t>
      </w:r>
    </w:p>
    <w:p>
      <w:r>
        <w:rPr>
          <w:rFonts w:ascii="Arial" w:hAnsi="Arial"/>
          <w:b/>
          <w:i w:val="0"/>
          <w:color w:val="1E242A"/>
          <w:sz w:val="21"/>
        </w:rPr>
        <w:t>FORMAL RULE.</w:t>
      </w:r>
      <w:r>
        <w:rPr>
          <w:rFonts w:ascii="Arial" w:hAnsi="Arial"/>
          <w:b w:val="0"/>
          <w:i w:val="0"/>
          <w:color w:val="1E242A"/>
          <w:sz w:val="21"/>
        </w:rPr>
        <w:t xml:space="preserve"> Brazil combines diffuse/concrete and concentrated/abstract review. Any judge may resolve a constitutional issue in a case, while a tribunal may declare unconstitutionality only by the absolute majority of its full bench or special body (art. 97). Extraordinary appeals reach the STF under art. 102 III and generally require general repercussion under art. 102 §3.</w:t>
      </w:r>
    </w:p>
    <w:p>
      <w:r>
        <w:rPr>
          <w:rFonts w:ascii="Arial" w:hAnsi="Arial"/>
          <w:b w:val="0"/>
          <w:i w:val="0"/>
          <w:color w:val="1E242A"/>
          <w:sz w:val="21"/>
        </w:rPr>
        <w:t>Concentrated mechanisms include:</w:t>
      </w:r>
    </w:p>
    <w:p>
      <w:pPr>
        <w:pStyle w:val="ListBullet"/>
        <w:numPr>
          <w:ilvl w:val="0"/>
          <w:numId w:val="2"/>
        </w:numPr>
      </w:pPr>
      <w:r>
        <w:rPr>
          <w:rFonts w:ascii="Arial" w:hAnsi="Arial"/>
          <w:b/>
          <w:i w:val="0"/>
          <w:color w:val="1E242A"/>
          <w:sz w:val="20"/>
        </w:rPr>
        <w:t>ADI:</w:t>
      </w:r>
      <w:r>
        <w:rPr>
          <w:rFonts w:ascii="Arial" w:hAnsi="Arial"/>
          <w:b w:val="0"/>
          <w:i w:val="0"/>
          <w:color w:val="1E242A"/>
          <w:sz w:val="20"/>
        </w:rPr>
        <w:t xml:space="preserve"> direct challenge to federal or state law/normative act;</w:t>
      </w:r>
    </w:p>
    <w:p>
      <w:pPr>
        <w:pStyle w:val="ListBullet"/>
        <w:numPr>
          <w:ilvl w:val="0"/>
          <w:numId w:val="2"/>
        </w:numPr>
      </w:pPr>
      <w:r>
        <w:rPr>
          <w:rFonts w:ascii="Arial" w:hAnsi="Arial"/>
          <w:b/>
          <w:i w:val="0"/>
          <w:color w:val="1E242A"/>
          <w:sz w:val="20"/>
        </w:rPr>
        <w:t>ADC:</w:t>
      </w:r>
      <w:r>
        <w:rPr>
          <w:rFonts w:ascii="Arial" w:hAnsi="Arial"/>
          <w:b w:val="0"/>
          <w:i w:val="0"/>
          <w:color w:val="1E242A"/>
          <w:sz w:val="20"/>
        </w:rPr>
        <w:t xml:space="preserve"> declaration of constitutionality of federal law/normative act;</w:t>
      </w:r>
    </w:p>
    <w:p>
      <w:pPr>
        <w:pStyle w:val="ListBullet"/>
        <w:numPr>
          <w:ilvl w:val="0"/>
          <w:numId w:val="2"/>
        </w:numPr>
      </w:pPr>
      <w:r>
        <w:rPr>
          <w:rFonts w:ascii="Arial" w:hAnsi="Arial"/>
          <w:b/>
          <w:i w:val="0"/>
          <w:color w:val="1E242A"/>
          <w:sz w:val="20"/>
        </w:rPr>
        <w:t>ADO:</w:t>
      </w:r>
      <w:r>
        <w:rPr>
          <w:rFonts w:ascii="Arial" w:hAnsi="Arial"/>
          <w:b w:val="0"/>
          <w:i w:val="0"/>
          <w:color w:val="1E242A"/>
          <w:sz w:val="20"/>
        </w:rPr>
        <w:t xml:space="preserve"> unconstitutional omission;</w:t>
      </w:r>
    </w:p>
    <w:p>
      <w:pPr>
        <w:pStyle w:val="ListBullet"/>
        <w:numPr>
          <w:ilvl w:val="0"/>
          <w:numId w:val="2"/>
        </w:numPr>
      </w:pPr>
      <w:r>
        <w:rPr>
          <w:rFonts w:ascii="Arial" w:hAnsi="Arial"/>
          <w:b/>
          <w:i w:val="0"/>
          <w:color w:val="1E242A"/>
          <w:sz w:val="20"/>
        </w:rPr>
        <w:t>ADPF:</w:t>
      </w:r>
      <w:r>
        <w:rPr>
          <w:rFonts w:ascii="Arial" w:hAnsi="Arial"/>
          <w:b w:val="0"/>
          <w:i w:val="0"/>
          <w:color w:val="1E242A"/>
          <w:sz w:val="20"/>
        </w:rPr>
        <w:t xml:space="preserve"> subsidiary protection against breach of a fundamental precept.</w:t>
      </w:r>
    </w:p>
    <w:p>
      <w:r>
        <w:rPr>
          <w:rFonts w:ascii="Arial" w:hAnsi="Arial"/>
          <w:b w:val="0"/>
          <w:i w:val="0"/>
          <w:color w:val="1E242A"/>
          <w:sz w:val="21"/>
        </w:rPr>
        <w:t xml:space="preserve">Article 103 gives standing to a broad but enumerated group: President; congressional and state legislative leadership bodies; governors; PGR; Federal Council of the Bar; parties represented in Congress; and national union/class entities. Jurisprudential “thematic pertinence” limits some non-universal claimants. </w:t>
      </w:r>
      <w:hyperlink r:id="rId35">
        <w:r>
          <w:rPr>
            <w:color w:val="2C5F80"/>
            <w:u w:val="single"/>
            <w:rFonts w:ascii="Arial" w:hAnsi="Arial"/>
            <w:sz w:val="21"/>
          </w:rPr>
          <w:t>STF explanation of ADI/ADC/ADO/ADPF</w:t>
        </w:r>
      </w:hyperlink>
      <w:r>
        <w:rPr>
          <w:rFonts w:ascii="Arial" w:hAnsi="Arial"/>
          <w:b w:val="0"/>
          <w:i w:val="0"/>
          <w:color w:val="1E242A"/>
          <w:sz w:val="21"/>
        </w:rPr>
        <w:t xml:space="preserve">; </w:t>
      </w:r>
      <w:hyperlink r:id="rId36">
        <w:r>
          <w:rPr>
            <w:color w:val="2C5F80"/>
            <w:u w:val="single"/>
            <w:rFonts w:ascii="Arial" w:hAnsi="Arial"/>
            <w:sz w:val="21"/>
          </w:rPr>
          <w:t>Law 9,882/1999</w:t>
        </w:r>
      </w:hyperlink>
      <w:r>
        <w:rPr>
          <w:rFonts w:ascii="Arial" w:hAnsi="Arial"/>
          <w:b w:val="0"/>
          <w:i w:val="0"/>
          <w:color w:val="1E242A"/>
          <w:sz w:val="21"/>
        </w:rPr>
        <w:t>.</w:t>
      </w:r>
    </w:p>
    <w:p>
      <w:r>
        <w:rPr>
          <w:rFonts w:ascii="Arial" w:hAnsi="Arial"/>
          <w:b w:val="0"/>
          <w:i w:val="0"/>
          <w:color w:val="1E242A"/>
          <w:sz w:val="21"/>
        </w:rPr>
        <w:t xml:space="preserve">Final merits decisions in ADI/ADC bind the judiciary and public administration at every level and operate erga omnes. ADO can notify the responsible branch and compel administrative action within the constitutional period. Binding súmulas require two-thirds after repeated decisions and bind courts and administration. Under Law 9,868, the STF may issue interim relief and, by two-thirds, modulate effects for legal certainty or exceptional social interest. </w:t>
      </w:r>
      <w:hyperlink r:id="rId37">
        <w:r>
          <w:rPr>
            <w:color w:val="2C5F80"/>
            <w:u w:val="single"/>
            <w:rFonts w:ascii="Arial" w:hAnsi="Arial"/>
            <w:sz w:val="21"/>
          </w:rPr>
          <w:t>Law 9,868/1999</w:t>
        </w:r>
      </w:hyperlink>
      <w:r>
        <w:rPr>
          <w:rFonts w:ascii="Arial" w:hAnsi="Arial"/>
          <w:b w:val="0"/>
          <w:i w:val="0"/>
          <w:color w:val="1E242A"/>
          <w:sz w:val="21"/>
        </w:rPr>
        <w:t>.</w:t>
      </w:r>
    </w:p>
    <w:p>
      <w:r>
        <w:rPr>
          <w:rFonts w:ascii="Arial" w:hAnsi="Arial"/>
          <w:b/>
          <w:i w:val="0"/>
          <w:color w:val="1E242A"/>
          <w:sz w:val="21"/>
        </w:rPr>
        <w:t>GOVERNMENT ACTION INSTRUMENT — Presidential constitutional-review action.</w:t>
      </w:r>
      <w:r>
        <w:rPr>
          <w:rFonts w:ascii="Arial" w:hAnsi="Arial"/>
          <w:b w:val="0"/>
          <w:i w:val="0"/>
          <w:color w:val="1E242A"/>
          <w:sz w:val="21"/>
        </w:rPr>
        <w:t xml:space="preserve"> The President may initiate ADI/ADC/ADO/ADPF as an art. 103 claimant. This can challenge another institution’s act or seek legal certainty, but the President cannot control timing or outcome.</w:t>
      </w:r>
    </w:p>
    <w:p>
      <w:pPr>
        <w:pStyle w:val="Heading2"/>
      </w:pPr>
      <w:r>
        <w:rPr>
          <w:rFonts w:ascii="Arial" w:hAnsi="Arial"/>
          <w:b w:val="0"/>
          <w:i w:val="0"/>
          <w:color w:val="2C5F80"/>
          <w:sz w:val="27"/>
        </w:rPr>
        <w:t>4.3 Judicial intervention in policy</w:t>
      </w:r>
    </w:p>
    <w:p>
      <w:r>
        <w:rPr>
          <w:rFonts w:ascii="Arial" w:hAnsi="Arial"/>
          <w:b w:val="0"/>
          <w:i w:val="0"/>
          <w:color w:val="1E242A"/>
          <w:sz w:val="21"/>
        </w:rPr>
        <w:t>Selected cases demonstrate the range without implying a universal causal rule:</w:t>
      </w:r>
    </w:p>
    <w:p>
      <w:pPr>
        <w:pStyle w:val="ListBullet"/>
        <w:numPr>
          <w:ilvl w:val="0"/>
          <w:numId w:val="2"/>
        </w:numPr>
      </w:pPr>
      <w:r>
        <w:rPr>
          <w:rFonts w:ascii="Arial" w:hAnsi="Arial"/>
          <w:b/>
          <w:i w:val="0"/>
          <w:color w:val="1E242A"/>
          <w:sz w:val="20"/>
        </w:rPr>
        <w:t>HISTORICAL EXPERIENCE — COVID federalism (ADI 6341/6343, 2020).</w:t>
      </w:r>
      <w:r>
        <w:rPr>
          <w:rFonts w:ascii="Arial" w:hAnsi="Arial"/>
          <w:b w:val="0"/>
          <w:i w:val="0"/>
          <w:color w:val="1E242A"/>
          <w:sz w:val="20"/>
        </w:rPr>
        <w:t xml:space="preserve"> Federal emergency rules did not displace state and municipal health authority. The STF preserved federal action while rejecting presidential monopolization of measures such as local restrictions. </w:t>
      </w:r>
      <w:hyperlink r:id="rId38">
        <w:r>
          <w:rPr>
            <w:color w:val="2C5F80"/>
            <w:u w:val="single"/>
            <w:rFonts w:ascii="Arial" w:hAnsi="Arial"/>
            <w:sz w:val="21"/>
          </w:rPr>
          <w:t>STF, ADI 6341</w:t>
        </w:r>
      </w:hyperlink>
      <w:r>
        <w:rPr>
          <w:rFonts w:ascii="Arial" w:hAnsi="Arial"/>
          <w:b w:val="0"/>
          <w:i w:val="0"/>
          <w:color w:val="1E242A"/>
          <w:sz w:val="20"/>
        </w:rPr>
        <w:t>.</w:t>
      </w:r>
    </w:p>
    <w:p>
      <w:pPr>
        <w:pStyle w:val="ListBullet"/>
        <w:numPr>
          <w:ilvl w:val="0"/>
          <w:numId w:val="2"/>
        </w:numPr>
      </w:pPr>
      <w:r>
        <w:rPr>
          <w:rFonts w:ascii="Arial" w:hAnsi="Arial"/>
          <w:b/>
          <w:i w:val="0"/>
          <w:color w:val="1E242A"/>
          <w:sz w:val="20"/>
        </w:rPr>
        <w:t>HISTORICAL EXPERIENCE — Climate Fund (ADPF 708, 2022).</w:t>
      </w:r>
      <w:r>
        <w:rPr>
          <w:rFonts w:ascii="Arial" w:hAnsi="Arial"/>
          <w:b w:val="0"/>
          <w:i w:val="0"/>
          <w:color w:val="1E242A"/>
          <w:sz w:val="20"/>
        </w:rPr>
        <w:t xml:space="preserve"> The STF found federal omission, prohibited contingency of Climate Fund revenues and required operation/allocation, showing that executive inaction can be reviewable. There was disagreement over whether the wider environmental programme negated the asserted omission. </w:t>
      </w:r>
      <w:hyperlink r:id="rId39">
        <w:r>
          <w:rPr>
            <w:color w:val="2C5F80"/>
            <w:u w:val="single"/>
            <w:rFonts w:ascii="Arial" w:hAnsi="Arial"/>
            <w:sz w:val="21"/>
          </w:rPr>
          <w:t>STF, ADPF 708</w:t>
        </w:r>
      </w:hyperlink>
      <w:r>
        <w:rPr>
          <w:rFonts w:ascii="Arial" w:hAnsi="Arial"/>
          <w:b w:val="0"/>
          <w:i w:val="0"/>
          <w:color w:val="1E242A"/>
          <w:sz w:val="20"/>
        </w:rPr>
        <w:t>.</w:t>
      </w:r>
    </w:p>
    <w:p>
      <w:pPr>
        <w:pStyle w:val="ListBullet"/>
        <w:numPr>
          <w:ilvl w:val="0"/>
          <w:numId w:val="2"/>
        </w:numPr>
      </w:pPr>
      <w:r>
        <w:rPr>
          <w:rFonts w:ascii="Arial" w:hAnsi="Arial"/>
          <w:b/>
          <w:i w:val="0"/>
          <w:color w:val="1E242A"/>
          <w:sz w:val="20"/>
        </w:rPr>
        <w:t>HISTORICAL EXPERIENCE — Budget transparency (ADPF 854, 2022 onward).</w:t>
      </w:r>
      <w:r>
        <w:rPr>
          <w:rFonts w:ascii="Arial" w:hAnsi="Arial"/>
          <w:b w:val="0"/>
          <w:i w:val="0"/>
          <w:color w:val="1E242A"/>
          <w:sz w:val="20"/>
        </w:rPr>
        <w:t xml:space="preserve"> The Court invalidated opaque RP9 practice and has continued monitoring traceability, showing judicial influence over budget execution as well as enactment. </w:t>
      </w:r>
      <w:hyperlink r:id="rId40">
        <w:r>
          <w:rPr>
            <w:color w:val="2C5F80"/>
            <w:u w:val="single"/>
            <w:rFonts w:ascii="Arial" w:hAnsi="Arial"/>
            <w:sz w:val="21"/>
          </w:rPr>
          <w:t>STF case record</w:t>
        </w:r>
      </w:hyperlink>
      <w:r>
        <w:rPr>
          <w:rFonts w:ascii="Arial" w:hAnsi="Arial"/>
          <w:b w:val="0"/>
          <w:i w:val="0"/>
          <w:color w:val="1E242A"/>
          <w:sz w:val="20"/>
        </w:rPr>
        <w:t>.</w:t>
      </w:r>
    </w:p>
    <w:p>
      <w:pPr>
        <w:pStyle w:val="ListBullet"/>
        <w:numPr>
          <w:ilvl w:val="0"/>
          <w:numId w:val="2"/>
        </w:numPr>
      </w:pPr>
      <w:r>
        <w:rPr>
          <w:rFonts w:ascii="Arial" w:hAnsi="Arial"/>
          <w:b/>
          <w:i w:val="0"/>
          <w:color w:val="1E242A"/>
          <w:sz w:val="20"/>
        </w:rPr>
        <w:t>HISTORICAL EXPERIENCE — Structural remedies.</w:t>
      </w:r>
      <w:r>
        <w:rPr>
          <w:rFonts w:ascii="Arial" w:hAnsi="Arial"/>
          <w:b w:val="0"/>
          <w:i w:val="0"/>
          <w:color w:val="1E242A"/>
          <w:sz w:val="20"/>
        </w:rPr>
        <w:t xml:space="preserve"> ADPF 347 (prisons) and ADPF 709 (Indigenous protection during COVID) show that the Court can require federal plans and supervise implementation. This remains contested in legitimacy, scope and administrability; it should be encoded as a possible remedy, not a routine outcome. </w:t>
      </w:r>
      <w:hyperlink r:id="rId41">
        <w:r>
          <w:rPr>
            <w:color w:val="2C5F80"/>
            <w:u w:val="single"/>
            <w:rFonts w:ascii="Arial" w:hAnsi="Arial"/>
            <w:sz w:val="21"/>
          </w:rPr>
          <w:t>STF, ADPF 347</w:t>
        </w:r>
      </w:hyperlink>
      <w:r>
        <w:rPr>
          <w:rFonts w:ascii="Arial" w:hAnsi="Arial"/>
          <w:b w:val="0"/>
          <w:i w:val="0"/>
          <w:color w:val="1E242A"/>
          <w:sz w:val="20"/>
        </w:rPr>
        <w:t xml:space="preserve">; </w:t>
      </w:r>
      <w:hyperlink r:id="rId42">
        <w:r>
          <w:rPr>
            <w:color w:val="2C5F80"/>
            <w:u w:val="single"/>
            <w:rFonts w:ascii="Arial" w:hAnsi="Arial"/>
            <w:sz w:val="21"/>
          </w:rPr>
          <w:t>STF, ADPF 709</w:t>
        </w:r>
      </w:hyperlink>
      <w:r>
        <w:rPr>
          <w:rFonts w:ascii="Arial" w:hAnsi="Arial"/>
          <w:b w:val="0"/>
          <w:i w:val="0"/>
          <w:color w:val="1E242A"/>
          <w:sz w:val="20"/>
        </w:rPr>
        <w:t>.</w:t>
      </w:r>
    </w:p>
    <w:p>
      <w:r>
        <w:rPr>
          <w:rFonts w:ascii="Arial" w:hAnsi="Arial"/>
          <w:b w:val="0"/>
          <w:i w:val="0"/>
          <w:color w:val="1E242A"/>
          <w:sz w:val="21"/>
        </w:rPr>
        <w:t>The STF is reactive: it needs a case and a proper claimant, and procedural gates, remedies and compliance capacity matter. Separation-of-powers limits remain real. Courts do not obtain a general policy mandate because they can invalidate or compel in particular cases.</w:t>
      </w:r>
    </w:p>
    <w:p>
      <w:pPr>
        <w:pStyle w:val="Heading1"/>
      </w:pPr>
      <w:r>
        <w:rPr>
          <w:rFonts w:ascii="Arial" w:hAnsi="Arial"/>
          <w:b w:val="0"/>
          <w:i w:val="0"/>
          <w:color w:val="183752"/>
          <w:sz w:val="34"/>
        </w:rPr>
        <w:t>5. Federalism by policy domain</w:t>
      </w:r>
    </w:p>
    <w:p>
      <w:pPr>
        <w:pStyle w:val="Heading2"/>
      </w:pPr>
      <w:r>
        <w:rPr>
          <w:rFonts w:ascii="Arial" w:hAnsi="Arial"/>
          <w:b w:val="0"/>
          <w:i w:val="0"/>
          <w:color w:val="2C5F80"/>
          <w:sz w:val="27"/>
        </w:rPr>
        <w:t>5.1 Policing and public security</w:t>
      </w:r>
    </w:p>
    <w:p>
      <w:r>
        <w:rPr>
          <w:rFonts w:ascii="Arial" w:hAnsi="Arial"/>
          <w:b/>
          <w:i w:val="0"/>
          <w:color w:val="1E242A"/>
          <w:sz w:val="21"/>
        </w:rPr>
        <w:t>FORMAL RULE.</w:t>
      </w:r>
      <w:r>
        <w:rPr>
          <w:rFonts w:ascii="Arial" w:hAnsi="Arial"/>
          <w:b w:val="0"/>
          <w:i w:val="0"/>
          <w:color w:val="1E242A"/>
          <w:sz w:val="21"/>
        </w:rPr>
        <w:t xml:space="preserve"> Article 144 divides organizations rather than giving the President a national police hierarchy. The Union maintains the Federal Police, Federal Highway Police, Federal Railway Police and federal penal police. The Federal Police investigates offences against Union interests and defined interstate/international crime and exclusively performs the Union’s judicial-police function. State governors direct civil police, military police, state penal police and military fire brigades. Civil police investigate ordinary non-military crimes; military police perform ostensive policing and preserve public order. Municipal guards protect municipal assets, services and installations as law provides, with evolving jurisprudence on their broader public-security position. </w:t>
      </w:r>
      <w:hyperlink r:id="rId18">
        <w:r>
          <w:rPr>
            <w:color w:val="2C5F80"/>
            <w:u w:val="single"/>
            <w:rFonts w:ascii="Arial" w:hAnsi="Arial"/>
            <w:sz w:val="21"/>
          </w:rPr>
          <w:t>Constitution, art. 144</w:t>
        </w:r>
      </w:hyperlink>
      <w:r>
        <w:rPr>
          <w:rFonts w:ascii="Arial" w:hAnsi="Arial"/>
          <w:b w:val="0"/>
          <w:i w:val="0"/>
          <w:color w:val="1E242A"/>
          <w:sz w:val="21"/>
        </w:rPr>
        <w:t>.</w:t>
      </w:r>
    </w:p>
    <w:p>
      <w:r>
        <w:rPr>
          <w:rFonts w:ascii="Arial" w:hAnsi="Arial"/>
          <w:b w:val="0"/>
          <w:i w:val="0"/>
          <w:color w:val="1E242A"/>
          <w:sz w:val="21"/>
        </w:rPr>
        <w:t>The Union organizes and finances DF police and fire bodies under federal rules, but the DF uses them. Federal funding, national general rules, databases, task forces and cooperation can influence subnational security; they do not normally transfer command. Federal intervention may temporarily substitute authority only under arts. 34-36. Armed Forces GLO employment is distinct from ordinary policing and intervention.</w:t>
      </w:r>
    </w:p>
    <w:p>
      <w:r>
        <w:rPr>
          <w:rFonts w:ascii="Arial" w:hAnsi="Arial"/>
          <w:b/>
          <w:i w:val="0"/>
          <w:color w:val="1E242A"/>
          <w:sz w:val="21"/>
        </w:rPr>
        <w:t>Decision relevance.</w:t>
      </w:r>
      <w:r>
        <w:rPr>
          <w:rFonts w:ascii="Arial" w:hAnsi="Arial"/>
          <w:b w:val="0"/>
          <w:i w:val="0"/>
          <w:color w:val="1E242A"/>
          <w:sz w:val="21"/>
        </w:rPr>
        <w:t xml:space="preserve"> A President can direct Federal Police within lawful institutional/operational constraints and coordinate/fund joint action, but cannot ordinarily order a state military-police deployment. The lawful route depends on offence, territory, requesting authority and trigger.</w:t>
      </w:r>
    </w:p>
    <w:p>
      <w:pPr>
        <w:pStyle w:val="Heading2"/>
      </w:pPr>
      <w:r>
        <w:rPr>
          <w:rFonts w:ascii="Arial" w:hAnsi="Arial"/>
          <w:b w:val="0"/>
          <w:i w:val="0"/>
          <w:color w:val="2C5F80"/>
          <w:sz w:val="27"/>
        </w:rPr>
        <w:t>5.2 Health</w:t>
      </w:r>
    </w:p>
    <w:p>
      <w:r>
        <w:rPr>
          <w:rFonts w:ascii="Arial" w:hAnsi="Arial"/>
          <w:b/>
          <w:i w:val="0"/>
          <w:color w:val="1E242A"/>
          <w:sz w:val="21"/>
        </w:rPr>
        <w:t>FORMAL RULE.</w:t>
      </w:r>
      <w:r>
        <w:rPr>
          <w:rFonts w:ascii="Arial" w:hAnsi="Arial"/>
          <w:b w:val="0"/>
          <w:i w:val="0"/>
          <w:color w:val="1E242A"/>
          <w:sz w:val="21"/>
        </w:rPr>
        <w:t xml:space="preserve"> Health is a right and state duty delivered through SUS, a regionalized, hierarchical network built on decentralization with a single direction in each sphere, comprehensive care and participation. All levels finance and implement it under constitutional minima and LC 141. Federal resources can flow automatically fund-to-fund; intergovernmental commissions, consortia, national standards, procurement and information systems coordinate implementation. </w:t>
      </w:r>
      <w:hyperlink r:id="rId18">
        <w:r>
          <w:rPr>
            <w:color w:val="2C5F80"/>
            <w:u w:val="single"/>
            <w:rFonts w:ascii="Arial" w:hAnsi="Arial"/>
            <w:sz w:val="21"/>
          </w:rPr>
          <w:t>Constitution, arts. 196-200</w:t>
        </w:r>
      </w:hyperlink>
      <w:r>
        <w:rPr>
          <w:rFonts w:ascii="Arial" w:hAnsi="Arial"/>
          <w:b w:val="0"/>
          <w:i w:val="0"/>
          <w:color w:val="1E242A"/>
          <w:sz w:val="21"/>
        </w:rPr>
        <w:t xml:space="preserve">; </w:t>
      </w:r>
      <w:hyperlink r:id="rId43">
        <w:r>
          <w:rPr>
            <w:color w:val="2C5F80"/>
            <w:u w:val="single"/>
            <w:rFonts w:ascii="Arial" w:hAnsi="Arial"/>
            <w:sz w:val="21"/>
          </w:rPr>
          <w:t>LC 141/2012</w:t>
        </w:r>
      </w:hyperlink>
      <w:r>
        <w:rPr>
          <w:rFonts w:ascii="Arial" w:hAnsi="Arial"/>
          <w:b w:val="0"/>
          <w:i w:val="0"/>
          <w:color w:val="1E242A"/>
          <w:sz w:val="21"/>
        </w:rPr>
        <w:t>.</w:t>
      </w:r>
    </w:p>
    <w:p>
      <w:r>
        <w:rPr>
          <w:rFonts w:ascii="Arial" w:hAnsi="Arial"/>
          <w:b w:val="0"/>
          <w:i w:val="0"/>
          <w:color w:val="1E242A"/>
          <w:sz w:val="21"/>
        </w:rPr>
        <w:t>ADI 6341 is essential qualification: the Union may legislate and act, but cannot use an MP/decree to extinguish autonomous state/municipal health measures. Federal leadership is strongest through finance, national policy, procurement, surveillance and coordination rather than command over local health departments.</w:t>
      </w:r>
    </w:p>
    <w:p>
      <w:pPr>
        <w:pStyle w:val="Heading2"/>
      </w:pPr>
      <w:r>
        <w:rPr>
          <w:rFonts w:ascii="Arial" w:hAnsi="Arial"/>
          <w:b w:val="0"/>
          <w:i w:val="0"/>
          <w:color w:val="2C5F80"/>
          <w:sz w:val="27"/>
        </w:rPr>
        <w:t>5.3 Education</w:t>
      </w:r>
    </w:p>
    <w:p>
      <w:r>
        <w:rPr>
          <w:rFonts w:ascii="Arial" w:hAnsi="Arial"/>
          <w:b/>
          <w:i w:val="0"/>
          <w:color w:val="1E242A"/>
          <w:sz w:val="21"/>
        </w:rPr>
        <w:t>FORMAL RULE.</w:t>
      </w:r>
      <w:r>
        <w:rPr>
          <w:rFonts w:ascii="Arial" w:hAnsi="Arial"/>
          <w:b w:val="0"/>
          <w:i w:val="0"/>
          <w:color w:val="1E242A"/>
          <w:sz w:val="21"/>
        </w:rPr>
        <w:t xml:space="preserve"> Education combines common administration, concurrent legislation and exclusive Union authority over national guidelines/bases. The Union operates its own system and institutions and provides redistributive/supplementary technical and financial assistance. Municipalities prioritize early-childhood and fundamental education; states/DF prioritize fundamental and secondary education; systems collaborate. Constitutional revenue minima and Fundeb redistribute resources with Union complement. </w:t>
      </w:r>
      <w:hyperlink r:id="rId18">
        <w:r>
          <w:rPr>
            <w:color w:val="2C5F80"/>
            <w:u w:val="single"/>
            <w:rFonts w:ascii="Arial" w:hAnsi="Arial"/>
            <w:sz w:val="21"/>
          </w:rPr>
          <w:t>Constitution, arts. 22 XXIV, 23 V, 24 IX, 211-212-A</w:t>
        </w:r>
      </w:hyperlink>
      <w:r>
        <w:rPr>
          <w:rFonts w:ascii="Arial" w:hAnsi="Arial"/>
          <w:b w:val="0"/>
          <w:i w:val="0"/>
          <w:color w:val="1E242A"/>
          <w:sz w:val="21"/>
        </w:rPr>
        <w:t xml:space="preserve">; </w:t>
      </w:r>
      <w:hyperlink r:id="rId44">
        <w:r>
          <w:rPr>
            <w:color w:val="2C5F80"/>
            <w:u w:val="single"/>
            <w:rFonts w:ascii="Arial" w:hAnsi="Arial"/>
            <w:sz w:val="21"/>
          </w:rPr>
          <w:t>Law 14,113/2020</w:t>
        </w:r>
      </w:hyperlink>
      <w:r>
        <w:rPr>
          <w:rFonts w:ascii="Arial" w:hAnsi="Arial"/>
          <w:b w:val="0"/>
          <w:i w:val="0"/>
          <w:color w:val="1E242A"/>
          <w:sz w:val="21"/>
        </w:rPr>
        <w:t>.</w:t>
      </w:r>
    </w:p>
    <w:p>
      <w:r>
        <w:rPr>
          <w:rFonts w:ascii="Arial" w:hAnsi="Arial"/>
          <w:b/>
          <w:i w:val="0"/>
          <w:color w:val="1E242A"/>
          <w:sz w:val="21"/>
        </w:rPr>
        <w:t>Decision relevance.</w:t>
      </w:r>
      <w:r>
        <w:rPr>
          <w:rFonts w:ascii="Arial" w:hAnsi="Arial"/>
          <w:b w:val="0"/>
          <w:i w:val="0"/>
          <w:color w:val="1E242A"/>
          <w:sz w:val="21"/>
        </w:rPr>
        <w:t xml:space="preserve"> A federal government can set national legal standards, attach lawful funding conditions, evaluate, procure and assist. It does not employ or direct most teachers and schools.</w:t>
      </w:r>
    </w:p>
    <w:p>
      <w:pPr>
        <w:pStyle w:val="Heading2"/>
      </w:pPr>
      <w:r>
        <w:rPr>
          <w:rFonts w:ascii="Arial" w:hAnsi="Arial"/>
          <w:b w:val="0"/>
          <w:i w:val="0"/>
          <w:color w:val="2C5F80"/>
          <w:sz w:val="27"/>
        </w:rPr>
        <w:t>5.4 Taxation and fiscal federalism</w:t>
      </w:r>
    </w:p>
    <w:p>
      <w:r>
        <w:rPr>
          <w:rFonts w:ascii="Arial" w:hAnsi="Arial"/>
          <w:b/>
          <w:i w:val="0"/>
          <w:color w:val="1E242A"/>
          <w:sz w:val="21"/>
        </w:rPr>
        <w:t>FORMAL RULE.</w:t>
      </w:r>
      <w:r>
        <w:rPr>
          <w:rFonts w:ascii="Arial" w:hAnsi="Arial"/>
          <w:b w:val="0"/>
          <w:i w:val="0"/>
          <w:color w:val="1E242A"/>
          <w:sz w:val="21"/>
        </w:rPr>
        <w:t xml:space="preserve"> The Constitution assigns major tax bases: Union taxes under arts. 153-154; state/DF ITCMD, ICMS and IPVA under art. 155; municipal IPTU, ITBI and ISS under art. 156. It constitutionally shares revenue through the FPE/FPM and related mechanisms; delivery generally cannot be withheld except under stated conditions. Fiscal federalism therefore combines autonomous taxes, constitutionally protected shares, earmarks and conditional/discretionary transfers.</w:t>
      </w:r>
    </w:p>
    <w:p>
      <w:r>
        <w:rPr>
          <w:rFonts w:ascii="Arial" w:hAnsi="Arial"/>
          <w:b/>
          <w:i w:val="0"/>
          <w:color w:val="1E242A"/>
          <w:sz w:val="21"/>
        </w:rPr>
        <w:t>SCENARIO-SPECIFIC TRANSITION.</w:t>
      </w:r>
      <w:r>
        <w:rPr>
          <w:rFonts w:ascii="Arial" w:hAnsi="Arial"/>
          <w:b w:val="0"/>
          <w:i w:val="0"/>
          <w:color w:val="1E242A"/>
          <w:sz w:val="21"/>
        </w:rPr>
        <w:t xml:space="preserve"> EC 132/2023 and LC 214/2025 created the shared state/municipal IBS and federal CBS/Selective Tax with phased transition. The legacy map remains legally operational during transition but is not permanent Country Knowledge. Effective dates, governing bodies, rates and revenue distribution require year-specific validation. </w:t>
      </w:r>
      <w:hyperlink r:id="rId45">
        <w:r>
          <w:rPr>
            <w:color w:val="2C5F80"/>
            <w:u w:val="single"/>
            <w:rFonts w:ascii="Arial" w:hAnsi="Arial"/>
            <w:sz w:val="21"/>
          </w:rPr>
          <w:t>Current Constitution</w:t>
        </w:r>
      </w:hyperlink>
      <w:r>
        <w:rPr>
          <w:rFonts w:ascii="Arial" w:hAnsi="Arial"/>
          <w:b w:val="0"/>
          <w:i w:val="0"/>
          <w:color w:val="1E242A"/>
          <w:sz w:val="21"/>
        </w:rPr>
        <w:t xml:space="preserve">; </w:t>
      </w:r>
      <w:hyperlink r:id="rId46">
        <w:r>
          <w:rPr>
            <w:color w:val="2C5F80"/>
            <w:u w:val="single"/>
            <w:rFonts w:ascii="Arial" w:hAnsi="Arial"/>
            <w:sz w:val="21"/>
          </w:rPr>
          <w:t>LC 214</w:t>
        </w:r>
      </w:hyperlink>
      <w:r>
        <w:rPr>
          <w:rFonts w:ascii="Arial" w:hAnsi="Arial"/>
          <w:b w:val="0"/>
          <w:i w:val="0"/>
          <w:color w:val="1E242A"/>
          <w:sz w:val="21"/>
        </w:rPr>
        <w:t>.</w:t>
      </w:r>
    </w:p>
    <w:p>
      <w:pPr>
        <w:pStyle w:val="Heading2"/>
      </w:pPr>
      <w:r>
        <w:rPr>
          <w:rFonts w:ascii="Arial" w:hAnsi="Arial"/>
          <w:b w:val="0"/>
          <w:i w:val="0"/>
          <w:color w:val="2C5F80"/>
          <w:sz w:val="27"/>
        </w:rPr>
        <w:t>5.5 Infrastructure and services</w:t>
      </w:r>
    </w:p>
    <w:p>
      <w:r>
        <w:rPr>
          <w:rFonts w:ascii="Arial" w:hAnsi="Arial"/>
          <w:b/>
          <w:i w:val="0"/>
          <w:color w:val="1E242A"/>
          <w:sz w:val="21"/>
        </w:rPr>
        <w:t>FORMAL RULE.</w:t>
      </w:r>
      <w:r>
        <w:rPr>
          <w:rFonts w:ascii="Arial" w:hAnsi="Arial"/>
          <w:b w:val="0"/>
          <w:i w:val="0"/>
          <w:color w:val="1E242A"/>
          <w:sz w:val="21"/>
        </w:rPr>
        <w:t xml:space="preserve"> Allocation is sector-specific. The Union dominates national/interstate transport, ports, telecoms, energy and specified networks; municipalities organize local services, explicitly local public transport; states hold residual powers and may create metropolitan regions by complementary law. Public-service concessions require bidding under art. 175. </w:t>
      </w:r>
      <w:hyperlink r:id="rId18">
        <w:r>
          <w:rPr>
            <w:color w:val="2C5F80"/>
            <w:u w:val="single"/>
            <w:rFonts w:ascii="Arial" w:hAnsi="Arial"/>
            <w:sz w:val="21"/>
          </w:rPr>
          <w:t>Constitution, arts. 21-22, 25, 30 and 175</w:t>
        </w:r>
      </w:hyperlink>
      <w:r>
        <w:rPr>
          <w:rFonts w:ascii="Arial" w:hAnsi="Arial"/>
          <w:b w:val="0"/>
          <w:i w:val="0"/>
          <w:color w:val="1E242A"/>
          <w:sz w:val="21"/>
        </w:rPr>
        <w:t>.</w:t>
      </w:r>
    </w:p>
    <w:p>
      <w:r>
        <w:rPr>
          <w:rFonts w:ascii="Arial" w:hAnsi="Arial"/>
          <w:b w:val="0"/>
          <w:i w:val="0"/>
          <w:color w:val="1E242A"/>
          <w:sz w:val="21"/>
        </w:rPr>
        <w:t>Metropolitan sanitation cannot safely be classified as simply municipal: STF doctrine on shared metropolitan governance and post-2020 sanitation legislation require a dedicated validation pass. A federal infrastructure objective may require federal procurement/concession, a subnational agreement, finance through a federal institution, licensing and regulator approval rather than one presidential order.</w:t>
      </w:r>
    </w:p>
    <w:p>
      <w:pPr>
        <w:pStyle w:val="Heading2"/>
      </w:pPr>
      <w:r>
        <w:rPr>
          <w:rFonts w:ascii="Arial" w:hAnsi="Arial"/>
          <w:b w:val="0"/>
          <w:i w:val="0"/>
          <w:color w:val="2C5F80"/>
          <w:sz w:val="27"/>
        </w:rPr>
        <w:t>5.6 Environment</w:t>
      </w:r>
    </w:p>
    <w:p>
      <w:r>
        <w:rPr>
          <w:rFonts w:ascii="Arial" w:hAnsi="Arial"/>
          <w:b/>
          <w:i w:val="0"/>
          <w:color w:val="1E242A"/>
          <w:sz w:val="21"/>
        </w:rPr>
        <w:t>FORMAL RULE.</w:t>
      </w:r>
      <w:r>
        <w:rPr>
          <w:rFonts w:ascii="Arial" w:hAnsi="Arial"/>
          <w:b w:val="0"/>
          <w:i w:val="0"/>
          <w:color w:val="1E242A"/>
          <w:sz w:val="21"/>
        </w:rPr>
        <w:t xml:space="preserve"> All levels share administrative duties to protect the environment, while Union/states/DF legislate concurrently and municipalities supplement for local interest. Article 225 imposes duties across public power. LC 140/2011 assigns licensing and enforcement action, supplies subsidiary/supplementary routes, provides tripartite commissions and permits delegation by agreement. </w:t>
      </w:r>
      <w:hyperlink r:id="rId47">
        <w:r>
          <w:rPr>
            <w:color w:val="2C5F80"/>
            <w:u w:val="single"/>
            <w:rFonts w:ascii="Arial" w:hAnsi="Arial"/>
            <w:sz w:val="21"/>
          </w:rPr>
          <w:t>LC 140/2011</w:t>
        </w:r>
      </w:hyperlink>
      <w:r>
        <w:rPr>
          <w:rFonts w:ascii="Arial" w:hAnsi="Arial"/>
          <w:b w:val="0"/>
          <w:i w:val="0"/>
          <w:color w:val="1E242A"/>
          <w:sz w:val="21"/>
        </w:rPr>
        <w:t>.</w:t>
      </w:r>
    </w:p>
    <w:p>
      <w:r>
        <w:rPr>
          <w:rFonts w:ascii="Arial" w:hAnsi="Arial"/>
          <w:b w:val="0"/>
          <w:i w:val="0"/>
          <w:color w:val="1E242A"/>
          <w:sz w:val="21"/>
        </w:rPr>
        <w:t>Federal bodies such as IBAMA and ICMBio possess strong tools within federal jurisdiction, but the President cannot assume that all licensing or enforcement is federal. Overlap can produce cooperation, duplicative action or jurisdictional litigation.</w:t>
      </w:r>
    </w:p>
    <w:p>
      <w:pPr>
        <w:pStyle w:val="Heading2"/>
      </w:pPr>
      <w:r>
        <w:rPr>
          <w:rFonts w:ascii="Arial" w:hAnsi="Arial"/>
          <w:b w:val="0"/>
          <w:i w:val="0"/>
          <w:color w:val="2C5F80"/>
          <w:sz w:val="27"/>
        </w:rPr>
        <w:t>5.7 Public administration</w:t>
      </w:r>
    </w:p>
    <w:p>
      <w:r>
        <w:rPr>
          <w:rFonts w:ascii="Arial" w:hAnsi="Arial"/>
          <w:b/>
          <w:i w:val="0"/>
          <w:color w:val="1E242A"/>
          <w:sz w:val="21"/>
        </w:rPr>
        <w:t>FORMAL RULE.</w:t>
      </w:r>
      <w:r>
        <w:rPr>
          <w:rFonts w:ascii="Arial" w:hAnsi="Arial"/>
          <w:b w:val="0"/>
          <w:i w:val="0"/>
          <w:color w:val="1E242A"/>
          <w:sz w:val="21"/>
        </w:rPr>
        <w:t xml:space="preserve"> Each federative entity controls its administration subject to constitutional principles of legality, impersonality, morality, publicity and efficiency. Competitive entry is the default. Creation of an autarchy requires specific law; creation of a public enterprise, mixed-capital company or public foundation requires statutory authorization. Federal civil-service rules do not empower the President to reorganize state/municipal workforces. </w:t>
      </w:r>
      <w:hyperlink r:id="rId18">
        <w:r>
          <w:rPr>
            <w:color w:val="2C5F80"/>
            <w:u w:val="single"/>
            <w:rFonts w:ascii="Arial" w:hAnsi="Arial"/>
            <w:sz w:val="21"/>
          </w:rPr>
          <w:t>Constitution, art. 37</w:t>
        </w:r>
      </w:hyperlink>
      <w:r>
        <w:rPr>
          <w:rFonts w:ascii="Arial" w:hAnsi="Arial"/>
          <w:b w:val="0"/>
          <w:i w:val="0"/>
          <w:color w:val="1E242A"/>
          <w:sz w:val="21"/>
        </w:rPr>
        <w:t>.</w:t>
      </w:r>
    </w:p>
    <w:p>
      <w:pPr>
        <w:pStyle w:val="Heading1"/>
      </w:pPr>
      <w:r>
        <w:rPr>
          <w:rFonts w:ascii="Arial" w:hAnsi="Arial"/>
          <w:b w:val="0"/>
          <w:i w:val="0"/>
          <w:color w:val="183752"/>
          <w:sz w:val="34"/>
        </w:rPr>
        <w:t>6. Federal influence without command</w:t>
      </w:r>
    </w:p>
    <w:p>
      <w:r>
        <w:rPr>
          <w:rFonts w:ascii="Arial" w:hAnsi="Arial"/>
          <w:b w:val="0"/>
          <w:i w:val="0"/>
          <w:color w:val="1E242A"/>
          <w:sz w:val="21"/>
        </w:rPr>
        <w:t>The Union can influence decentralized policy through several legally distinct channels:</w:t>
      </w:r>
    </w:p>
    <w:p>
      <w:pPr>
        <w:pStyle w:val="ListNumber"/>
        <w:numPr>
          <w:ilvl w:val="0"/>
          <w:numId w:val="3"/>
        </w:numPr>
      </w:pPr>
      <w:r>
        <w:rPr>
          <w:rFonts w:ascii="Arial" w:hAnsi="Arial"/>
          <w:b/>
          <w:i w:val="0"/>
          <w:color w:val="1E242A"/>
          <w:sz w:val="20"/>
        </w:rPr>
        <w:t>National or general legislation</w:t>
      </w:r>
      <w:r>
        <w:rPr>
          <w:rFonts w:ascii="Arial" w:hAnsi="Arial"/>
          <w:b w:val="0"/>
          <w:i w:val="0"/>
          <w:color w:val="1E242A"/>
          <w:sz w:val="20"/>
        </w:rPr>
        <w:t xml:space="preserve"> within arts. 22/24, leaving constitutionally protected supplementation and execution.</w:t>
      </w:r>
    </w:p>
    <w:p>
      <w:pPr>
        <w:pStyle w:val="ListNumber"/>
        <w:numPr>
          <w:ilvl w:val="0"/>
          <w:numId w:val="3"/>
        </w:numPr>
      </w:pPr>
      <w:r>
        <w:rPr>
          <w:rFonts w:ascii="Arial" w:hAnsi="Arial"/>
          <w:b/>
          <w:i w:val="0"/>
          <w:color w:val="1E242A"/>
          <w:sz w:val="20"/>
        </w:rPr>
        <w:t>Constitutional/legal transfers</w:t>
      </w:r>
      <w:r>
        <w:rPr>
          <w:rFonts w:ascii="Arial" w:hAnsi="Arial"/>
          <w:b w:val="0"/>
          <w:i w:val="0"/>
          <w:color w:val="1E242A"/>
          <w:sz w:val="20"/>
        </w:rPr>
        <w:t xml:space="preserve"> such as FPE/FPM and Fundeb distributions, generally formula-bound rather than presidential favors. </w:t>
      </w:r>
      <w:hyperlink r:id="rId48">
        <w:r>
          <w:rPr>
            <w:color w:val="2C5F80"/>
            <w:u w:val="single"/>
            <w:rFonts w:ascii="Arial" w:hAnsi="Arial"/>
            <w:sz w:val="21"/>
          </w:rPr>
          <w:t>National Treasury overview</w:t>
        </w:r>
      </w:hyperlink>
      <w:r>
        <w:rPr>
          <w:rFonts w:ascii="Arial" w:hAnsi="Arial"/>
          <w:b w:val="0"/>
          <w:i w:val="0"/>
          <w:color w:val="1E242A"/>
          <w:sz w:val="20"/>
        </w:rPr>
        <w:t>.</w:t>
      </w:r>
    </w:p>
    <w:p>
      <w:pPr>
        <w:pStyle w:val="ListNumber"/>
        <w:numPr>
          <w:ilvl w:val="0"/>
          <w:numId w:val="3"/>
        </w:numPr>
      </w:pPr>
      <w:r>
        <w:rPr>
          <w:rFonts w:ascii="Arial" w:hAnsi="Arial"/>
          <w:b/>
          <w:i w:val="0"/>
          <w:color w:val="1E242A"/>
          <w:sz w:val="20"/>
        </w:rPr>
        <w:t>Sectoral automatic transfers</w:t>
      </w:r>
      <w:r>
        <w:rPr>
          <w:rFonts w:ascii="Arial" w:hAnsi="Arial"/>
          <w:b w:val="0"/>
          <w:i w:val="0"/>
          <w:color w:val="1E242A"/>
          <w:sz w:val="20"/>
        </w:rPr>
        <w:t>, including health fund-to-fund finance.</w:t>
      </w:r>
    </w:p>
    <w:p>
      <w:pPr>
        <w:pStyle w:val="ListNumber"/>
        <w:numPr>
          <w:ilvl w:val="0"/>
          <w:numId w:val="3"/>
        </w:numPr>
      </w:pPr>
      <w:r>
        <w:rPr>
          <w:rFonts w:ascii="Arial" w:hAnsi="Arial"/>
          <w:b/>
          <w:i w:val="0"/>
          <w:color w:val="1E242A"/>
          <w:sz w:val="20"/>
        </w:rPr>
        <w:t>Voluntary transfers, grants and agreements</w:t>
      </w:r>
      <w:r>
        <w:rPr>
          <w:rFonts w:ascii="Arial" w:hAnsi="Arial"/>
          <w:b w:val="0"/>
          <w:i w:val="0"/>
          <w:color w:val="1E242A"/>
          <w:sz w:val="20"/>
        </w:rPr>
        <w:t xml:space="preserve">, subject to appropriation, fiscal conditions, technical plans and accountability. LRF art. 25 distinguishes these from required and SUS transfers. </w:t>
      </w:r>
      <w:hyperlink r:id="rId49">
        <w:r>
          <w:rPr>
            <w:color w:val="2C5F80"/>
            <w:u w:val="single"/>
            <w:rFonts w:ascii="Arial" w:hAnsi="Arial"/>
            <w:sz w:val="21"/>
          </w:rPr>
          <w:t>Federal voluntary-transfer guidance</w:t>
        </w:r>
      </w:hyperlink>
      <w:r>
        <w:rPr>
          <w:rFonts w:ascii="Arial" w:hAnsi="Arial"/>
          <w:b w:val="0"/>
          <w:i w:val="0"/>
          <w:color w:val="1E242A"/>
          <w:sz w:val="20"/>
        </w:rPr>
        <w:t>.</w:t>
      </w:r>
    </w:p>
    <w:p>
      <w:pPr>
        <w:pStyle w:val="ListNumber"/>
        <w:numPr>
          <w:ilvl w:val="0"/>
          <w:numId w:val="3"/>
        </w:numPr>
      </w:pPr>
      <w:r>
        <w:rPr>
          <w:rFonts w:ascii="Arial" w:hAnsi="Arial"/>
          <w:b/>
          <w:i w:val="0"/>
          <w:color w:val="1E242A"/>
          <w:sz w:val="20"/>
        </w:rPr>
        <w:t>Public consortia and cooperation agreements</w:t>
      </w:r>
      <w:r>
        <w:rPr>
          <w:rFonts w:ascii="Arial" w:hAnsi="Arial"/>
          <w:b w:val="0"/>
          <w:i w:val="0"/>
          <w:color w:val="1E242A"/>
          <w:sz w:val="20"/>
        </w:rPr>
        <w:t xml:space="preserve"> under art. 241 and Law 11,107. </w:t>
      </w:r>
      <w:hyperlink r:id="rId50">
        <w:r>
          <w:rPr>
            <w:color w:val="2C5F80"/>
            <w:u w:val="single"/>
            <w:rFonts w:ascii="Arial" w:hAnsi="Arial"/>
            <w:sz w:val="21"/>
          </w:rPr>
          <w:t>Law 11,107/2005</w:t>
        </w:r>
      </w:hyperlink>
      <w:r>
        <w:rPr>
          <w:rFonts w:ascii="Arial" w:hAnsi="Arial"/>
          <w:b w:val="0"/>
          <w:i w:val="0"/>
          <w:color w:val="1E242A"/>
          <w:sz w:val="20"/>
        </w:rPr>
        <w:t>.</w:t>
      </w:r>
    </w:p>
    <w:p>
      <w:pPr>
        <w:pStyle w:val="ListNumber"/>
        <w:numPr>
          <w:ilvl w:val="0"/>
          <w:numId w:val="3"/>
        </w:numPr>
      </w:pPr>
      <w:r>
        <w:rPr>
          <w:rFonts w:ascii="Arial" w:hAnsi="Arial"/>
          <w:b/>
          <w:i w:val="0"/>
          <w:color w:val="1E242A"/>
          <w:sz w:val="20"/>
        </w:rPr>
        <w:t>National procurement, technical assistance, data and evaluation systems</w:t>
      </w:r>
      <w:r>
        <w:rPr>
          <w:rFonts w:ascii="Arial" w:hAnsi="Arial"/>
          <w:b w:val="0"/>
          <w:i w:val="0"/>
          <w:color w:val="1E242A"/>
          <w:sz w:val="20"/>
        </w:rPr>
        <w:t>, which can standardize practice without legal subordination.</w:t>
      </w:r>
    </w:p>
    <w:p>
      <w:pPr>
        <w:pStyle w:val="ListNumber"/>
        <w:numPr>
          <w:ilvl w:val="0"/>
          <w:numId w:val="3"/>
        </w:numPr>
      </w:pPr>
      <w:r>
        <w:rPr>
          <w:rFonts w:ascii="Arial" w:hAnsi="Arial"/>
          <w:b/>
          <w:i w:val="0"/>
          <w:color w:val="1E242A"/>
          <w:sz w:val="20"/>
        </w:rPr>
        <w:t>Litigation, audit and conditional compliance</w:t>
      </w:r>
      <w:r>
        <w:rPr>
          <w:rFonts w:ascii="Arial" w:hAnsi="Arial"/>
          <w:b w:val="0"/>
          <w:i w:val="0"/>
          <w:color w:val="1E242A"/>
          <w:sz w:val="20"/>
        </w:rPr>
        <w:t>, subject to institutional standing and jurisdiction.</w:t>
      </w:r>
    </w:p>
    <w:p>
      <w:pPr>
        <w:pStyle w:val="ListNumber"/>
        <w:numPr>
          <w:ilvl w:val="0"/>
          <w:numId w:val="3"/>
        </w:numPr>
      </w:pPr>
      <w:r>
        <w:rPr>
          <w:rFonts w:ascii="Arial" w:hAnsi="Arial"/>
          <w:b/>
          <w:i w:val="0"/>
          <w:color w:val="1E242A"/>
          <w:sz w:val="20"/>
        </w:rPr>
        <w:t>Federal intervention</w:t>
      </w:r>
      <w:r>
        <w:rPr>
          <w:rFonts w:ascii="Arial" w:hAnsi="Arial"/>
          <w:b w:val="0"/>
          <w:i w:val="0"/>
          <w:color w:val="1E242A"/>
          <w:sz w:val="20"/>
        </w:rPr>
        <w:t>, only through the exceptional constitutional grounds and triggers already described.</w:t>
      </w:r>
    </w:p>
    <w:p>
      <w:r>
        <w:rPr>
          <w:rFonts w:ascii="Arial" w:hAnsi="Arial"/>
          <w:b/>
          <w:i w:val="0"/>
          <w:color w:val="1E242A"/>
          <w:sz w:val="21"/>
        </w:rPr>
        <w:t>POLITICAL PRACTICE.</w:t>
      </w:r>
      <w:r>
        <w:rPr>
          <w:rFonts w:ascii="Arial" w:hAnsi="Arial"/>
          <w:b w:val="0"/>
          <w:i w:val="0"/>
          <w:color w:val="1E242A"/>
          <w:sz w:val="21"/>
        </w:rPr>
        <w:t xml:space="preserve"> Conditional finance can strongly steer subnational choice, especially where fiscal and administrative capacity is unequal, but does not erase legal autonomy. The OECD describes Brazil as unusually municipalized, with no state-municipal hierarchy, overlapping duties and heavy coordination needs. </w:t>
      </w:r>
      <w:hyperlink r:id="rId51">
        <w:r>
          <w:rPr>
            <w:color w:val="2C5F80"/>
            <w:u w:val="single"/>
            <w:rFonts w:ascii="Arial" w:hAnsi="Arial"/>
            <w:sz w:val="21"/>
          </w:rPr>
          <w:t>OECD, Auditing Decentralised Policies in Brazil, 2020</w:t>
        </w:r>
      </w:hyperlink>
      <w:r>
        <w:rPr>
          <w:rFonts w:ascii="Arial" w:hAnsi="Arial"/>
          <w:b w:val="0"/>
          <w:i w:val="0"/>
          <w:color w:val="1E242A"/>
          <w:sz w:val="21"/>
        </w:rPr>
        <w:t xml:space="preserve">; </w:t>
      </w:r>
      <w:hyperlink r:id="rId52">
        <w:r>
          <w:rPr>
            <w:color w:val="2C5F80"/>
            <w:u w:val="single"/>
            <w:rFonts w:ascii="Arial" w:hAnsi="Arial"/>
            <w:sz w:val="21"/>
          </w:rPr>
          <w:t>OECD Centre of Government Review, 2022</w:t>
        </w:r>
      </w:hyperlink>
      <w:r>
        <w:rPr>
          <w:rFonts w:ascii="Arial" w:hAnsi="Arial"/>
          <w:b w:val="0"/>
          <w:i w:val="0"/>
          <w:color w:val="1E242A"/>
          <w:sz w:val="21"/>
        </w:rPr>
        <w:t>.</w:t>
      </w:r>
    </w:p>
    <w:p>
      <w:pPr>
        <w:pStyle w:val="Heading1"/>
      </w:pPr>
      <w:r>
        <w:rPr>
          <w:rFonts w:ascii="Arial" w:hAnsi="Arial"/>
          <w:b w:val="0"/>
          <w:i w:val="0"/>
          <w:color w:val="183752"/>
          <w:sz w:val="34"/>
        </w:rPr>
        <w:t>7. Federal executive architecture and implementation capacity</w:t>
      </w:r>
    </w:p>
    <w:p>
      <w:pPr>
        <w:pStyle w:val="Heading2"/>
      </w:pPr>
      <w:r>
        <w:rPr>
          <w:rFonts w:ascii="Arial" w:hAnsi="Arial"/>
          <w:b w:val="0"/>
          <w:i w:val="0"/>
          <w:color w:val="2C5F80"/>
          <w:sz w:val="27"/>
        </w:rPr>
        <w:t>7.1 Direct and indirect administration</w:t>
      </w:r>
    </w:p>
    <w:p>
      <w:r>
        <w:rPr>
          <w:rFonts w:ascii="Arial" w:hAnsi="Arial"/>
          <w:b/>
          <w:i w:val="0"/>
          <w:color w:val="1E242A"/>
          <w:sz w:val="21"/>
        </w:rPr>
        <w:t>FORMAL RULE.</w:t>
      </w:r>
      <w:r>
        <w:rPr>
          <w:rFonts w:ascii="Arial" w:hAnsi="Arial"/>
          <w:b w:val="0"/>
          <w:i w:val="0"/>
          <w:color w:val="1E242A"/>
          <w:sz w:val="21"/>
        </w:rPr>
        <w:t xml:space="preserve"> Decree-Law 200 distinguishes direct administration—Presidency and ministries—from indirect administration with separate legal personality: autarchies, public enterprises, mixed-capital companies and public foundations. “Linked” or supervised entities are not internal ministry departments. The mode of presidential influence varies: hierarchical direction over direct administration, ministerial supervision, appointment participation, statutory coordination, shareholder rights, or policy/legislative change. </w:t>
      </w:r>
      <w:hyperlink r:id="rId53">
        <w:r>
          <w:rPr>
            <w:color w:val="2C5F80"/>
            <w:u w:val="single"/>
            <w:rFonts w:ascii="Arial" w:hAnsi="Arial"/>
            <w:sz w:val="21"/>
          </w:rPr>
          <w:t>Decree-Law 200/1967</w:t>
        </w:r>
      </w:hyperlink>
      <w:r>
        <w:rPr>
          <w:rFonts w:ascii="Arial" w:hAnsi="Arial"/>
          <w:b w:val="0"/>
          <w:i w:val="0"/>
          <w:color w:val="1E242A"/>
          <w:sz w:val="21"/>
        </w:rPr>
        <w:t>.</w:t>
      </w:r>
    </w:p>
    <w:p>
      <w:pPr>
        <w:pStyle w:val="Heading2"/>
      </w:pPr>
      <w:r>
        <w:rPr>
          <w:rFonts w:ascii="Arial" w:hAnsi="Arial"/>
          <w:b w:val="0"/>
          <w:i w:val="0"/>
          <w:color w:val="2C5F80"/>
          <w:sz w:val="27"/>
        </w:rPr>
        <w:t>7.2 Centre of government and ministries</w:t>
      </w:r>
    </w:p>
    <w:p>
      <w:r>
        <w:rPr>
          <w:rFonts w:ascii="Arial" w:hAnsi="Arial"/>
          <w:b/>
          <w:i w:val="0"/>
          <w:color w:val="1E242A"/>
          <w:sz w:val="21"/>
        </w:rPr>
        <w:t>SCENARIO-SPECIFIC.</w:t>
      </w:r>
      <w:r>
        <w:rPr>
          <w:rFonts w:ascii="Arial" w:hAnsi="Arial"/>
          <w:b w:val="0"/>
          <w:i w:val="0"/>
          <w:color w:val="1E242A"/>
          <w:sz w:val="21"/>
        </w:rPr>
        <w:t xml:space="preserve"> Current basic organization rests principally on Law 14,600/2023 and detailed structure decrees. The Presidency includes Casa Civil, Secretariat-General, Secretariat for Institutional Relations, Social Communication Secretariat, Personal Cabinet and Institutional Security Cabinet, plus advisory councils. Casa Civil coordinates and monitors government action and legislative compatibility; Institutional Relations handles political and federative articulation; AGU provides federal legal representation/advice; CGU performs executive internal control; planning, budget, finance, management and sector ministries supply specialist and delivery capacity. </w:t>
      </w:r>
      <w:hyperlink r:id="rId54">
        <w:r>
          <w:rPr>
            <w:color w:val="2C5F80"/>
            <w:u w:val="single"/>
            <w:rFonts w:ascii="Arial" w:hAnsi="Arial"/>
            <w:sz w:val="21"/>
          </w:rPr>
          <w:t>Law 14,600/2023</w:t>
        </w:r>
      </w:hyperlink>
      <w:r>
        <w:rPr>
          <w:rFonts w:ascii="Arial" w:hAnsi="Arial"/>
          <w:b w:val="0"/>
          <w:i w:val="0"/>
          <w:color w:val="1E242A"/>
          <w:sz w:val="21"/>
        </w:rPr>
        <w:t>.</w:t>
      </w:r>
    </w:p>
    <w:p>
      <w:r>
        <w:rPr>
          <w:rFonts w:ascii="Arial" w:hAnsi="Arial"/>
          <w:b w:val="0"/>
          <w:i w:val="0"/>
          <w:color w:val="1E242A"/>
          <w:sz w:val="21"/>
        </w:rPr>
        <w:t xml:space="preserve">Ministry names and portfolios are politically reorganized and should not be permanent institution identifiers. Durable knowledge should attach functions to legal entities/competences with effective dates; scenario initialization should map the incumbent ministry topology. The OECD notes that the centre of government must coordinate ministries and subnational partners, and that plans do not implement themselves without budgeting, monitoring and vertical cooperation. </w:t>
      </w:r>
      <w:hyperlink r:id="rId52">
        <w:r>
          <w:rPr>
            <w:color w:val="2C5F80"/>
            <w:u w:val="single"/>
            <w:rFonts w:ascii="Arial" w:hAnsi="Arial"/>
            <w:sz w:val="21"/>
          </w:rPr>
          <w:t>OECD Centre of Government Review, 2022</w:t>
        </w:r>
      </w:hyperlink>
      <w:r>
        <w:rPr>
          <w:rFonts w:ascii="Arial" w:hAnsi="Arial"/>
          <w:b w:val="0"/>
          <w:i w:val="0"/>
          <w:color w:val="1E242A"/>
          <w:sz w:val="21"/>
        </w:rPr>
        <w:t>.</w:t>
      </w:r>
    </w:p>
    <w:p>
      <w:pPr>
        <w:pStyle w:val="Heading2"/>
      </w:pPr>
      <w:r>
        <w:rPr>
          <w:rFonts w:ascii="Arial" w:hAnsi="Arial"/>
          <w:b w:val="0"/>
          <w:i w:val="0"/>
          <w:color w:val="2C5F80"/>
          <w:sz w:val="27"/>
        </w:rPr>
        <w:t>7.3 Regulatory agencies</w:t>
      </w:r>
    </w:p>
    <w:p>
      <w:r>
        <w:rPr>
          <w:rFonts w:ascii="Arial" w:hAnsi="Arial"/>
          <w:b/>
          <w:i w:val="0"/>
          <w:color w:val="1E242A"/>
          <w:sz w:val="21"/>
        </w:rPr>
        <w:t>FORMAL RULE.</w:t>
      </w:r>
      <w:r>
        <w:rPr>
          <w:rFonts w:ascii="Arial" w:hAnsi="Arial"/>
          <w:b w:val="0"/>
          <w:i w:val="0"/>
          <w:color w:val="1E242A"/>
          <w:sz w:val="21"/>
        </w:rPr>
        <w:t xml:space="preserve"> Law 13,848 characterizes listed federal regulatory agencies as special autarchies without tutelage or hierarchical subordination, with functional, decisional, administrative and financial autonomy and fixed-term leadership. They remain subject to statutes, courts, TCU, transparency, impact-analysis and accountability rules. Budget dependence can weaken operational autonomy in practice. </w:t>
      </w:r>
      <w:hyperlink r:id="rId55">
        <w:r>
          <w:rPr>
            <w:color w:val="2C5F80"/>
            <w:u w:val="single"/>
            <w:rFonts w:ascii="Arial" w:hAnsi="Arial"/>
            <w:sz w:val="21"/>
          </w:rPr>
          <w:t>Law 13,848/2019</w:t>
        </w:r>
      </w:hyperlink>
      <w:r>
        <w:rPr>
          <w:rFonts w:ascii="Arial" w:hAnsi="Arial"/>
          <w:b w:val="0"/>
          <w:i w:val="0"/>
          <w:color w:val="1E242A"/>
          <w:sz w:val="21"/>
        </w:rPr>
        <w:t xml:space="preserve">; </w:t>
      </w:r>
      <w:hyperlink r:id="rId56">
        <w:r>
          <w:rPr>
            <w:color w:val="2C5F80"/>
            <w:u w:val="single"/>
            <w:rFonts w:ascii="Arial" w:hAnsi="Arial"/>
            <w:sz w:val="21"/>
          </w:rPr>
          <w:t>TCU, agency financial-autonomy audit, 2026</w:t>
        </w:r>
      </w:hyperlink>
      <w:r>
        <w:rPr>
          <w:rFonts w:ascii="Arial" w:hAnsi="Arial"/>
          <w:b w:val="0"/>
          <w:i w:val="0"/>
          <w:color w:val="1E242A"/>
          <w:sz w:val="21"/>
        </w:rPr>
        <w:t>.</w:t>
      </w:r>
    </w:p>
    <w:p>
      <w:r>
        <w:rPr>
          <w:rFonts w:ascii="Arial" w:hAnsi="Arial"/>
          <w:b/>
          <w:i w:val="0"/>
          <w:color w:val="1E242A"/>
          <w:sz w:val="21"/>
        </w:rPr>
        <w:t>Decision relevance.</w:t>
      </w:r>
      <w:r>
        <w:rPr>
          <w:rFonts w:ascii="Arial" w:hAnsi="Arial"/>
          <w:b w:val="0"/>
          <w:i w:val="0"/>
          <w:color w:val="1E242A"/>
          <w:sz w:val="21"/>
        </w:rPr>
        <w:t xml:space="preserve"> Presidential nomination, statutory reform, budget proposal and coordination are possible levers. Direct substitution of a collegial agency’s lawful technical judgment is not. Appointment/removal details differ by enabling statute and must be validated agency by agency.</w:t>
      </w:r>
    </w:p>
    <w:p>
      <w:pPr>
        <w:pStyle w:val="Heading2"/>
      </w:pPr>
      <w:r>
        <w:rPr>
          <w:rFonts w:ascii="Arial" w:hAnsi="Arial"/>
          <w:b w:val="0"/>
          <w:i w:val="0"/>
          <w:color w:val="2C5F80"/>
          <w:sz w:val="27"/>
        </w:rPr>
        <w:t>7.4 Central Bank</w:t>
      </w:r>
    </w:p>
    <w:p>
      <w:r>
        <w:rPr>
          <w:rFonts w:ascii="Arial" w:hAnsi="Arial"/>
          <w:b/>
          <w:i w:val="0"/>
          <w:color w:val="1E242A"/>
          <w:sz w:val="21"/>
        </w:rPr>
        <w:t>FORMAL RULE.</w:t>
      </w:r>
      <w:r>
        <w:rPr>
          <w:rFonts w:ascii="Arial" w:hAnsi="Arial"/>
          <w:b w:val="0"/>
          <w:i w:val="0"/>
          <w:color w:val="1E242A"/>
          <w:sz w:val="21"/>
        </w:rPr>
        <w:t xml:space="preserve"> LC 179/2021 makes price stability the Banco Central’s fundamental objective. The National Monetary Council sets monetary-policy targets; the BCB exclusively conducts the policy needed to meet them. Its president and eight directors are nominated by the President, approved by the Senate, and serve staggered four-year mandates with statutory removal grounds. The BCB is a special autarchy with no ministry link, tutelage or hierarchical subordination and with technical, operational, administrative and financial autonomy. </w:t>
      </w:r>
      <w:hyperlink r:id="rId57">
        <w:r>
          <w:rPr>
            <w:color w:val="2C5F80"/>
            <w:u w:val="single"/>
            <w:rFonts w:ascii="Arial" w:hAnsi="Arial"/>
            <w:sz w:val="21"/>
          </w:rPr>
          <w:t>LC 179/2021</w:t>
        </w:r>
      </w:hyperlink>
      <w:r>
        <w:rPr>
          <w:rFonts w:ascii="Arial" w:hAnsi="Arial"/>
          <w:b w:val="0"/>
          <w:i w:val="0"/>
          <w:color w:val="1E242A"/>
          <w:sz w:val="21"/>
        </w:rPr>
        <w:t>.</w:t>
      </w:r>
    </w:p>
    <w:p>
      <w:r>
        <w:rPr>
          <w:rFonts w:ascii="Arial" w:hAnsi="Arial"/>
          <w:b/>
          <w:i w:val="0"/>
          <w:color w:val="1E242A"/>
          <w:sz w:val="21"/>
        </w:rPr>
        <w:t>Decision relevance.</w:t>
      </w:r>
      <w:r>
        <w:rPr>
          <w:rFonts w:ascii="Arial" w:hAnsi="Arial"/>
          <w:b w:val="0"/>
          <w:i w:val="0"/>
          <w:color w:val="1E242A"/>
          <w:sz w:val="21"/>
        </w:rPr>
        <w:t xml:space="preserve"> The President cannot order a Selic change. Influence operates through CMN target-setting within law, staggered appointments, fiscal policy, legislation and interinstitutional persuasion.</w:t>
      </w:r>
    </w:p>
    <w:p>
      <w:pPr>
        <w:pStyle w:val="Heading2"/>
      </w:pPr>
      <w:r>
        <w:rPr>
          <w:rFonts w:ascii="Arial" w:hAnsi="Arial"/>
          <w:b w:val="0"/>
          <w:i w:val="0"/>
          <w:color w:val="2C5F80"/>
          <w:sz w:val="27"/>
        </w:rPr>
        <w:t>7.5 Constitutionally independent constraints</w:t>
      </w:r>
    </w:p>
    <w:p>
      <w:r>
        <w:rPr>
          <w:rFonts w:ascii="Arial" w:hAnsi="Arial"/>
          <w:b w:val="0"/>
          <w:i w:val="0"/>
          <w:color w:val="1E242A"/>
          <w:sz w:val="21"/>
        </w:rPr>
        <w:t>The Ministério Público is permanent, autonomous and functionally independent; the PGR’s appointment/removal route is shared with the Senate. Public Defenders have functional/administrative autonomy. TCU assists Congress’s external control and has constitutionally assigned audit powers and a mixed appointment route. Congress, judiciary and electoral justice are outside the executive chain. AGU and CGU, by contrast, are executive institutions, although professional/legal duties constrain their operation.</w:t>
      </w:r>
    </w:p>
    <w:p>
      <w:r>
        <w:rPr>
          <w:rFonts w:ascii="Arial" w:hAnsi="Arial"/>
          <w:b w:val="0"/>
          <w:i w:val="0"/>
          <w:color w:val="1E242A"/>
          <w:sz w:val="21"/>
        </w:rPr>
        <w:t xml:space="preserve">State-owned enterprises—such as Petrobras, Banco do Brasil, Caixa and BNDES—can supply finance and delivery capacity but are separate legal persons subject to constitutional principles, corporate objects, sector regulation, governance/procurement law and, where applicable, minority-shareholder rights. They are not ministerial cash accounts. </w:t>
      </w:r>
      <w:hyperlink r:id="rId58">
        <w:r>
          <w:rPr>
            <w:color w:val="2C5F80"/>
            <w:u w:val="single"/>
            <w:rFonts w:ascii="Arial" w:hAnsi="Arial"/>
            <w:sz w:val="21"/>
          </w:rPr>
          <w:t>Law 13,303/2016</w:t>
        </w:r>
      </w:hyperlink>
      <w:r>
        <w:rPr>
          <w:rFonts w:ascii="Arial" w:hAnsi="Arial"/>
          <w:b w:val="0"/>
          <w:i w:val="0"/>
          <w:color w:val="1E242A"/>
          <w:sz w:val="21"/>
        </w:rPr>
        <w:t>.</w:t>
      </w:r>
    </w:p>
    <w:p>
      <w:pPr>
        <w:pStyle w:val="Heading1"/>
      </w:pPr>
      <w:r>
        <w:rPr>
          <w:rFonts w:ascii="Arial" w:hAnsi="Arial"/>
          <w:b w:val="0"/>
          <w:i w:val="0"/>
          <w:color w:val="183752"/>
          <w:sz w:val="34"/>
        </w:rPr>
        <w:t>8. Elections, parties and acquisition of power</w:t>
      </w:r>
    </w:p>
    <w:p>
      <w:pPr>
        <w:pStyle w:val="Heading2"/>
      </w:pPr>
      <w:r>
        <w:rPr>
          <w:rFonts w:ascii="Arial" w:hAnsi="Arial"/>
          <w:b w:val="0"/>
          <w:i w:val="0"/>
          <w:color w:val="2C5F80"/>
          <w:sz w:val="27"/>
        </w:rPr>
        <w:t>8.1 Executive and legislative elections</w:t>
      </w:r>
    </w:p>
    <w:p>
      <w:r>
        <w:rPr>
          <w:rFonts w:ascii="Arial" w:hAnsi="Arial"/>
          <w:b/>
          <w:i w:val="0"/>
          <w:color w:val="1E242A"/>
          <w:sz w:val="21"/>
        </w:rPr>
        <w:t>FORMAL RULE.</w:t>
      </w:r>
      <w:r>
        <w:rPr>
          <w:rFonts w:ascii="Arial" w:hAnsi="Arial"/>
          <w:b w:val="0"/>
          <w:i w:val="0"/>
          <w:color w:val="1E242A"/>
          <w:sz w:val="21"/>
        </w:rPr>
        <w:t xml:space="preserve"> The President and Vice-President are elected as a joint ticket for four years. A candidate requires an absolute majority of valid votes; otherwise the top two contest a runoff. One consecutive reelection is permitted. Deputies serve four years with unlimited reelection. Senators serve eight, with alternating renewal. Brazil uses majority systems for executive offices and Senate, and proportional representation for the Chamber and other legislatures. </w:t>
      </w:r>
      <w:hyperlink r:id="rId59">
        <w:r>
          <w:rPr>
            <w:color w:val="2C5F80"/>
            <w:u w:val="single"/>
            <w:rFonts w:ascii="Arial" w:hAnsi="Arial"/>
            <w:sz w:val="21"/>
          </w:rPr>
          <w:t>Election Law 9,504/1997</w:t>
        </w:r>
      </w:hyperlink>
      <w:r>
        <w:rPr>
          <w:rFonts w:ascii="Arial" w:hAnsi="Arial"/>
          <w:b w:val="0"/>
          <w:i w:val="0"/>
          <w:color w:val="1E242A"/>
          <w:sz w:val="21"/>
        </w:rPr>
        <w:t xml:space="preserve">; </w:t>
      </w:r>
      <w:hyperlink r:id="rId60">
        <w:r>
          <w:rPr>
            <w:color w:val="2C5F80"/>
            <w:u w:val="single"/>
            <w:rFonts w:ascii="Arial" w:hAnsi="Arial"/>
            <w:sz w:val="21"/>
          </w:rPr>
          <w:t>TSE electoral-systems guide, 2026</w:t>
        </w:r>
      </w:hyperlink>
      <w:r>
        <w:rPr>
          <w:rFonts w:ascii="Arial" w:hAnsi="Arial"/>
          <w:b w:val="0"/>
          <w:i w:val="0"/>
          <w:color w:val="1E242A"/>
          <w:sz w:val="21"/>
        </w:rPr>
        <w:t>.</w:t>
      </w:r>
    </w:p>
    <w:p>
      <w:r>
        <w:rPr>
          <w:rFonts w:ascii="Arial" w:hAnsi="Arial"/>
          <w:b w:val="0"/>
          <w:i w:val="0"/>
          <w:color w:val="1E242A"/>
          <w:sz w:val="21"/>
        </w:rPr>
        <w:t>The President receives an independent national mandate but no guaranteed legislative majority. Election simultaneity does not create fused party government: voters may support different parties for President, deputy and senator.</w:t>
      </w:r>
    </w:p>
    <w:p>
      <w:pPr>
        <w:pStyle w:val="Heading2"/>
      </w:pPr>
      <w:r>
        <w:rPr>
          <w:rFonts w:ascii="Arial" w:hAnsi="Arial"/>
          <w:b w:val="0"/>
          <w:i w:val="0"/>
          <w:color w:val="2C5F80"/>
          <w:sz w:val="27"/>
        </w:rPr>
        <w:t>8.2 Open-list proportional representation</w:t>
      </w:r>
    </w:p>
    <w:p>
      <w:r>
        <w:rPr>
          <w:rFonts w:ascii="Arial" w:hAnsi="Arial"/>
          <w:b/>
          <w:i w:val="0"/>
          <w:color w:val="1E242A"/>
          <w:sz w:val="21"/>
        </w:rPr>
        <w:t>FORMAL RULE.</w:t>
      </w:r>
      <w:r>
        <w:rPr>
          <w:rFonts w:ascii="Arial" w:hAnsi="Arial"/>
          <w:b w:val="0"/>
          <w:i w:val="0"/>
          <w:color w:val="1E242A"/>
          <w:sz w:val="21"/>
        </w:rPr>
        <w:t xml:space="preserve"> Each state/DF is a Chamber constituency. Seats are first allocated to parties/federations using electoral and party quotients, then to candidates by personal votes within the list. Candidates occupying quotient seats ordinarily need at least 10% of the electoral quotient. STF decisions in ADIs 7228/7263/7325 altered participation in the final remainder-seat stage, allowing broader participation after statutory thresholds prevented complete allocation. </w:t>
      </w:r>
      <w:hyperlink r:id="rId61">
        <w:r>
          <w:rPr>
            <w:color w:val="2C5F80"/>
            <w:u w:val="single"/>
            <w:rFonts w:ascii="Arial" w:hAnsi="Arial"/>
            <w:sz w:val="21"/>
          </w:rPr>
          <w:t>TSE consolidated Electoral Code, arts. 106-109</w:t>
        </w:r>
      </w:hyperlink>
      <w:r>
        <w:rPr>
          <w:rFonts w:ascii="Arial" w:hAnsi="Arial"/>
          <w:b w:val="0"/>
          <w:i w:val="0"/>
          <w:color w:val="1E242A"/>
          <w:sz w:val="21"/>
        </w:rPr>
        <w:t>.</w:t>
      </w:r>
    </w:p>
    <w:p>
      <w:r>
        <w:rPr>
          <w:rFonts w:ascii="Arial" w:hAnsi="Arial"/>
          <w:b/>
          <w:i w:val="0"/>
          <w:color w:val="1E242A"/>
          <w:sz w:val="21"/>
        </w:rPr>
        <w:t>Political implication.</w:t>
      </w:r>
      <w:r>
        <w:rPr>
          <w:rFonts w:ascii="Arial" w:hAnsi="Arial"/>
          <w:b w:val="0"/>
          <w:i w:val="0"/>
          <w:color w:val="1E242A"/>
          <w:sz w:val="21"/>
        </w:rPr>
        <w:t xml:space="preserve"> Deputies depend on both party/federation votes and personal electoral bases. This can sustain individualized campaigning while internal congressional rules strengthen leaders after election.</w:t>
      </w:r>
    </w:p>
    <w:p>
      <w:pPr>
        <w:pStyle w:val="Heading2"/>
      </w:pPr>
      <w:r>
        <w:rPr>
          <w:rFonts w:ascii="Arial" w:hAnsi="Arial"/>
          <w:b w:val="0"/>
          <w:i w:val="0"/>
          <w:color w:val="2C5F80"/>
          <w:sz w:val="27"/>
        </w:rPr>
        <w:t>8.3 Parties, coalitions and federations</w:t>
      </w:r>
    </w:p>
    <w:p>
      <w:r>
        <w:rPr>
          <w:rFonts w:ascii="Arial" w:hAnsi="Arial"/>
          <w:b/>
          <w:i w:val="0"/>
          <w:color w:val="1E242A"/>
          <w:sz w:val="21"/>
        </w:rPr>
        <w:t>FORMAL RULE.</w:t>
      </w:r>
      <w:r>
        <w:rPr>
          <w:rFonts w:ascii="Arial" w:hAnsi="Arial"/>
          <w:b w:val="0"/>
          <w:i w:val="0"/>
          <w:color w:val="1E242A"/>
          <w:sz w:val="21"/>
        </w:rPr>
        <w:t xml:space="preserve"> Parties are nationally organized private-law entities with constitutional autonomy. EC 97/2017 abolished proportional-election coalitions; majoritarian coalitions remain. Law 14,208/2021 permits federations of at least two parties, which act as one national association across elections and legislatures for at least four years. A federation is therefore more durable and constraining than an election-only coalition. </w:t>
      </w:r>
      <w:hyperlink r:id="rId62">
        <w:r>
          <w:rPr>
            <w:color w:val="2C5F80"/>
            <w:u w:val="single"/>
            <w:rFonts w:ascii="Arial" w:hAnsi="Arial"/>
            <w:sz w:val="21"/>
          </w:rPr>
          <w:t>TSE federation rules</w:t>
        </w:r>
      </w:hyperlink>
      <w:r>
        <w:rPr>
          <w:rFonts w:ascii="Arial" w:hAnsi="Arial"/>
          <w:b w:val="0"/>
          <w:i w:val="0"/>
          <w:color w:val="1E242A"/>
          <w:sz w:val="21"/>
        </w:rPr>
        <w:t>.</w:t>
      </w:r>
    </w:p>
    <w:p>
      <w:r>
        <w:rPr>
          <w:rFonts w:ascii="Arial" w:hAnsi="Arial"/>
          <w:b/>
          <w:i w:val="0"/>
          <w:color w:val="1E242A"/>
          <w:sz w:val="21"/>
        </w:rPr>
        <w:t>SCENARIO-SPECIFIC.</w:t>
      </w:r>
      <w:r>
        <w:rPr>
          <w:rFonts w:ascii="Arial" w:hAnsi="Arial"/>
          <w:b w:val="0"/>
          <w:i w:val="0"/>
          <w:color w:val="1E242A"/>
          <w:sz w:val="21"/>
        </w:rPr>
        <w:t xml:space="preserve"> For the legislature following the 2026 election, access to Party Fund resources and free broadcast time uses the EC 97 transitional performance threshold: either 2.5% of valid national Chamber votes, with 1.5% in at least one-third of federation units, or at least 13 deputies elected in at least one-third of units. A legislator from a nonqualifying party retains the mandate and may join a qualifying party under the constitutional rule. </w:t>
      </w:r>
      <w:hyperlink r:id="rId63">
        <w:r>
          <w:rPr>
            <w:color w:val="2C5F80"/>
            <w:u w:val="single"/>
            <w:rFonts w:ascii="Arial" w:hAnsi="Arial"/>
            <w:sz w:val="21"/>
          </w:rPr>
          <w:t>TSE, 2026 performance clause</w:t>
        </w:r>
      </w:hyperlink>
      <w:r>
        <w:rPr>
          <w:rFonts w:ascii="Arial" w:hAnsi="Arial"/>
          <w:b w:val="0"/>
          <w:i w:val="0"/>
          <w:color w:val="1E242A"/>
          <w:sz w:val="21"/>
        </w:rPr>
        <w:t>.</w:t>
      </w:r>
    </w:p>
    <w:p>
      <w:r>
        <w:rPr>
          <w:rFonts w:ascii="Arial" w:hAnsi="Arial"/>
          <w:b/>
          <w:i w:val="0"/>
          <w:color w:val="1E242A"/>
          <w:sz w:val="21"/>
        </w:rPr>
        <w:t>FORMAL RULE — Party fidelity.</w:t>
      </w:r>
      <w:r>
        <w:rPr>
          <w:rFonts w:ascii="Arial" w:hAnsi="Arial"/>
          <w:b w:val="0"/>
          <w:i w:val="0"/>
          <w:color w:val="1E242A"/>
          <w:sz w:val="21"/>
        </w:rPr>
        <w:t xml:space="preserve"> Proportionally elected legislators generally lose their mandate if they leave the party without consent or statutory just cause. Just causes include substantial programme change/repeated deviation, serious personal political discrimination, and the statutory party-switch window. Majoritarian mandates are treated differently. </w:t>
      </w:r>
      <w:hyperlink r:id="rId64">
        <w:r>
          <w:rPr>
            <w:color w:val="2C5F80"/>
            <w:u w:val="single"/>
            <w:rFonts w:ascii="Arial" w:hAnsi="Arial"/>
            <w:sz w:val="21"/>
          </w:rPr>
          <w:t>TSE Party Law</w:t>
        </w:r>
      </w:hyperlink>
      <w:r>
        <w:rPr>
          <w:rFonts w:ascii="Arial" w:hAnsi="Arial"/>
          <w:b w:val="0"/>
          <w:i w:val="0"/>
          <w:color w:val="1E242A"/>
          <w:sz w:val="21"/>
        </w:rPr>
        <w:t>.</w:t>
      </w:r>
    </w:p>
    <w:p>
      <w:r>
        <w:rPr>
          <w:rFonts w:ascii="Arial" w:hAnsi="Arial"/>
          <w:b/>
          <w:i w:val="0"/>
          <w:color w:val="1E242A"/>
          <w:sz w:val="21"/>
        </w:rPr>
        <w:t>Decision relevance.</w:t>
      </w:r>
      <w:r>
        <w:rPr>
          <w:rFonts w:ascii="Arial" w:hAnsi="Arial"/>
          <w:b w:val="0"/>
          <w:i w:val="0"/>
          <w:color w:val="1E242A"/>
          <w:sz w:val="21"/>
        </w:rPr>
        <w:t xml:space="preserve"> Electoral coalitions, federations, cabinet coalitions and roll-call support are four different relationships. A plausible adviser must not infer one from another.</w:t>
      </w:r>
    </w:p>
    <w:p>
      <w:pPr>
        <w:pStyle w:val="Heading1"/>
      </w:pPr>
      <w:r>
        <w:rPr>
          <w:rFonts w:ascii="Arial" w:hAnsi="Arial"/>
          <w:b w:val="0"/>
          <w:i w:val="0"/>
          <w:color w:val="183752"/>
          <w:sz w:val="34"/>
        </w:rPr>
        <w:t>9. Consolidated government action instruments</w:t>
      </w:r>
    </w:p>
    <w:p>
      <w:r>
        <w:rPr>
          <w:rFonts w:ascii="Arial" w:hAnsi="Arial"/>
          <w:b w:val="0"/>
          <w:i w:val="0"/>
          <w:color w:val="1E242A"/>
          <w:sz w:val="21"/>
        </w:rPr>
        <w:t>These are research findings about legally or politically available routes, not proposed game mechanics.</w:t>
      </w:r>
    </w:p>
    <w:p>
      <w:pPr>
        <w:pStyle w:val="ListNumber"/>
        <w:numPr>
          <w:ilvl w:val="0"/>
          <w:numId w:val="3"/>
        </w:numPr>
      </w:pPr>
      <w:r>
        <w:rPr>
          <w:rFonts w:ascii="Arial" w:hAnsi="Arial"/>
          <w:b/>
          <w:i w:val="0"/>
          <w:color w:val="1E242A"/>
          <w:sz w:val="20"/>
        </w:rPr>
        <w:t>Presidential ordinary-law bill</w:t>
      </w:r>
      <w:r>
        <w:rPr>
          <w:rFonts w:ascii="Arial" w:hAnsi="Arial"/>
          <w:b w:val="0"/>
          <w:i w:val="0"/>
          <w:color w:val="1E242A"/>
          <w:sz w:val="20"/>
        </w:rPr>
        <w:t xml:space="preserve"> — general durable legislation; both houses; simple voting majority with absolute-majority presence; sanction/veto stage.</w:t>
      </w:r>
    </w:p>
    <w:p>
      <w:pPr>
        <w:pStyle w:val="ListNumber"/>
        <w:numPr>
          <w:ilvl w:val="0"/>
          <w:numId w:val="3"/>
        </w:numPr>
      </w:pPr>
      <w:r>
        <w:rPr>
          <w:rFonts w:ascii="Arial" w:hAnsi="Arial"/>
          <w:b/>
          <w:i w:val="0"/>
          <w:color w:val="1E242A"/>
          <w:sz w:val="20"/>
        </w:rPr>
        <w:t>Presidential complementary-law bill</w:t>
      </w:r>
      <w:r>
        <w:rPr>
          <w:rFonts w:ascii="Arial" w:hAnsi="Arial"/>
          <w:b w:val="0"/>
          <w:i w:val="0"/>
          <w:color w:val="1E242A"/>
          <w:sz w:val="20"/>
        </w:rPr>
        <w:t xml:space="preserve"> — constitutionally reserved subjects; affirmative absolute majority in both houses.</w:t>
      </w:r>
    </w:p>
    <w:p>
      <w:pPr>
        <w:pStyle w:val="ListNumber"/>
        <w:numPr>
          <w:ilvl w:val="0"/>
          <w:numId w:val="3"/>
        </w:numPr>
      </w:pPr>
      <w:r>
        <w:rPr>
          <w:rFonts w:ascii="Arial" w:hAnsi="Arial"/>
          <w:b/>
          <w:i w:val="0"/>
          <w:color w:val="1E242A"/>
          <w:sz w:val="20"/>
        </w:rPr>
        <w:t>Presidential bill with art. 64 urgency</w:t>
      </w:r>
      <w:r>
        <w:rPr>
          <w:rFonts w:ascii="Arial" w:hAnsi="Arial"/>
          <w:b w:val="0"/>
          <w:i w:val="0"/>
          <w:color w:val="1E242A"/>
          <w:sz w:val="20"/>
        </w:rPr>
        <w:t xml:space="preserve"> — presidential bill plus agenda deadlines; no immediate force of law.</w:t>
      </w:r>
    </w:p>
    <w:p>
      <w:pPr>
        <w:pStyle w:val="ListNumber"/>
        <w:numPr>
          <w:ilvl w:val="0"/>
          <w:numId w:val="3"/>
        </w:numPr>
      </w:pPr>
      <w:r>
        <w:rPr>
          <w:rFonts w:ascii="Arial" w:hAnsi="Arial"/>
          <w:b/>
          <w:i w:val="0"/>
          <w:color w:val="1E242A"/>
          <w:sz w:val="20"/>
        </w:rPr>
        <w:t>Provisional measure</w:t>
      </w:r>
      <w:r>
        <w:rPr>
          <w:rFonts w:ascii="Arial" w:hAnsi="Arial"/>
          <w:b w:val="0"/>
          <w:i w:val="0"/>
          <w:color w:val="1E242A"/>
          <w:sz w:val="20"/>
        </w:rPr>
        <w:t xml:space="preserve"> — immediate temporary force for relevant/urgent ordinary-law matter; subject exclusions, mixed committee, chamber votes, expiry and review.</w:t>
      </w:r>
    </w:p>
    <w:p>
      <w:pPr>
        <w:pStyle w:val="ListNumber"/>
        <w:numPr>
          <w:ilvl w:val="0"/>
          <w:numId w:val="3"/>
        </w:numPr>
      </w:pPr>
      <w:r>
        <w:rPr>
          <w:rFonts w:ascii="Arial" w:hAnsi="Arial"/>
          <w:b/>
          <w:i w:val="0"/>
          <w:color w:val="1E242A"/>
          <w:sz w:val="20"/>
        </w:rPr>
        <w:t>Presidential PEC proposal</w:t>
      </w:r>
      <w:r>
        <w:rPr>
          <w:rFonts w:ascii="Arial" w:hAnsi="Arial"/>
          <w:b w:val="0"/>
          <w:i w:val="0"/>
          <w:color w:val="1E242A"/>
          <w:sz w:val="20"/>
        </w:rPr>
        <w:t xml:space="preserve"> — initiates constitutional change; two rounds/three-fifths each house; Congress promulgates.</w:t>
      </w:r>
    </w:p>
    <w:p>
      <w:pPr>
        <w:pStyle w:val="ListNumber"/>
        <w:numPr>
          <w:ilvl w:val="0"/>
          <w:numId w:val="3"/>
        </w:numPr>
      </w:pPr>
      <w:r>
        <w:rPr>
          <w:rFonts w:ascii="Arial" w:hAnsi="Arial"/>
          <w:b/>
          <w:i w:val="0"/>
          <w:color w:val="1E242A"/>
          <w:sz w:val="20"/>
        </w:rPr>
        <w:t>Regulatory decree</w:t>
      </w:r>
      <w:r>
        <w:rPr>
          <w:rFonts w:ascii="Arial" w:hAnsi="Arial"/>
          <w:b w:val="0"/>
          <w:i w:val="0"/>
          <w:color w:val="1E242A"/>
          <w:sz w:val="20"/>
        </w:rPr>
        <w:t xml:space="preserve"> — faithfully implements existing law; cannot legislate independently.</w:t>
      </w:r>
    </w:p>
    <w:p>
      <w:pPr>
        <w:pStyle w:val="ListNumber"/>
        <w:numPr>
          <w:ilvl w:val="0"/>
          <w:numId w:val="3"/>
        </w:numPr>
      </w:pPr>
      <w:r>
        <w:rPr>
          <w:rFonts w:ascii="Arial" w:hAnsi="Arial"/>
          <w:b/>
          <w:i w:val="0"/>
          <w:color w:val="1E242A"/>
          <w:sz w:val="20"/>
        </w:rPr>
        <w:t>Art. 84 VI autonomous decree</w:t>
      </w:r>
      <w:r>
        <w:rPr>
          <w:rFonts w:ascii="Arial" w:hAnsi="Arial"/>
          <w:b w:val="0"/>
          <w:i w:val="0"/>
          <w:color w:val="1E242A"/>
          <w:sz w:val="20"/>
        </w:rPr>
        <w:t xml:space="preserve"> — limited internal organization without spending/body creation/abolition; may abolish vacant functions/posts.</w:t>
      </w:r>
    </w:p>
    <w:p>
      <w:pPr>
        <w:pStyle w:val="ListNumber"/>
        <w:numPr>
          <w:ilvl w:val="0"/>
          <w:numId w:val="3"/>
        </w:numPr>
      </w:pPr>
      <w:r>
        <w:rPr>
          <w:rFonts w:ascii="Arial" w:hAnsi="Arial"/>
          <w:b/>
          <w:i w:val="0"/>
          <w:color w:val="1E242A"/>
          <w:sz w:val="20"/>
        </w:rPr>
        <w:t>Ministerial instruction or administrative act</w:t>
      </w:r>
      <w:r>
        <w:rPr>
          <w:rFonts w:ascii="Arial" w:hAnsi="Arial"/>
          <w:b w:val="0"/>
          <w:i w:val="0"/>
          <w:color w:val="1E242A"/>
          <w:sz w:val="20"/>
        </w:rPr>
        <w:t xml:space="preserve"> — within statute, decree and delegated portfolio authority.</w:t>
      </w:r>
    </w:p>
    <w:p>
      <w:pPr>
        <w:pStyle w:val="ListNumber"/>
        <w:numPr>
          <w:ilvl w:val="0"/>
          <w:numId w:val="3"/>
        </w:numPr>
      </w:pPr>
      <w:r>
        <w:rPr>
          <w:rFonts w:ascii="Arial" w:hAnsi="Arial"/>
          <w:b/>
          <w:i w:val="0"/>
          <w:color w:val="1E242A"/>
          <w:sz w:val="20"/>
        </w:rPr>
        <w:t>Independent-agency regulation</w:t>
      </w:r>
      <w:r>
        <w:rPr>
          <w:rFonts w:ascii="Arial" w:hAnsi="Arial"/>
          <w:b w:val="0"/>
          <w:i w:val="0"/>
          <w:color w:val="1E242A"/>
          <w:sz w:val="20"/>
        </w:rPr>
        <w:t xml:space="preserve"> — adopted by competent statutory regulator; president may influence through lawful appointment/policy/legislation, not hierarchical command.</w:t>
      </w:r>
    </w:p>
    <w:p>
      <w:pPr>
        <w:pStyle w:val="ListNumber"/>
        <w:numPr>
          <w:ilvl w:val="0"/>
          <w:numId w:val="3"/>
        </w:numPr>
      </w:pPr>
      <w:r>
        <w:rPr>
          <w:rFonts w:ascii="Arial" w:hAnsi="Arial"/>
          <w:b/>
          <w:i w:val="0"/>
          <w:color w:val="1E242A"/>
          <w:sz w:val="20"/>
        </w:rPr>
        <w:t>Sanction or total/partial veto</w:t>
      </w:r>
      <w:r>
        <w:rPr>
          <w:rFonts w:ascii="Arial" w:hAnsi="Arial"/>
          <w:b w:val="0"/>
          <w:i w:val="0"/>
          <w:color w:val="1E242A"/>
          <w:sz w:val="20"/>
        </w:rPr>
        <w:t xml:space="preserve"> — within 15 working days; overrideable by absolute majorities in both chambers.</w:t>
      </w:r>
    </w:p>
    <w:p>
      <w:pPr>
        <w:pStyle w:val="ListNumber"/>
        <w:numPr>
          <w:ilvl w:val="0"/>
          <w:numId w:val="3"/>
        </w:numPr>
      </w:pPr>
      <w:r>
        <w:rPr>
          <w:rFonts w:ascii="Arial" w:hAnsi="Arial"/>
          <w:b/>
          <w:i w:val="0"/>
          <w:color w:val="1E242A"/>
          <w:sz w:val="20"/>
        </w:rPr>
        <w:t>Direct political appointment/dismissal</w:t>
      </w:r>
      <w:r>
        <w:rPr>
          <w:rFonts w:ascii="Arial" w:hAnsi="Arial"/>
          <w:b w:val="0"/>
          <w:i w:val="0"/>
          <w:color w:val="1E242A"/>
          <w:sz w:val="20"/>
        </w:rPr>
        <w:t xml:space="preserve"> — ministers and applicable at-will offices.</w:t>
      </w:r>
    </w:p>
    <w:p>
      <w:pPr>
        <w:pStyle w:val="ListNumber"/>
        <w:numPr>
          <w:ilvl w:val="0"/>
          <w:numId w:val="3"/>
        </w:numPr>
      </w:pPr>
      <w:r>
        <w:rPr>
          <w:rFonts w:ascii="Arial" w:hAnsi="Arial"/>
          <w:b/>
          <w:i w:val="0"/>
          <w:color w:val="1E242A"/>
          <w:sz w:val="20"/>
        </w:rPr>
        <w:t>Nomination requiring Senate approval</w:t>
      </w:r>
      <w:r>
        <w:rPr>
          <w:rFonts w:ascii="Arial" w:hAnsi="Arial"/>
          <w:b w:val="0"/>
          <w:i w:val="0"/>
          <w:color w:val="1E242A"/>
          <w:sz w:val="20"/>
        </w:rPr>
        <w:t xml:space="preserve"> — STF/other courts, PGR, BCB, ambassadors and statutory offices; vacancy and tenure constraints.</w:t>
      </w:r>
    </w:p>
    <w:p>
      <w:pPr>
        <w:pStyle w:val="ListNumber"/>
        <w:numPr>
          <w:ilvl w:val="0"/>
          <w:numId w:val="3"/>
        </w:numPr>
      </w:pPr>
      <w:r>
        <w:rPr>
          <w:rFonts w:ascii="Arial" w:hAnsi="Arial"/>
          <w:b/>
          <w:i w:val="0"/>
          <w:color w:val="1E242A"/>
          <w:sz w:val="20"/>
        </w:rPr>
        <w:t>PPA proposal</w:t>
      </w:r>
      <w:r>
        <w:rPr>
          <w:rFonts w:ascii="Arial" w:hAnsi="Arial"/>
          <w:b w:val="0"/>
          <w:i w:val="0"/>
          <w:color w:val="1E242A"/>
          <w:sz w:val="20"/>
        </w:rPr>
        <w:t xml:space="preserve"> — medium-term government programmes and goals.</w:t>
      </w:r>
    </w:p>
    <w:p>
      <w:pPr>
        <w:pStyle w:val="ListNumber"/>
        <w:numPr>
          <w:ilvl w:val="0"/>
          <w:numId w:val="3"/>
        </w:numPr>
      </w:pPr>
      <w:r>
        <w:rPr>
          <w:rFonts w:ascii="Arial" w:hAnsi="Arial"/>
          <w:b/>
          <w:i w:val="0"/>
          <w:color w:val="1E242A"/>
          <w:sz w:val="20"/>
        </w:rPr>
        <w:t>LDO proposal</w:t>
      </w:r>
      <w:r>
        <w:rPr>
          <w:rFonts w:ascii="Arial" w:hAnsi="Arial"/>
          <w:b w:val="0"/>
          <w:i w:val="0"/>
          <w:color w:val="1E242A"/>
          <w:sz w:val="20"/>
        </w:rPr>
        <w:t xml:space="preserve"> — annual priorities and budget/fiscal instructions.</w:t>
      </w:r>
    </w:p>
    <w:p>
      <w:pPr>
        <w:pStyle w:val="ListNumber"/>
        <w:numPr>
          <w:ilvl w:val="0"/>
          <w:numId w:val="3"/>
        </w:numPr>
      </w:pPr>
      <w:r>
        <w:rPr>
          <w:rFonts w:ascii="Arial" w:hAnsi="Arial"/>
          <w:b/>
          <w:i w:val="0"/>
          <w:color w:val="1E242A"/>
          <w:sz w:val="20"/>
        </w:rPr>
        <w:t>LOA proposal and execution</w:t>
      </w:r>
      <w:r>
        <w:rPr>
          <w:rFonts w:ascii="Arial" w:hAnsi="Arial"/>
          <w:b w:val="0"/>
          <w:i w:val="0"/>
          <w:color w:val="1E242A"/>
          <w:sz w:val="20"/>
        </w:rPr>
        <w:t xml:space="preserve"> — annual authorization, amended by Congress and constrained by mandatory execution/fiscal rules.</w:t>
      </w:r>
    </w:p>
    <w:p>
      <w:pPr>
        <w:pStyle w:val="ListNumber"/>
        <w:numPr>
          <w:ilvl w:val="0"/>
          <w:numId w:val="3"/>
        </w:numPr>
      </w:pPr>
      <w:r>
        <w:rPr>
          <w:rFonts w:ascii="Arial" w:hAnsi="Arial"/>
          <w:b/>
          <w:i w:val="0"/>
          <w:color w:val="1E242A"/>
          <w:sz w:val="20"/>
        </w:rPr>
        <w:t>Additional-credit proposal</w:t>
      </w:r>
      <w:r>
        <w:rPr>
          <w:rFonts w:ascii="Arial" w:hAnsi="Arial"/>
          <w:b w:val="0"/>
          <w:i w:val="0"/>
          <w:color w:val="1E242A"/>
          <w:sz w:val="20"/>
        </w:rPr>
        <w:t xml:space="preserve"> — adds/changes appropriation through applicable law.</w:t>
      </w:r>
    </w:p>
    <w:p>
      <w:pPr>
        <w:pStyle w:val="ListNumber"/>
        <w:numPr>
          <w:ilvl w:val="0"/>
          <w:numId w:val="3"/>
        </w:numPr>
      </w:pPr>
      <w:r>
        <w:rPr>
          <w:rFonts w:ascii="Arial" w:hAnsi="Arial"/>
          <w:b/>
          <w:i w:val="0"/>
          <w:color w:val="1E242A"/>
          <w:sz w:val="20"/>
        </w:rPr>
        <w:t>Extraordinary credit by MP</w:t>
      </w:r>
      <w:r>
        <w:rPr>
          <w:rFonts w:ascii="Arial" w:hAnsi="Arial"/>
          <w:b w:val="0"/>
          <w:i w:val="0"/>
          <w:color w:val="1E242A"/>
          <w:sz w:val="20"/>
        </w:rPr>
        <w:t xml:space="preserve"> — only unforeseeable and urgent qualifying expenditure.</w:t>
      </w:r>
    </w:p>
    <w:p>
      <w:pPr>
        <w:pStyle w:val="ListNumber"/>
        <w:numPr>
          <w:ilvl w:val="0"/>
          <w:numId w:val="3"/>
        </w:numPr>
      </w:pPr>
      <w:r>
        <w:rPr>
          <w:rFonts w:ascii="Arial" w:hAnsi="Arial"/>
          <w:b/>
          <w:i w:val="0"/>
          <w:color w:val="1E242A"/>
          <w:sz w:val="20"/>
        </w:rPr>
        <w:t>Tax legislation proposal</w:t>
      </w:r>
      <w:r>
        <w:rPr>
          <w:rFonts w:ascii="Arial" w:hAnsi="Arial"/>
          <w:b w:val="0"/>
          <w:i w:val="0"/>
          <w:color w:val="1E242A"/>
          <w:sz w:val="20"/>
        </w:rPr>
        <w:t xml:space="preserve"> — creates/changes taxes where statute or complementary law required.</w:t>
      </w:r>
    </w:p>
    <w:p>
      <w:pPr>
        <w:pStyle w:val="ListNumber"/>
        <w:numPr>
          <w:ilvl w:val="0"/>
          <w:numId w:val="3"/>
        </w:numPr>
      </w:pPr>
      <w:r>
        <w:rPr>
          <w:rFonts w:ascii="Arial" w:hAnsi="Arial"/>
          <w:b/>
          <w:i w:val="0"/>
          <w:color w:val="1E242A"/>
          <w:sz w:val="20"/>
        </w:rPr>
        <w:t>Constitutionally authorized federal-rate adjustment</w:t>
      </w:r>
      <w:r>
        <w:rPr>
          <w:rFonts w:ascii="Arial" w:hAnsi="Arial"/>
          <w:b w:val="0"/>
          <w:i w:val="0"/>
          <w:color w:val="1E242A"/>
          <w:sz w:val="20"/>
        </w:rPr>
        <w:t xml:space="preserve"> — limited taxes and statutory bounds.</w:t>
      </w:r>
    </w:p>
    <w:p>
      <w:pPr>
        <w:pStyle w:val="ListNumber"/>
        <w:numPr>
          <w:ilvl w:val="0"/>
          <w:numId w:val="3"/>
        </w:numPr>
      </w:pPr>
      <w:r>
        <w:rPr>
          <w:rFonts w:ascii="Arial" w:hAnsi="Arial"/>
          <w:b/>
          <w:i w:val="0"/>
          <w:color w:val="1E242A"/>
          <w:sz w:val="20"/>
        </w:rPr>
        <w:t>National/general norm in concurrent field</w:t>
      </w:r>
      <w:r>
        <w:rPr>
          <w:rFonts w:ascii="Arial" w:hAnsi="Arial"/>
          <w:b w:val="0"/>
          <w:i w:val="0"/>
          <w:color w:val="1E242A"/>
          <w:sz w:val="20"/>
        </w:rPr>
        <w:t xml:space="preserve"> — federal standard leaving subnational supplementation/execution.</w:t>
      </w:r>
    </w:p>
    <w:p>
      <w:pPr>
        <w:pStyle w:val="ListNumber"/>
        <w:numPr>
          <w:ilvl w:val="0"/>
          <w:numId w:val="3"/>
        </w:numPr>
      </w:pPr>
      <w:r>
        <w:rPr>
          <w:rFonts w:ascii="Arial" w:hAnsi="Arial"/>
          <w:b/>
          <w:i w:val="0"/>
          <w:color w:val="1E242A"/>
          <w:sz w:val="20"/>
        </w:rPr>
        <w:t>Direct federal service, procurement or concession</w:t>
      </w:r>
      <w:r>
        <w:rPr>
          <w:rFonts w:ascii="Arial" w:hAnsi="Arial"/>
          <w:b w:val="0"/>
          <w:i w:val="0"/>
          <w:color w:val="1E242A"/>
          <w:sz w:val="20"/>
        </w:rPr>
        <w:t xml:space="preserve"> — only within Union jurisdiction, appropriation and sector law.</w:t>
      </w:r>
    </w:p>
    <w:p>
      <w:pPr>
        <w:pStyle w:val="ListNumber"/>
        <w:numPr>
          <w:ilvl w:val="0"/>
          <w:numId w:val="3"/>
        </w:numPr>
      </w:pPr>
      <w:r>
        <w:rPr>
          <w:rFonts w:ascii="Arial" w:hAnsi="Arial"/>
          <w:b/>
          <w:i w:val="0"/>
          <w:color w:val="1E242A"/>
          <w:sz w:val="20"/>
        </w:rPr>
        <w:t>Constitutional/legal transfer</w:t>
      </w:r>
      <w:r>
        <w:rPr>
          <w:rFonts w:ascii="Arial" w:hAnsi="Arial"/>
          <w:b w:val="0"/>
          <w:i w:val="0"/>
          <w:color w:val="1E242A"/>
          <w:sz w:val="20"/>
        </w:rPr>
        <w:t xml:space="preserve"> — formula/statute-bound, not discretionary bargaining.</w:t>
      </w:r>
    </w:p>
    <w:p>
      <w:pPr>
        <w:pStyle w:val="ListNumber"/>
        <w:numPr>
          <w:ilvl w:val="0"/>
          <w:numId w:val="3"/>
        </w:numPr>
      </w:pPr>
      <w:r>
        <w:rPr>
          <w:rFonts w:ascii="Arial" w:hAnsi="Arial"/>
          <w:b/>
          <w:i w:val="0"/>
          <w:color w:val="1E242A"/>
          <w:sz w:val="20"/>
        </w:rPr>
        <w:t>Voluntary or sectoral transfer/agreement</w:t>
      </w:r>
      <w:r>
        <w:rPr>
          <w:rFonts w:ascii="Arial" w:hAnsi="Arial"/>
          <w:b w:val="0"/>
          <w:i w:val="0"/>
          <w:color w:val="1E242A"/>
          <w:sz w:val="20"/>
        </w:rPr>
        <w:t xml:space="preserve"> — appropriation, conditions, plan, audit and subnational acceptance.</w:t>
      </w:r>
    </w:p>
    <w:p>
      <w:pPr>
        <w:pStyle w:val="ListNumber"/>
        <w:numPr>
          <w:ilvl w:val="0"/>
          <w:numId w:val="3"/>
        </w:numPr>
      </w:pPr>
      <w:r>
        <w:rPr>
          <w:rFonts w:ascii="Arial" w:hAnsi="Arial"/>
          <w:b/>
          <w:i w:val="0"/>
          <w:color w:val="1E242A"/>
          <w:sz w:val="20"/>
        </w:rPr>
        <w:t>Federative pact, consortium or cooperation agreement</w:t>
      </w:r>
      <w:r>
        <w:rPr>
          <w:rFonts w:ascii="Arial" w:hAnsi="Arial"/>
          <w:b w:val="0"/>
          <w:i w:val="0"/>
          <w:color w:val="1E242A"/>
          <w:sz w:val="20"/>
        </w:rPr>
        <w:t xml:space="preserve"> — negotiated multi-level implementation.</w:t>
      </w:r>
    </w:p>
    <w:p>
      <w:pPr>
        <w:pStyle w:val="ListNumber"/>
        <w:numPr>
          <w:ilvl w:val="0"/>
          <w:numId w:val="3"/>
        </w:numPr>
      </w:pPr>
      <w:r>
        <w:rPr>
          <w:rFonts w:ascii="Arial" w:hAnsi="Arial"/>
          <w:b/>
          <w:i w:val="0"/>
          <w:color w:val="1E242A"/>
          <w:sz w:val="20"/>
        </w:rPr>
        <w:t>National data, technical-assistance, evaluation or shared-procurement programme</w:t>
      </w:r>
      <w:r>
        <w:rPr>
          <w:rFonts w:ascii="Arial" w:hAnsi="Arial"/>
          <w:b w:val="0"/>
          <w:i w:val="0"/>
          <w:color w:val="1E242A"/>
          <w:sz w:val="20"/>
        </w:rPr>
        <w:t xml:space="preserve"> — steering without direct command.</w:t>
      </w:r>
    </w:p>
    <w:p>
      <w:pPr>
        <w:pStyle w:val="ListNumber"/>
        <w:numPr>
          <w:ilvl w:val="0"/>
          <w:numId w:val="3"/>
        </w:numPr>
      </w:pPr>
      <w:r>
        <w:rPr>
          <w:rFonts w:ascii="Arial" w:hAnsi="Arial"/>
          <w:b/>
          <w:i w:val="0"/>
          <w:color w:val="1E242A"/>
          <w:sz w:val="20"/>
        </w:rPr>
        <w:t>Treaty negotiation/signature plus congressional approval route</w:t>
      </w:r>
      <w:r>
        <w:rPr>
          <w:rFonts w:ascii="Arial" w:hAnsi="Arial"/>
          <w:b w:val="0"/>
          <w:i w:val="0"/>
          <w:color w:val="1E242A"/>
          <w:sz w:val="20"/>
        </w:rPr>
        <w:t xml:space="preserve"> — shared foreign-affairs instrument.</w:t>
      </w:r>
    </w:p>
    <w:p>
      <w:pPr>
        <w:pStyle w:val="ListNumber"/>
        <w:numPr>
          <w:ilvl w:val="0"/>
          <w:numId w:val="3"/>
        </w:numPr>
      </w:pPr>
      <w:r>
        <w:rPr>
          <w:rFonts w:ascii="Arial" w:hAnsi="Arial"/>
          <w:b/>
          <w:i w:val="0"/>
          <w:color w:val="1E242A"/>
          <w:sz w:val="20"/>
        </w:rPr>
        <w:t>War, mobilization, peace or foreign-force procedure</w:t>
      </w:r>
      <w:r>
        <w:rPr>
          <w:rFonts w:ascii="Arial" w:hAnsi="Arial"/>
          <w:b w:val="0"/>
          <w:i w:val="0"/>
          <w:color w:val="1E242A"/>
          <w:sz w:val="20"/>
        </w:rPr>
        <w:t xml:space="preserve"> — constitutional authorization/referendum as applicable.</w:t>
      </w:r>
    </w:p>
    <w:p>
      <w:pPr>
        <w:pStyle w:val="ListNumber"/>
        <w:numPr>
          <w:ilvl w:val="0"/>
          <w:numId w:val="3"/>
        </w:numPr>
      </w:pPr>
      <w:r>
        <w:rPr>
          <w:rFonts w:ascii="Arial" w:hAnsi="Arial"/>
          <w:b/>
          <w:i w:val="0"/>
          <w:color w:val="1E242A"/>
          <w:sz w:val="20"/>
        </w:rPr>
        <w:t>Armed Forces/GLO employment</w:t>
      </w:r>
      <w:r>
        <w:rPr>
          <w:rFonts w:ascii="Arial" w:hAnsi="Arial"/>
          <w:b w:val="0"/>
          <w:i w:val="0"/>
          <w:color w:val="1E242A"/>
          <w:sz w:val="20"/>
        </w:rPr>
        <w:t xml:space="preserve"> — presidential decision under civilian law and LC 97; no moderating power.</w:t>
      </w:r>
    </w:p>
    <w:p>
      <w:pPr>
        <w:pStyle w:val="ListNumber"/>
        <w:numPr>
          <w:ilvl w:val="0"/>
          <w:numId w:val="3"/>
        </w:numPr>
      </w:pPr>
      <w:r>
        <w:rPr>
          <w:rFonts w:ascii="Arial" w:hAnsi="Arial"/>
          <w:b/>
          <w:i w:val="0"/>
          <w:color w:val="1E242A"/>
          <w:sz w:val="20"/>
        </w:rPr>
        <w:t>State of defence</w:t>
      </w:r>
      <w:r>
        <w:rPr>
          <w:rFonts w:ascii="Arial" w:hAnsi="Arial"/>
          <w:b w:val="0"/>
          <w:i w:val="0"/>
          <w:color w:val="1E242A"/>
          <w:sz w:val="20"/>
        </w:rPr>
        <w:t xml:space="preserve"> — geographically/time/rights limited; council consultation and rapid congressional review.</w:t>
      </w:r>
    </w:p>
    <w:p>
      <w:pPr>
        <w:pStyle w:val="ListNumber"/>
        <w:numPr>
          <w:ilvl w:val="0"/>
          <w:numId w:val="3"/>
        </w:numPr>
      </w:pPr>
      <w:r>
        <w:rPr>
          <w:rFonts w:ascii="Arial" w:hAnsi="Arial"/>
          <w:b/>
          <w:i w:val="0"/>
          <w:color w:val="1E242A"/>
          <w:sz w:val="20"/>
        </w:rPr>
        <w:t>Request for state of siege</w:t>
      </w:r>
      <w:r>
        <w:rPr>
          <w:rFonts w:ascii="Arial" w:hAnsi="Arial"/>
          <w:b w:val="0"/>
          <w:i w:val="0"/>
          <w:color w:val="1E242A"/>
          <w:sz w:val="20"/>
        </w:rPr>
        <w:t xml:space="preserve"> — prior absolute-majority congressional authorization and monitoring.</w:t>
      </w:r>
    </w:p>
    <w:p>
      <w:pPr>
        <w:pStyle w:val="ListNumber"/>
        <w:numPr>
          <w:ilvl w:val="0"/>
          <w:numId w:val="3"/>
        </w:numPr>
      </w:pPr>
      <w:r>
        <w:rPr>
          <w:rFonts w:ascii="Arial" w:hAnsi="Arial"/>
          <w:b/>
          <w:i w:val="0"/>
          <w:color w:val="1E242A"/>
          <w:sz w:val="20"/>
        </w:rPr>
        <w:t>Federal intervention decree</w:t>
      </w:r>
      <w:r>
        <w:rPr>
          <w:rFonts w:ascii="Arial" w:hAnsi="Arial"/>
          <w:b w:val="0"/>
          <w:i w:val="0"/>
          <w:color w:val="1E242A"/>
          <w:sz w:val="20"/>
        </w:rPr>
        <w:t xml:space="preserve"> — only enumerated ground and required trigger; scoped and usually reviewed within 24 hours.</w:t>
      </w:r>
    </w:p>
    <w:p>
      <w:pPr>
        <w:pStyle w:val="ListNumber"/>
        <w:numPr>
          <w:ilvl w:val="0"/>
          <w:numId w:val="3"/>
        </w:numPr>
      </w:pPr>
      <w:r>
        <w:rPr>
          <w:rFonts w:ascii="Arial" w:hAnsi="Arial"/>
          <w:b/>
          <w:i w:val="0"/>
          <w:color w:val="1E242A"/>
          <w:sz w:val="20"/>
        </w:rPr>
        <w:t>Proposal for national calamity fiscal regime</w:t>
      </w:r>
      <w:r>
        <w:rPr>
          <w:rFonts w:ascii="Arial" w:hAnsi="Arial"/>
          <w:b w:val="0"/>
          <w:i w:val="0"/>
          <w:color w:val="1E242A"/>
          <w:sz w:val="20"/>
        </w:rPr>
        <w:t xml:space="preserve"> — congressional recognition; distinct from coercive emergency powers.</w:t>
      </w:r>
    </w:p>
    <w:p>
      <w:pPr>
        <w:pStyle w:val="ListNumber"/>
        <w:numPr>
          <w:ilvl w:val="0"/>
          <w:numId w:val="3"/>
        </w:numPr>
      </w:pPr>
      <w:r>
        <w:rPr>
          <w:rFonts w:ascii="Arial" w:hAnsi="Arial"/>
          <w:b/>
          <w:i w:val="0"/>
          <w:color w:val="1E242A"/>
          <w:sz w:val="20"/>
        </w:rPr>
        <w:t>Presidential constitutional-review action</w:t>
      </w:r>
      <w:r>
        <w:rPr>
          <w:rFonts w:ascii="Arial" w:hAnsi="Arial"/>
          <w:b w:val="0"/>
          <w:i w:val="0"/>
          <w:color w:val="1E242A"/>
          <w:sz w:val="20"/>
        </w:rPr>
        <w:t xml:space="preserve"> — ADI/ADC/ADO/ADPF standing; independent judicial outcome.</w:t>
      </w:r>
    </w:p>
    <w:p>
      <w:pPr>
        <w:pStyle w:val="ListNumber"/>
        <w:numPr>
          <w:ilvl w:val="0"/>
          <w:numId w:val="3"/>
        </w:numPr>
      </w:pPr>
      <w:r>
        <w:rPr>
          <w:rFonts w:ascii="Arial" w:hAnsi="Arial"/>
          <w:b/>
          <w:i w:val="0"/>
          <w:color w:val="1E242A"/>
          <w:sz w:val="20"/>
        </w:rPr>
        <w:t>AGU litigation/legal coordination and CGU internal audit</w:t>
      </w:r>
      <w:r>
        <w:rPr>
          <w:rFonts w:ascii="Arial" w:hAnsi="Arial"/>
          <w:b w:val="0"/>
          <w:i w:val="0"/>
          <w:color w:val="1E242A"/>
          <w:sz w:val="20"/>
        </w:rPr>
        <w:t xml:space="preserve"> — executive legal/control tools; no command over courts, Ministério Público or TCU.</w:t>
      </w:r>
    </w:p>
    <w:p>
      <w:pPr>
        <w:pStyle w:val="ListNumber"/>
        <w:numPr>
          <w:ilvl w:val="0"/>
          <w:numId w:val="3"/>
        </w:numPr>
      </w:pPr>
      <w:r>
        <w:rPr>
          <w:rFonts w:ascii="Arial" w:hAnsi="Arial"/>
          <w:b/>
          <w:i w:val="0"/>
          <w:color w:val="1E242A"/>
          <w:sz w:val="20"/>
        </w:rPr>
        <w:t>Union shareholder action in an SOE</w:t>
      </w:r>
      <w:r>
        <w:rPr>
          <w:rFonts w:ascii="Arial" w:hAnsi="Arial"/>
          <w:b w:val="0"/>
          <w:i w:val="0"/>
          <w:color w:val="1E242A"/>
          <w:sz w:val="20"/>
        </w:rPr>
        <w:t xml:space="preserve"> — within corporate/statutory governance and regulatory constraints.</w:t>
      </w:r>
    </w:p>
    <w:p>
      <w:pPr>
        <w:pStyle w:val="ListNumber"/>
        <w:numPr>
          <w:ilvl w:val="0"/>
          <w:numId w:val="3"/>
        </w:numPr>
      </w:pPr>
      <w:r>
        <w:rPr>
          <w:rFonts w:ascii="Arial" w:hAnsi="Arial"/>
          <w:b/>
          <w:i w:val="0"/>
          <w:color w:val="1E242A"/>
          <w:sz w:val="20"/>
        </w:rPr>
        <w:t>Coalition and leadership negotiation</w:t>
      </w:r>
      <w:r>
        <w:rPr>
          <w:rFonts w:ascii="Arial" w:hAnsi="Arial"/>
          <w:b w:val="0"/>
          <w:i w:val="0"/>
          <w:color w:val="1E242A"/>
          <w:sz w:val="20"/>
        </w:rPr>
        <w:t xml:space="preserve"> — political instrument for agenda, rapporteurs, votes and nominations; creates no legal guarantee of support.</w:t>
      </w:r>
    </w:p>
    <w:p>
      <w:pPr>
        <w:pStyle w:val="Heading1"/>
      </w:pPr>
      <w:r>
        <w:rPr>
          <w:rFonts w:ascii="Arial" w:hAnsi="Arial"/>
          <w:b w:val="0"/>
          <w:i w:val="0"/>
          <w:color w:val="183752"/>
          <w:sz w:val="34"/>
        </w:rPr>
        <w:t>10. Simulation-Relevant Findings</w:t>
      </w:r>
    </w:p>
    <w:p>
      <w:pPr>
        <w:pStyle w:val="ListNumber"/>
        <w:numPr>
          <w:ilvl w:val="0"/>
          <w:numId w:val="3"/>
        </w:numPr>
      </w:pPr>
      <w:r>
        <w:rPr>
          <w:rFonts w:ascii="Arial" w:hAnsi="Arial"/>
          <w:b w:val="0"/>
          <w:i w:val="0"/>
          <w:color w:val="1E242A"/>
          <w:sz w:val="20"/>
        </w:rPr>
        <w:t>Brazil has three constitutionally autonomous territorial levels plus the Federal District; the federal President is not the hierarchical chief of governors, mayors or their police/services.</w:t>
      </w:r>
    </w:p>
    <w:p>
      <w:pPr>
        <w:pStyle w:val="ListNumber"/>
        <w:numPr>
          <w:ilvl w:val="0"/>
          <w:numId w:val="3"/>
        </w:numPr>
      </w:pPr>
      <w:r>
        <w:rPr>
          <w:rFonts w:ascii="Arial" w:hAnsi="Arial"/>
          <w:b w:val="0"/>
          <w:i w:val="0"/>
          <w:color w:val="1E242A"/>
          <w:sz w:val="20"/>
        </w:rPr>
        <w:t>Presidential power is instrument-specific. Bills, MPs, decrees, autonomous decrees, budget laws and emergency acts have different legal domains and approval paths.</w:t>
      </w:r>
    </w:p>
    <w:p>
      <w:pPr>
        <w:pStyle w:val="ListNumber"/>
        <w:numPr>
          <w:ilvl w:val="0"/>
          <w:numId w:val="3"/>
        </w:numPr>
      </w:pPr>
      <w:r>
        <w:rPr>
          <w:rFonts w:ascii="Arial" w:hAnsi="Arial"/>
          <w:b w:val="0"/>
          <w:i w:val="0"/>
          <w:color w:val="1E242A"/>
          <w:sz w:val="20"/>
        </w:rPr>
        <w:t>A provisional measure is immediate but temporary and amendable; urgency and subject-matter limits are judicially reviewable. It is not an executive order equivalent.</w:t>
      </w:r>
    </w:p>
    <w:p>
      <w:pPr>
        <w:pStyle w:val="ListNumber"/>
        <w:numPr>
          <w:ilvl w:val="0"/>
          <w:numId w:val="3"/>
        </w:numPr>
      </w:pPr>
      <w:r>
        <w:rPr>
          <w:rFonts w:ascii="Arial" w:hAnsi="Arial"/>
          <w:b w:val="0"/>
          <w:i w:val="0"/>
          <w:color w:val="1E242A"/>
          <w:sz w:val="20"/>
        </w:rPr>
        <w:t>The President’s decree power cannot create a free-standing legal regime. Organizational decrees are narrow and cannot increase spending, create/abolish bodies or abolish occupied posts.</w:t>
      </w:r>
    </w:p>
    <w:p>
      <w:pPr>
        <w:pStyle w:val="ListNumber"/>
        <w:numPr>
          <w:ilvl w:val="0"/>
          <w:numId w:val="3"/>
        </w:numPr>
      </w:pPr>
      <w:r>
        <w:rPr>
          <w:rFonts w:ascii="Arial" w:hAnsi="Arial"/>
          <w:b w:val="0"/>
          <w:i w:val="0"/>
          <w:color w:val="1E242A"/>
          <w:sz w:val="20"/>
        </w:rPr>
        <w:t>Congress is bicameral with sharply different representational bases. Governments need viable coalitions in both houses.</w:t>
      </w:r>
    </w:p>
    <w:p>
      <w:pPr>
        <w:pStyle w:val="ListNumber"/>
        <w:numPr>
          <w:ilvl w:val="0"/>
          <w:numId w:val="3"/>
        </w:numPr>
      </w:pPr>
      <w:r>
        <w:rPr>
          <w:rFonts w:ascii="Arial" w:hAnsi="Arial"/>
          <w:b w:val="0"/>
          <w:i w:val="0"/>
          <w:color w:val="1E242A"/>
          <w:sz w:val="20"/>
        </w:rPr>
        <w:t>Chamber and party leaders, presiding officers, committee chairs and rapporteurs are important agenda actors; nominal supporter totals alone are insufficient.</w:t>
      </w:r>
    </w:p>
    <w:p>
      <w:pPr>
        <w:pStyle w:val="ListNumber"/>
        <w:numPr>
          <w:ilvl w:val="0"/>
          <w:numId w:val="3"/>
        </w:numPr>
      </w:pPr>
      <w:r>
        <w:rPr>
          <w:rFonts w:ascii="Arial" w:hAnsi="Arial"/>
          <w:b w:val="0"/>
          <w:i w:val="0"/>
          <w:color w:val="1E242A"/>
          <w:sz w:val="20"/>
        </w:rPr>
        <w:t>A presidential veto is overrideable. A PEC is promulgated by Congress and never reaches presidential sanction.</w:t>
      </w:r>
    </w:p>
    <w:p>
      <w:pPr>
        <w:pStyle w:val="ListNumber"/>
        <w:numPr>
          <w:ilvl w:val="0"/>
          <w:numId w:val="3"/>
        </w:numPr>
      </w:pPr>
      <w:r>
        <w:rPr>
          <w:rFonts w:ascii="Arial" w:hAnsi="Arial"/>
          <w:b w:val="0"/>
          <w:i w:val="0"/>
          <w:color w:val="1E242A"/>
          <w:sz w:val="20"/>
        </w:rPr>
        <w:t>Budget initiative belongs to the Executive, but congressional mandatory amendments and STF transparency doctrine materially constrain allocation and execution.</w:t>
      </w:r>
    </w:p>
    <w:p>
      <w:pPr>
        <w:pStyle w:val="ListNumber"/>
        <w:numPr>
          <w:ilvl w:val="0"/>
          <w:numId w:val="3"/>
        </w:numPr>
      </w:pPr>
      <w:r>
        <w:rPr>
          <w:rFonts w:ascii="Arial" w:hAnsi="Arial"/>
          <w:b w:val="0"/>
          <w:i w:val="0"/>
          <w:color w:val="1E242A"/>
          <w:sz w:val="20"/>
        </w:rPr>
        <w:t>Appointment influence must be separated from control. Courts, prosecutors, BCB and regulators possess tenure or institutional autonomy.</w:t>
      </w:r>
    </w:p>
    <w:p>
      <w:pPr>
        <w:pStyle w:val="ListNumber"/>
        <w:numPr>
          <w:ilvl w:val="0"/>
          <w:numId w:val="3"/>
        </w:numPr>
      </w:pPr>
      <w:r>
        <w:rPr>
          <w:rFonts w:ascii="Arial" w:hAnsi="Arial"/>
          <w:b w:val="0"/>
          <w:i w:val="0"/>
          <w:color w:val="1E242A"/>
          <w:sz w:val="20"/>
        </w:rPr>
        <w:t>The BCB, not the President, conducts monetary policy. A government can affect the target framework and appointments only through legal channels.</w:t>
      </w:r>
    </w:p>
    <w:p>
      <w:pPr>
        <w:pStyle w:val="ListNumber"/>
        <w:numPr>
          <w:ilvl w:val="0"/>
          <w:numId w:val="3"/>
        </w:numPr>
      </w:pPr>
      <w:r>
        <w:rPr>
          <w:rFonts w:ascii="Arial" w:hAnsi="Arial"/>
          <w:b w:val="0"/>
          <w:i w:val="0"/>
          <w:color w:val="1E242A"/>
          <w:sz w:val="20"/>
        </w:rPr>
        <w:t>Policing is divided. Most ordinary policing is state-controlled; federal police jurisdiction is enumerated; federal influence through funding/coordination is not command.</w:t>
      </w:r>
    </w:p>
    <w:p>
      <w:pPr>
        <w:pStyle w:val="ListNumber"/>
        <w:numPr>
          <w:ilvl w:val="0"/>
          <w:numId w:val="3"/>
        </w:numPr>
      </w:pPr>
      <w:r>
        <w:rPr>
          <w:rFonts w:ascii="Arial" w:hAnsi="Arial"/>
          <w:b w:val="0"/>
          <w:i w:val="0"/>
          <w:color w:val="1E242A"/>
          <w:sz w:val="20"/>
        </w:rPr>
        <w:t>Health and education are multi-level systems in which federal finance, standards and coordination are powerful, while most delivery remains subnational.</w:t>
      </w:r>
    </w:p>
    <w:p>
      <w:pPr>
        <w:pStyle w:val="ListNumber"/>
        <w:numPr>
          <w:ilvl w:val="0"/>
          <w:numId w:val="3"/>
        </w:numPr>
      </w:pPr>
      <w:r>
        <w:rPr>
          <w:rFonts w:ascii="Arial" w:hAnsi="Arial"/>
          <w:b w:val="0"/>
          <w:i w:val="0"/>
          <w:color w:val="1E242A"/>
          <w:sz w:val="20"/>
        </w:rPr>
        <w:t>Federal intervention, state of defence, state of siege, fiscal calamity and GLO are separate instruments with different triggers and safeguards.</w:t>
      </w:r>
    </w:p>
    <w:p>
      <w:pPr>
        <w:pStyle w:val="ListNumber"/>
        <w:numPr>
          <w:ilvl w:val="0"/>
          <w:numId w:val="3"/>
        </w:numPr>
      </w:pPr>
      <w:r>
        <w:rPr>
          <w:rFonts w:ascii="Arial" w:hAnsi="Arial"/>
          <w:b w:val="0"/>
          <w:i w:val="0"/>
          <w:color w:val="1E242A"/>
          <w:sz w:val="20"/>
        </w:rPr>
        <w:t>STF review can invalidate legislation/executive acts, preserve subnational competence, compel action against omission and supervise structural remedies, but requires a case and lawful claimant.</w:t>
      </w:r>
    </w:p>
    <w:p>
      <w:pPr>
        <w:pStyle w:val="ListNumber"/>
        <w:numPr>
          <w:ilvl w:val="0"/>
          <w:numId w:val="3"/>
        </w:numPr>
      </w:pPr>
      <w:r>
        <w:rPr>
          <w:rFonts w:ascii="Arial" w:hAnsi="Arial"/>
          <w:b w:val="0"/>
          <w:i w:val="0"/>
          <w:color w:val="1E242A"/>
          <w:sz w:val="20"/>
        </w:rPr>
        <w:t>Coalition presidentialism is a durable pattern, not a deterministic rule. Coalition composition, discipline and executive success vary across presidents, chambers, issues and periods.</w:t>
      </w:r>
    </w:p>
    <w:p>
      <w:pPr>
        <w:pStyle w:val="ListNumber"/>
        <w:numPr>
          <w:ilvl w:val="0"/>
          <w:numId w:val="3"/>
        </w:numPr>
      </w:pPr>
      <w:r>
        <w:rPr>
          <w:rFonts w:ascii="Arial" w:hAnsi="Arial"/>
          <w:b w:val="0"/>
          <w:i w:val="0"/>
          <w:color w:val="1E242A"/>
          <w:sz w:val="20"/>
        </w:rPr>
        <w:t>Current Chamber size, ministry topology, party federations and tax-transition rules are scenario state, not timeless Country Knowledge.</w:t>
      </w:r>
    </w:p>
    <w:p>
      <w:pPr>
        <w:pStyle w:val="Heading1"/>
      </w:pPr>
      <w:r>
        <w:rPr>
          <w:rFonts w:ascii="Arial" w:hAnsi="Arial"/>
          <w:b w:val="0"/>
          <w:i w:val="0"/>
          <w:color w:val="183752"/>
          <w:sz w:val="34"/>
        </w:rPr>
        <w:t>11. Candidate Structured Knowledge</w:t>
      </w:r>
    </w:p>
    <w:p>
      <w:pPr>
        <w:pStyle w:val="Heading2"/>
      </w:pPr>
      <w:r>
        <w:rPr>
          <w:rFonts w:ascii="Arial" w:hAnsi="Arial"/>
          <w:b w:val="0"/>
          <w:i w:val="0"/>
          <w:color w:val="2C5F80"/>
          <w:sz w:val="27"/>
        </w:rPr>
        <w:t>Institution entities</w:t>
      </w:r>
    </w:p>
    <w:p>
      <w:pPr>
        <w:pStyle w:val="ListBullet"/>
        <w:numPr>
          <w:ilvl w:val="0"/>
          <w:numId w:val="2"/>
        </w:numPr>
      </w:pPr>
      <w:r>
        <w:rPr>
          <w:rFonts w:ascii="Arial" w:hAnsi="Arial"/>
          <w:b w:val="0"/>
          <w:i w:val="0"/>
          <w:color w:val="1E242A"/>
          <w:sz w:val="20"/>
        </w:rPr>
        <w:t>Federative Republic; Union; State; Federal District; Municipality.</w:t>
      </w:r>
    </w:p>
    <w:p>
      <w:pPr>
        <w:pStyle w:val="ListBullet"/>
        <w:numPr>
          <w:ilvl w:val="0"/>
          <w:numId w:val="2"/>
        </w:numPr>
      </w:pPr>
      <w:r>
        <w:rPr>
          <w:rFonts w:ascii="Arial" w:hAnsi="Arial"/>
          <w:b w:val="0"/>
          <w:i w:val="0"/>
          <w:color w:val="1E242A"/>
          <w:sz w:val="20"/>
        </w:rPr>
        <w:t>Presidency; Vice-Presidency; Council of the Republic; National Defence Council.</w:t>
      </w:r>
    </w:p>
    <w:p>
      <w:pPr>
        <w:pStyle w:val="ListBullet"/>
        <w:numPr>
          <w:ilvl w:val="0"/>
          <w:numId w:val="2"/>
        </w:numPr>
      </w:pPr>
      <w:r>
        <w:rPr>
          <w:rFonts w:ascii="Arial" w:hAnsi="Arial"/>
          <w:b w:val="0"/>
          <w:i w:val="0"/>
          <w:color w:val="1E242A"/>
          <w:sz w:val="20"/>
        </w:rPr>
        <w:t>Ministry/direct-administration body; autarchy; special regulatory autarchy; public foundation; public enterprise; mixed-capital company.</w:t>
      </w:r>
    </w:p>
    <w:p>
      <w:pPr>
        <w:pStyle w:val="ListBullet"/>
        <w:numPr>
          <w:ilvl w:val="0"/>
          <w:numId w:val="2"/>
        </w:numPr>
      </w:pPr>
      <w:r>
        <w:rPr>
          <w:rFonts w:ascii="Arial" w:hAnsi="Arial"/>
          <w:b w:val="0"/>
          <w:i w:val="0"/>
          <w:color w:val="1E242A"/>
          <w:sz w:val="20"/>
        </w:rPr>
        <w:t>Chamber of Deputies; Federal Senate; National Congress; each Mesa; party/bloc leadership; standing/temporary committee; Joint Budget Committee.</w:t>
      </w:r>
    </w:p>
    <w:p>
      <w:pPr>
        <w:pStyle w:val="ListBullet"/>
        <w:numPr>
          <w:ilvl w:val="0"/>
          <w:numId w:val="2"/>
        </w:numPr>
      </w:pPr>
      <w:r>
        <w:rPr>
          <w:rFonts w:ascii="Arial" w:hAnsi="Arial"/>
          <w:b w:val="0"/>
          <w:i w:val="0"/>
          <w:color w:val="1E242A"/>
          <w:sz w:val="20"/>
        </w:rPr>
        <w:t>STF; CNJ; STJ; federal and state judiciaries; electoral, labor and military justice.</w:t>
      </w:r>
    </w:p>
    <w:p>
      <w:pPr>
        <w:pStyle w:val="ListBullet"/>
        <w:numPr>
          <w:ilvl w:val="0"/>
          <w:numId w:val="2"/>
        </w:numPr>
      </w:pPr>
      <w:r>
        <w:rPr>
          <w:rFonts w:ascii="Arial" w:hAnsi="Arial"/>
          <w:b w:val="0"/>
          <w:i w:val="0"/>
          <w:color w:val="1E242A"/>
          <w:sz w:val="20"/>
        </w:rPr>
        <w:t>Ministério Público/PGR; AGU; CGU; TCU; Public Defenders.</w:t>
      </w:r>
    </w:p>
    <w:p>
      <w:pPr>
        <w:pStyle w:val="ListBullet"/>
        <w:numPr>
          <w:ilvl w:val="0"/>
          <w:numId w:val="2"/>
        </w:numPr>
      </w:pPr>
      <w:r>
        <w:rPr>
          <w:rFonts w:ascii="Arial" w:hAnsi="Arial"/>
          <w:b w:val="0"/>
          <w:i w:val="0"/>
          <w:color w:val="1E242A"/>
          <w:sz w:val="20"/>
        </w:rPr>
        <w:t>Banco Central and National Monetary Council.</w:t>
      </w:r>
    </w:p>
    <w:p>
      <w:pPr>
        <w:pStyle w:val="ListBullet"/>
        <w:numPr>
          <w:ilvl w:val="0"/>
          <w:numId w:val="2"/>
        </w:numPr>
      </w:pPr>
      <w:r>
        <w:rPr>
          <w:rFonts w:ascii="Arial" w:hAnsi="Arial"/>
          <w:b w:val="0"/>
          <w:i w:val="0"/>
          <w:color w:val="1E242A"/>
          <w:sz w:val="20"/>
        </w:rPr>
        <w:t>Federal, highway, railway and penal police; state civil/military/penal police and fire corps; municipal guard.</w:t>
      </w:r>
    </w:p>
    <w:p>
      <w:pPr>
        <w:pStyle w:val="Heading2"/>
      </w:pPr>
      <w:r>
        <w:rPr>
          <w:rFonts w:ascii="Arial" w:hAnsi="Arial"/>
          <w:b w:val="0"/>
          <w:i w:val="0"/>
          <w:color w:val="2C5F80"/>
          <w:sz w:val="27"/>
        </w:rPr>
        <w:t>Authority relationships</w:t>
      </w:r>
    </w:p>
    <w:p>
      <w:pPr>
        <w:pStyle w:val="ListBullet"/>
        <w:numPr>
          <w:ilvl w:val="0"/>
          <w:numId w:val="2"/>
        </w:numPr>
      </w:pPr>
      <w:r>
        <w:rPr>
          <w:rFonts w:ascii="Arial" w:hAnsi="Arial"/>
          <w:b w:val="0"/>
          <w:i w:val="0"/>
          <w:color w:val="1E242A"/>
          <w:sz w:val="20"/>
        </w:rPr>
        <w:t>`constitutionally_autonomous_from` among federative entities.</w:t>
      </w:r>
    </w:p>
    <w:p>
      <w:pPr>
        <w:pStyle w:val="ListBullet"/>
        <w:numPr>
          <w:ilvl w:val="0"/>
          <w:numId w:val="2"/>
        </w:numPr>
      </w:pPr>
      <w:r>
        <w:rPr>
          <w:rFonts w:ascii="Arial" w:hAnsi="Arial"/>
          <w:b w:val="0"/>
          <w:i w:val="0"/>
          <w:color w:val="1E242A"/>
          <w:sz w:val="20"/>
        </w:rPr>
        <w:t>`directs` for President→federal direct administration/ministers.</w:t>
      </w:r>
    </w:p>
    <w:p>
      <w:pPr>
        <w:pStyle w:val="ListBullet"/>
        <w:numPr>
          <w:ilvl w:val="0"/>
          <w:numId w:val="2"/>
        </w:numPr>
      </w:pPr>
      <w:r>
        <w:rPr>
          <w:rFonts w:ascii="Arial" w:hAnsi="Arial"/>
          <w:b w:val="0"/>
          <w:i w:val="0"/>
          <w:color w:val="1E242A"/>
          <w:sz w:val="20"/>
        </w:rPr>
        <w:t>`supervises_but_not_hierarchically_commands` for ministry→linked autonomous entity.</w:t>
      </w:r>
    </w:p>
    <w:p>
      <w:pPr>
        <w:pStyle w:val="ListBullet"/>
        <w:numPr>
          <w:ilvl w:val="0"/>
          <w:numId w:val="2"/>
        </w:numPr>
      </w:pPr>
      <w:r>
        <w:rPr>
          <w:rFonts w:ascii="Arial" w:hAnsi="Arial"/>
          <w:b w:val="0"/>
          <w:i w:val="0"/>
          <w:color w:val="1E242A"/>
          <w:sz w:val="20"/>
        </w:rPr>
        <w:t>`nominates`, `requires_confirmation_by`, `fixed_term`, `removal_ground` for appointments.</w:t>
      </w:r>
    </w:p>
    <w:p>
      <w:pPr>
        <w:pStyle w:val="ListBullet"/>
        <w:numPr>
          <w:ilvl w:val="0"/>
          <w:numId w:val="2"/>
        </w:numPr>
      </w:pPr>
      <w:r>
        <w:rPr>
          <w:rFonts w:ascii="Arial" w:hAnsi="Arial"/>
          <w:b w:val="0"/>
          <w:i w:val="0"/>
          <w:color w:val="1E242A"/>
          <w:sz w:val="20"/>
        </w:rPr>
        <w:t>`initiates`, `reviews`, `amends`, `sanctions`, `vetoes`, `overrides`, `promulgates` for legal acts.</w:t>
      </w:r>
    </w:p>
    <w:p>
      <w:pPr>
        <w:pStyle w:val="ListBullet"/>
        <w:numPr>
          <w:ilvl w:val="0"/>
          <w:numId w:val="2"/>
        </w:numPr>
      </w:pPr>
      <w:r>
        <w:rPr>
          <w:rFonts w:ascii="Arial" w:hAnsi="Arial"/>
          <w:b w:val="0"/>
          <w:i w:val="0"/>
          <w:color w:val="1E242A"/>
          <w:sz w:val="20"/>
        </w:rPr>
        <w:t>`sets_target_framework` (CMN) versus `conducts_monetary_policy` (BCB).</w:t>
      </w:r>
    </w:p>
    <w:p>
      <w:pPr>
        <w:pStyle w:val="ListBullet"/>
        <w:numPr>
          <w:ilvl w:val="0"/>
          <w:numId w:val="2"/>
        </w:numPr>
      </w:pPr>
      <w:r>
        <w:rPr>
          <w:rFonts w:ascii="Arial" w:hAnsi="Arial"/>
          <w:b w:val="0"/>
          <w:i w:val="0"/>
          <w:color w:val="1E242A"/>
          <w:sz w:val="20"/>
        </w:rPr>
        <w:t>`general_norm_authority`, `supplementary_legislation`, `implementation_responsibility`, `shared_administrative_duty` for federalism.</w:t>
      </w:r>
    </w:p>
    <w:p>
      <w:pPr>
        <w:pStyle w:val="ListBullet"/>
        <w:numPr>
          <w:ilvl w:val="0"/>
          <w:numId w:val="2"/>
        </w:numPr>
      </w:pPr>
      <w:r>
        <w:rPr>
          <w:rFonts w:ascii="Arial" w:hAnsi="Arial"/>
          <w:b w:val="0"/>
          <w:i w:val="0"/>
          <w:color w:val="1E242A"/>
          <w:sz w:val="20"/>
        </w:rPr>
        <w:t>`formula_transfer`, `conditional_transfer`, `cooperation_agreement`, `consortium` for federal influence.</w:t>
      </w:r>
    </w:p>
    <w:p>
      <w:pPr>
        <w:pStyle w:val="ListBullet"/>
        <w:numPr>
          <w:ilvl w:val="0"/>
          <w:numId w:val="2"/>
        </w:numPr>
      </w:pPr>
      <w:r>
        <w:rPr>
          <w:rFonts w:ascii="Arial" w:hAnsi="Arial"/>
          <w:b w:val="0"/>
          <w:i w:val="0"/>
          <w:color w:val="1E242A"/>
          <w:sz w:val="20"/>
        </w:rPr>
        <w:t>`constitutional_review_of`, `binding_effect_on`, `implementation_supervision` for courts.</w:t>
      </w:r>
    </w:p>
    <w:p>
      <w:pPr>
        <w:pStyle w:val="Heading2"/>
      </w:pPr>
      <w:r>
        <w:rPr>
          <w:rFonts w:ascii="Arial" w:hAnsi="Arial"/>
          <w:b w:val="0"/>
          <w:i w:val="0"/>
          <w:color w:val="2C5F80"/>
          <w:sz w:val="27"/>
        </w:rPr>
        <w:t>Instrument attributes</w:t>
      </w:r>
    </w:p>
    <w:p>
      <w:r>
        <w:rPr>
          <w:rFonts w:ascii="Arial" w:hAnsi="Arial"/>
          <w:b w:val="0"/>
          <w:i w:val="0"/>
          <w:color w:val="1E242A"/>
          <w:sz w:val="21"/>
        </w:rPr>
        <w:t>For each action instrument, retain: legal authority; valid initiator; permitted subject; prohibited subject; immediate effect; required approvals; voting rule; chamber of origin; amendment route; maximum duration; renewal/reissue rule; promulgating authority; implementing institution; appropriation requirement; judicial-review exposure; federalism limitation; and historical-version effective dates.</w:t>
      </w:r>
    </w:p>
    <w:p>
      <w:pPr>
        <w:pStyle w:val="Heading2"/>
      </w:pPr>
      <w:r>
        <w:rPr>
          <w:rFonts w:ascii="Arial" w:hAnsi="Arial"/>
          <w:b w:val="0"/>
          <w:i w:val="0"/>
          <w:color w:val="2C5F80"/>
          <w:sz w:val="27"/>
        </w:rPr>
        <w:t>Structural characteristics</w:t>
      </w:r>
    </w:p>
    <w:p>
      <w:pPr>
        <w:pStyle w:val="ListBullet"/>
        <w:numPr>
          <w:ilvl w:val="0"/>
          <w:numId w:val="2"/>
        </w:numPr>
      </w:pPr>
      <w:r>
        <w:rPr>
          <w:rFonts w:ascii="Arial" w:hAnsi="Arial"/>
          <w:b w:val="0"/>
          <w:i w:val="0"/>
          <w:color w:val="1E242A"/>
          <w:sz w:val="20"/>
        </w:rPr>
        <w:t>fixed-term presidentialism without confidence votes;</w:t>
      </w:r>
    </w:p>
    <w:p>
      <w:pPr>
        <w:pStyle w:val="ListBullet"/>
        <w:numPr>
          <w:ilvl w:val="0"/>
          <w:numId w:val="2"/>
        </w:numPr>
      </w:pPr>
      <w:r>
        <w:rPr>
          <w:rFonts w:ascii="Arial" w:hAnsi="Arial"/>
          <w:b w:val="0"/>
          <w:i w:val="0"/>
          <w:color w:val="1E242A"/>
          <w:sz w:val="20"/>
        </w:rPr>
        <w:t>separately elected executive and legislature;</w:t>
      </w:r>
    </w:p>
    <w:p>
      <w:pPr>
        <w:pStyle w:val="ListBullet"/>
        <w:numPr>
          <w:ilvl w:val="0"/>
          <w:numId w:val="2"/>
        </w:numPr>
      </w:pPr>
      <w:r>
        <w:rPr>
          <w:rFonts w:ascii="Arial" w:hAnsi="Arial"/>
          <w:b w:val="0"/>
          <w:i w:val="0"/>
          <w:color w:val="1E242A"/>
          <w:sz w:val="20"/>
        </w:rPr>
        <w:t>bicameral population/territorial representation;</w:t>
      </w:r>
    </w:p>
    <w:p>
      <w:pPr>
        <w:pStyle w:val="ListBullet"/>
        <w:numPr>
          <w:ilvl w:val="0"/>
          <w:numId w:val="2"/>
        </w:numPr>
      </w:pPr>
      <w:r>
        <w:rPr>
          <w:rFonts w:ascii="Arial" w:hAnsi="Arial"/>
          <w:b w:val="0"/>
          <w:i w:val="0"/>
          <w:color w:val="1E242A"/>
          <w:sz w:val="20"/>
        </w:rPr>
        <w:t>coalition presidentialism with centralized congressional procedure;</w:t>
      </w:r>
    </w:p>
    <w:p>
      <w:pPr>
        <w:pStyle w:val="ListBullet"/>
        <w:numPr>
          <w:ilvl w:val="0"/>
          <w:numId w:val="2"/>
        </w:numPr>
      </w:pPr>
      <w:r>
        <w:rPr>
          <w:rFonts w:ascii="Arial" w:hAnsi="Arial"/>
          <w:b w:val="0"/>
          <w:i w:val="0"/>
          <w:color w:val="1E242A"/>
          <w:sz w:val="20"/>
        </w:rPr>
        <w:t>three-tier autonomous cooperative federalism;</w:t>
      </w:r>
    </w:p>
    <w:p>
      <w:pPr>
        <w:pStyle w:val="ListBullet"/>
        <w:numPr>
          <w:ilvl w:val="0"/>
          <w:numId w:val="2"/>
        </w:numPr>
      </w:pPr>
      <w:r>
        <w:rPr>
          <w:rFonts w:ascii="Arial" w:hAnsi="Arial"/>
          <w:b w:val="0"/>
          <w:i w:val="0"/>
          <w:color w:val="1E242A"/>
          <w:sz w:val="20"/>
        </w:rPr>
        <w:t>combined diffuse and concentrated constitutional review;</w:t>
      </w:r>
    </w:p>
    <w:p>
      <w:pPr>
        <w:pStyle w:val="ListBullet"/>
        <w:numPr>
          <w:ilvl w:val="0"/>
          <w:numId w:val="2"/>
        </w:numPr>
      </w:pPr>
      <w:r>
        <w:rPr>
          <w:rFonts w:ascii="Arial" w:hAnsi="Arial"/>
          <w:b w:val="0"/>
          <w:i w:val="0"/>
          <w:color w:val="1E242A"/>
          <w:sz w:val="20"/>
        </w:rPr>
        <w:t>strong federal standard/finance capacity with decentralized service delivery;</w:t>
      </w:r>
    </w:p>
    <w:p>
      <w:pPr>
        <w:pStyle w:val="ListBullet"/>
        <w:numPr>
          <w:ilvl w:val="0"/>
          <w:numId w:val="2"/>
        </w:numPr>
      </w:pPr>
      <w:r>
        <w:rPr>
          <w:rFonts w:ascii="Arial" w:hAnsi="Arial"/>
          <w:b w:val="0"/>
          <w:i w:val="0"/>
          <w:color w:val="1E242A"/>
          <w:sz w:val="20"/>
        </w:rPr>
        <w:t>constitutionally and statutorily autonomous constraint institutions;</w:t>
      </w:r>
    </w:p>
    <w:p>
      <w:pPr>
        <w:pStyle w:val="ListBullet"/>
        <w:numPr>
          <w:ilvl w:val="0"/>
          <w:numId w:val="2"/>
        </w:numPr>
      </w:pPr>
      <w:r>
        <w:rPr>
          <w:rFonts w:ascii="Arial" w:hAnsi="Arial"/>
          <w:b w:val="0"/>
          <w:i w:val="0"/>
          <w:color w:val="1E242A"/>
          <w:sz w:val="20"/>
        </w:rPr>
        <w:t>evolving congressional budget power;</w:t>
      </w:r>
    </w:p>
    <w:p>
      <w:pPr>
        <w:pStyle w:val="ListBullet"/>
        <w:numPr>
          <w:ilvl w:val="0"/>
          <w:numId w:val="2"/>
        </w:numPr>
      </w:pPr>
      <w:r>
        <w:rPr>
          <w:rFonts w:ascii="Arial" w:hAnsi="Arial"/>
          <w:b w:val="0"/>
          <w:i w:val="0"/>
          <w:color w:val="1E242A"/>
          <w:sz w:val="20"/>
        </w:rPr>
        <w:t>time-versioned constitutional and electoral rules.</w:t>
      </w:r>
    </w:p>
    <w:p>
      <w:pPr>
        <w:pStyle w:val="Heading2"/>
      </w:pPr>
      <w:r>
        <w:rPr>
          <w:rFonts w:ascii="Arial" w:hAnsi="Arial"/>
          <w:b w:val="0"/>
          <w:i w:val="0"/>
          <w:color w:val="2C5F80"/>
          <w:sz w:val="27"/>
        </w:rPr>
        <w:t>Historical precedent records suitable for later extraction</w:t>
      </w:r>
    </w:p>
    <w:p>
      <w:pPr>
        <w:pStyle w:val="ListBullet"/>
        <w:numPr>
          <w:ilvl w:val="0"/>
          <w:numId w:val="2"/>
        </w:numPr>
      </w:pPr>
      <w:r>
        <w:rPr>
          <w:rFonts w:ascii="Arial" w:hAnsi="Arial"/>
          <w:b w:val="0"/>
          <w:i w:val="0"/>
          <w:color w:val="1E242A"/>
          <w:sz w:val="20"/>
        </w:rPr>
        <w:t>2018 Rio federal intervention: scoped public-security substitution under arts. 34-36.</w:t>
      </w:r>
    </w:p>
    <w:p>
      <w:pPr>
        <w:pStyle w:val="ListBullet"/>
        <w:numPr>
          <w:ilvl w:val="0"/>
          <w:numId w:val="2"/>
        </w:numPr>
      </w:pPr>
      <w:r>
        <w:rPr>
          <w:rFonts w:ascii="Arial" w:hAnsi="Arial"/>
          <w:b w:val="0"/>
          <w:i w:val="0"/>
          <w:color w:val="1E242A"/>
          <w:sz w:val="20"/>
        </w:rPr>
        <w:t>COVID ADI 6341/6343: concurrent federal, state and municipal authority; rejection of exclusive federal control.</w:t>
      </w:r>
    </w:p>
    <w:p>
      <w:pPr>
        <w:pStyle w:val="ListBullet"/>
        <w:numPr>
          <w:ilvl w:val="0"/>
          <w:numId w:val="2"/>
        </w:numPr>
      </w:pPr>
      <w:r>
        <w:rPr>
          <w:rFonts w:ascii="Arial" w:hAnsi="Arial"/>
          <w:b w:val="0"/>
          <w:i w:val="0"/>
          <w:color w:val="1E242A"/>
          <w:sz w:val="20"/>
        </w:rPr>
        <w:t>ADI 6186: autonomous-decree power limited to vacant posts/functions.</w:t>
      </w:r>
    </w:p>
    <w:p>
      <w:pPr>
        <w:pStyle w:val="ListBullet"/>
        <w:numPr>
          <w:ilvl w:val="0"/>
          <w:numId w:val="2"/>
        </w:numPr>
      </w:pPr>
      <w:r>
        <w:rPr>
          <w:rFonts w:ascii="Arial" w:hAnsi="Arial"/>
          <w:b w:val="0"/>
          <w:i w:val="0"/>
          <w:color w:val="1E242A"/>
          <w:sz w:val="20"/>
        </w:rPr>
        <w:t>ADI 6457: no military moderating power.</w:t>
      </w:r>
    </w:p>
    <w:p>
      <w:pPr>
        <w:pStyle w:val="ListBullet"/>
        <w:numPr>
          <w:ilvl w:val="0"/>
          <w:numId w:val="2"/>
        </w:numPr>
      </w:pPr>
      <w:r>
        <w:rPr>
          <w:rFonts w:ascii="Arial" w:hAnsi="Arial"/>
          <w:b w:val="0"/>
          <w:i w:val="0"/>
          <w:color w:val="1E242A"/>
          <w:sz w:val="20"/>
        </w:rPr>
        <w:t>ADPF 708: judicial remedy for executive environmental-budget omission.</w:t>
      </w:r>
    </w:p>
    <w:p>
      <w:pPr>
        <w:pStyle w:val="ListBullet"/>
        <w:numPr>
          <w:ilvl w:val="0"/>
          <w:numId w:val="2"/>
        </w:numPr>
      </w:pPr>
      <w:r>
        <w:rPr>
          <w:rFonts w:ascii="Arial" w:hAnsi="Arial"/>
          <w:b w:val="0"/>
          <w:i w:val="0"/>
          <w:color w:val="1E242A"/>
          <w:sz w:val="20"/>
        </w:rPr>
        <w:t>ADPF 854: invalidation and continued supervision of opaque congressional budget practices.</w:t>
      </w:r>
    </w:p>
    <w:p>
      <w:pPr>
        <w:pStyle w:val="ListBullet"/>
        <w:numPr>
          <w:ilvl w:val="0"/>
          <w:numId w:val="2"/>
        </w:numPr>
      </w:pPr>
      <w:r>
        <w:rPr>
          <w:rFonts w:ascii="Arial" w:hAnsi="Arial"/>
          <w:b w:val="0"/>
          <w:i w:val="0"/>
          <w:color w:val="1E242A"/>
          <w:sz w:val="20"/>
        </w:rPr>
        <w:t>ADPF 347/709: structural judicial orders requiring government plans.</w:t>
      </w:r>
    </w:p>
    <w:p>
      <w:pPr>
        <w:pStyle w:val="ListBullet"/>
        <w:numPr>
          <w:ilvl w:val="0"/>
          <w:numId w:val="2"/>
        </w:numPr>
      </w:pPr>
      <w:r>
        <w:rPr>
          <w:rFonts w:ascii="Arial" w:hAnsi="Arial"/>
          <w:b w:val="0"/>
          <w:i w:val="0"/>
          <w:color w:val="1E242A"/>
          <w:sz w:val="20"/>
        </w:rPr>
        <w:t>EC 32/2001: break point in the legal operation of provisional measures.</w:t>
      </w:r>
    </w:p>
    <w:p>
      <w:pPr>
        <w:pStyle w:val="ListBullet"/>
        <w:numPr>
          <w:ilvl w:val="0"/>
          <w:numId w:val="2"/>
        </w:numPr>
      </w:pPr>
      <w:r>
        <w:rPr>
          <w:rFonts w:ascii="Arial" w:hAnsi="Arial"/>
          <w:b w:val="0"/>
          <w:i w:val="0"/>
          <w:color w:val="1E242A"/>
          <w:sz w:val="20"/>
        </w:rPr>
        <w:t>EC 97/2017 and Law 14,208/2021: end of proportional coalitions and creation of party federations.</w:t>
      </w:r>
    </w:p>
    <w:p>
      <w:pPr>
        <w:pStyle w:val="Heading1"/>
      </w:pPr>
      <w:r>
        <w:rPr>
          <w:rFonts w:ascii="Arial" w:hAnsi="Arial"/>
          <w:b w:val="0"/>
          <w:i w:val="0"/>
          <w:color w:val="183752"/>
          <w:sz w:val="34"/>
        </w:rPr>
        <w:t>12. Uncertainty and Validation Register</w:t>
      </w:r>
    </w:p>
    <w:tbl>
      <w:tblPr>
        <w:tblW w:type="dxa" w:w="9360"/>
        <w:jc w:val="center"/>
        <w:tblLayout w:type="fixed"/>
        <w:tblLook w:firstColumn="1" w:firstRow="1" w:lastColumn="0" w:lastRow="0" w:noHBand="0" w:noVBand="1" w:val="04A0"/>
        <w:tblInd w:type="dxa" w:w="120"/>
      </w:tblPr>
      <w:tblGrid>
        <w:gridCol w:w="1152"/>
        <w:gridCol w:w="2376"/>
        <w:gridCol w:w="3096"/>
        <w:gridCol w:w="2736"/>
      </w:tblGrid>
      <w:tr>
        <w:trPr>
          <w:tblHeader w:val="true"/>
          <w:cantSplit/>
        </w:trPr>
        <w:tc>
          <w:tcPr>
            <w:tcW w:type="dxa" w:w="1152"/>
            <w:vAlign w:val="top"/>
            <w:shd w:fill="EAF1F5"/>
          </w:tcPr>
          <w:p>
            <w:r/>
            <w:r>
              <w:rPr>
                <w:rFonts w:ascii="Arial" w:hAnsi="Arial"/>
                <w:b w:val="0"/>
                <w:i w:val="0"/>
                <w:color w:val="183752"/>
                <w:sz w:val="16"/>
              </w:rPr>
              <w:t>Priority</w:t>
            </w:r>
          </w:p>
        </w:tc>
        <w:tc>
          <w:tcPr>
            <w:tcW w:type="dxa" w:w="2376"/>
            <w:vAlign w:val="top"/>
            <w:shd w:fill="EAF1F5"/>
          </w:tcPr>
          <w:p>
            <w:r/>
            <w:r>
              <w:rPr>
                <w:rFonts w:ascii="Arial" w:hAnsi="Arial"/>
                <w:b w:val="0"/>
                <w:i w:val="0"/>
                <w:color w:val="183752"/>
                <w:sz w:val="16"/>
              </w:rPr>
              <w:t>Finding requiring validation</w:t>
            </w:r>
          </w:p>
        </w:tc>
        <w:tc>
          <w:tcPr>
            <w:tcW w:type="dxa" w:w="3096"/>
            <w:vAlign w:val="top"/>
            <w:shd w:fill="EAF1F5"/>
          </w:tcPr>
          <w:p>
            <w:r/>
            <w:r>
              <w:rPr>
                <w:rFonts w:ascii="Arial" w:hAnsi="Arial"/>
                <w:b w:val="0"/>
                <w:i w:val="0"/>
                <w:color w:val="183752"/>
                <w:sz w:val="16"/>
              </w:rPr>
              <w:t>Why uncertain/time-sensitive</w:t>
            </w:r>
          </w:p>
        </w:tc>
        <w:tc>
          <w:tcPr>
            <w:tcW w:type="dxa" w:w="2736"/>
            <w:vAlign w:val="top"/>
            <w:shd w:fill="EAF1F5"/>
          </w:tcPr>
          <w:p>
            <w:r/>
            <w:r>
              <w:rPr>
                <w:rFonts w:ascii="Arial" w:hAnsi="Arial"/>
                <w:b w:val="0"/>
                <w:i w:val="0"/>
                <w:color w:val="183752"/>
                <w:sz w:val="16"/>
              </w:rPr>
              <w:t>Required next check</w:t>
            </w:r>
          </w:p>
        </w:tc>
      </w:tr>
      <w:tr>
        <w:trPr>
          <w:cantSplit/>
        </w:trPr>
        <w:tc>
          <w:tcPr>
            <w:tcW w:type="dxa" w:w="1152"/>
            <w:vAlign w:val="top"/>
          </w:tcPr>
          <w:p>
            <w:r/>
            <w:r>
              <w:rPr>
                <w:rFonts w:ascii="Arial" w:hAnsi="Arial"/>
                <w:b w:val="0"/>
                <w:i w:val="0"/>
                <w:color w:val="1E242A"/>
                <w:sz w:val="16"/>
              </w:rPr>
              <w:t>Critical</w:t>
            </w:r>
          </w:p>
        </w:tc>
        <w:tc>
          <w:tcPr>
            <w:tcW w:type="dxa" w:w="2376"/>
            <w:vAlign w:val="top"/>
          </w:tcPr>
          <w:p>
            <w:r/>
            <w:r>
              <w:rPr>
                <w:rFonts w:ascii="Arial" w:hAnsi="Arial"/>
                <w:b w:val="0"/>
                <w:i w:val="0"/>
                <w:color w:val="1E242A"/>
                <w:sz w:val="16"/>
              </w:rPr>
              <w:t>Chamber apportionment after the 2026 election</w:t>
            </w:r>
          </w:p>
        </w:tc>
        <w:tc>
          <w:tcPr>
            <w:tcW w:type="dxa" w:w="3096"/>
            <w:vAlign w:val="top"/>
          </w:tcPr>
          <w:p>
            <w:r/>
            <w:r>
              <w:rPr>
                <w:rFonts w:ascii="Arial" w:hAnsi="Arial"/>
                <w:b w:val="0"/>
                <w:i w:val="0"/>
                <w:color w:val="1E242A"/>
                <w:sz w:val="16"/>
              </w:rPr>
              <w:t>513 is fixed for 2026, but VET 20/2025 and future reapportionment remain unresolved</w:t>
            </w:r>
          </w:p>
        </w:tc>
        <w:tc>
          <w:tcPr>
            <w:tcW w:type="dxa" w:w="2736"/>
            <w:vAlign w:val="top"/>
          </w:tcPr>
          <w:p>
            <w:r/>
            <w:r>
              <w:rPr>
                <w:rFonts w:ascii="Arial" w:hAnsi="Arial"/>
                <w:b w:val="0"/>
                <w:i w:val="0"/>
                <w:color w:val="1E242A"/>
                <w:sz w:val="16"/>
              </w:rPr>
              <w:t>Recheck Congress, STF and TSE at scenario freeze</w:t>
            </w:r>
          </w:p>
        </w:tc>
      </w:tr>
      <w:tr>
        <w:trPr>
          <w:cantSplit/>
        </w:trPr>
        <w:tc>
          <w:tcPr>
            <w:tcW w:type="dxa" w:w="1152"/>
            <w:vAlign w:val="top"/>
          </w:tcPr>
          <w:p>
            <w:r/>
            <w:r>
              <w:rPr>
                <w:rFonts w:ascii="Arial" w:hAnsi="Arial"/>
                <w:b w:val="0"/>
                <w:i w:val="0"/>
                <w:color w:val="1E242A"/>
                <w:sz w:val="16"/>
              </w:rPr>
              <w:t>Critical</w:t>
            </w:r>
          </w:p>
        </w:tc>
        <w:tc>
          <w:tcPr>
            <w:tcW w:type="dxa" w:w="2376"/>
            <w:vAlign w:val="top"/>
          </w:tcPr>
          <w:p>
            <w:r/>
            <w:r>
              <w:rPr>
                <w:rFonts w:ascii="Arial" w:hAnsi="Arial"/>
                <w:b w:val="0"/>
                <w:i w:val="0"/>
                <w:color w:val="1E242A"/>
                <w:sz w:val="16"/>
              </w:rPr>
              <w:t>Exact annual mandatory-amendment limits and execution discretion</w:t>
            </w:r>
          </w:p>
        </w:tc>
        <w:tc>
          <w:tcPr>
            <w:tcW w:type="dxa" w:w="3096"/>
            <w:vAlign w:val="top"/>
          </w:tcPr>
          <w:p>
            <w:r/>
            <w:r>
              <w:rPr>
                <w:rFonts w:ascii="Arial" w:hAnsi="Arial"/>
                <w:b w:val="0"/>
                <w:i w:val="0"/>
                <w:color w:val="1E242A"/>
                <w:sz w:val="16"/>
              </w:rPr>
              <w:t>Constitution, LDO, revenue, LC 210 and continuing STF orders interact</w:t>
            </w:r>
          </w:p>
        </w:tc>
        <w:tc>
          <w:tcPr>
            <w:tcW w:type="dxa" w:w="2736"/>
            <w:vAlign w:val="top"/>
          </w:tcPr>
          <w:p>
            <w:r/>
            <w:r>
              <w:rPr>
                <w:rFonts w:ascii="Arial" w:hAnsi="Arial"/>
                <w:b w:val="0"/>
                <w:i w:val="0"/>
                <w:color w:val="1E242A"/>
                <w:sz w:val="16"/>
              </w:rPr>
              <w:t>Validate against scenario-year Constitution, LDO and ADPF 854 orders</w:t>
            </w:r>
          </w:p>
        </w:tc>
      </w:tr>
      <w:tr>
        <w:trPr>
          <w:cantSplit/>
        </w:trPr>
        <w:tc>
          <w:tcPr>
            <w:tcW w:type="dxa" w:w="1152"/>
            <w:vAlign w:val="top"/>
          </w:tcPr>
          <w:p>
            <w:r/>
            <w:r>
              <w:rPr>
                <w:rFonts w:ascii="Arial" w:hAnsi="Arial"/>
                <w:b w:val="0"/>
                <w:i w:val="0"/>
                <w:color w:val="1E242A"/>
                <w:sz w:val="16"/>
              </w:rPr>
              <w:t>Critical</w:t>
            </w:r>
          </w:p>
        </w:tc>
        <w:tc>
          <w:tcPr>
            <w:tcW w:type="dxa" w:w="2376"/>
            <w:vAlign w:val="top"/>
          </w:tcPr>
          <w:p>
            <w:r/>
            <w:r>
              <w:rPr>
                <w:rFonts w:ascii="Arial" w:hAnsi="Arial"/>
                <w:b w:val="0"/>
                <w:i w:val="0"/>
                <w:color w:val="1E242A"/>
                <w:sz w:val="16"/>
              </w:rPr>
              <w:t>Consumption-tax division during transition</w:t>
            </w:r>
          </w:p>
        </w:tc>
        <w:tc>
          <w:tcPr>
            <w:tcW w:type="dxa" w:w="3096"/>
            <w:vAlign w:val="top"/>
          </w:tcPr>
          <w:p>
            <w:r/>
            <w:r>
              <w:rPr>
                <w:rFonts w:ascii="Arial" w:hAnsi="Arial"/>
                <w:b w:val="0"/>
                <w:i w:val="0"/>
                <w:color w:val="1E242A"/>
                <w:sz w:val="16"/>
              </w:rPr>
              <w:t>EC 132/LC 214 phase institutions and taxes over several years</w:t>
            </w:r>
          </w:p>
        </w:tc>
        <w:tc>
          <w:tcPr>
            <w:tcW w:type="dxa" w:w="2736"/>
            <w:vAlign w:val="top"/>
          </w:tcPr>
          <w:p>
            <w:r/>
            <w:r>
              <w:rPr>
                <w:rFonts w:ascii="Arial" w:hAnsi="Arial"/>
                <w:b w:val="0"/>
                <w:i w:val="0"/>
                <w:color w:val="1E242A"/>
                <w:sz w:val="16"/>
              </w:rPr>
              <w:t>Build year-by-year legal effective-date map in fiscal pass</w:t>
            </w:r>
          </w:p>
        </w:tc>
      </w:tr>
      <w:tr>
        <w:trPr>
          <w:cantSplit/>
        </w:trPr>
        <w:tc>
          <w:tcPr>
            <w:tcW w:type="dxa" w:w="1152"/>
            <w:vAlign w:val="top"/>
          </w:tcPr>
          <w:p>
            <w:r/>
            <w:r>
              <w:rPr>
                <w:rFonts w:ascii="Arial" w:hAnsi="Arial"/>
                <w:b w:val="0"/>
                <w:i w:val="0"/>
                <w:color w:val="1E242A"/>
                <w:sz w:val="16"/>
              </w:rPr>
              <w:t>High</w:t>
            </w:r>
          </w:p>
        </w:tc>
        <w:tc>
          <w:tcPr>
            <w:tcW w:type="dxa" w:w="2376"/>
            <w:vAlign w:val="top"/>
          </w:tcPr>
          <w:p>
            <w:r/>
            <w:r>
              <w:rPr>
                <w:rFonts w:ascii="Arial" w:hAnsi="Arial"/>
                <w:b w:val="0"/>
                <w:i w:val="0"/>
                <w:color w:val="1E242A"/>
                <w:sz w:val="16"/>
              </w:rPr>
              <w:t>MP agenda blockage after day 45</w:t>
            </w:r>
          </w:p>
        </w:tc>
        <w:tc>
          <w:tcPr>
            <w:tcW w:type="dxa" w:w="3096"/>
            <w:vAlign w:val="top"/>
          </w:tcPr>
          <w:p>
            <w:r/>
            <w:r>
              <w:rPr>
                <w:rFonts w:ascii="Arial" w:hAnsi="Arial"/>
                <w:b w:val="0"/>
                <w:i w:val="0"/>
                <w:color w:val="1E242A"/>
                <w:sz w:val="16"/>
              </w:rPr>
              <w:t>Constitutional text has been procedurally/judicially qualified</w:t>
            </w:r>
          </w:p>
        </w:tc>
        <w:tc>
          <w:tcPr>
            <w:tcW w:type="dxa" w:w="2736"/>
            <w:vAlign w:val="top"/>
          </w:tcPr>
          <w:p>
            <w:r/>
            <w:r>
              <w:rPr>
                <w:rFonts w:ascii="Arial" w:hAnsi="Arial"/>
                <w:b w:val="0"/>
                <w:i w:val="0"/>
                <w:color w:val="1E242A"/>
                <w:sz w:val="16"/>
              </w:rPr>
              <w:t>Confirm current STF doctrine and each house’s working practice</w:t>
            </w:r>
          </w:p>
        </w:tc>
      </w:tr>
      <w:tr>
        <w:trPr>
          <w:cantSplit/>
        </w:trPr>
        <w:tc>
          <w:tcPr>
            <w:tcW w:type="dxa" w:w="1152"/>
            <w:vAlign w:val="top"/>
          </w:tcPr>
          <w:p>
            <w:r/>
            <w:r>
              <w:rPr>
                <w:rFonts w:ascii="Arial" w:hAnsi="Arial"/>
                <w:b w:val="0"/>
                <w:i w:val="0"/>
                <w:color w:val="1E242A"/>
                <w:sz w:val="16"/>
              </w:rPr>
              <w:t>High</w:t>
            </w:r>
          </w:p>
        </w:tc>
        <w:tc>
          <w:tcPr>
            <w:tcW w:type="dxa" w:w="2376"/>
            <w:vAlign w:val="top"/>
          </w:tcPr>
          <w:p>
            <w:r/>
            <w:r>
              <w:rPr>
                <w:rFonts w:ascii="Arial" w:hAnsi="Arial"/>
                <w:b w:val="0"/>
                <w:i w:val="0"/>
                <w:color w:val="1E242A"/>
                <w:sz w:val="16"/>
              </w:rPr>
              <w:t>Legislative amendment limits on reserved presidential bills</w:t>
            </w:r>
          </w:p>
        </w:tc>
        <w:tc>
          <w:tcPr>
            <w:tcW w:type="dxa" w:w="3096"/>
            <w:vAlign w:val="top"/>
          </w:tcPr>
          <w:p>
            <w:r/>
            <w:r>
              <w:rPr>
                <w:rFonts w:ascii="Arial" w:hAnsi="Arial"/>
                <w:b w:val="0"/>
                <w:i w:val="0"/>
                <w:color w:val="1E242A"/>
                <w:sz w:val="16"/>
              </w:rPr>
              <w:t>Subject and expenditure restrictions are jurisprudentially detailed</w:t>
            </w:r>
          </w:p>
        </w:tc>
        <w:tc>
          <w:tcPr>
            <w:tcW w:type="dxa" w:w="2736"/>
            <w:vAlign w:val="top"/>
          </w:tcPr>
          <w:p>
            <w:r/>
            <w:r>
              <w:rPr>
                <w:rFonts w:ascii="Arial" w:hAnsi="Arial"/>
                <w:b w:val="0"/>
                <w:i w:val="0"/>
                <w:color w:val="1E242A"/>
                <w:sz w:val="16"/>
              </w:rPr>
              <w:t>Retrieve controlling STF theses by bill category</w:t>
            </w:r>
          </w:p>
        </w:tc>
      </w:tr>
      <w:tr>
        <w:trPr>
          <w:cantSplit/>
        </w:trPr>
        <w:tc>
          <w:tcPr>
            <w:tcW w:type="dxa" w:w="1152"/>
            <w:vAlign w:val="top"/>
          </w:tcPr>
          <w:p>
            <w:r/>
            <w:r>
              <w:rPr>
                <w:rFonts w:ascii="Arial" w:hAnsi="Arial"/>
                <w:b w:val="0"/>
                <w:i w:val="0"/>
                <w:color w:val="1E242A"/>
                <w:sz w:val="16"/>
              </w:rPr>
              <w:t>High</w:t>
            </w:r>
          </w:p>
        </w:tc>
        <w:tc>
          <w:tcPr>
            <w:tcW w:type="dxa" w:w="2376"/>
            <w:vAlign w:val="top"/>
          </w:tcPr>
          <w:p>
            <w:r/>
            <w:r>
              <w:rPr>
                <w:rFonts w:ascii="Arial" w:hAnsi="Arial"/>
                <w:b w:val="0"/>
                <w:i w:val="0"/>
                <w:color w:val="1E242A"/>
                <w:sz w:val="16"/>
              </w:rPr>
              <w:t>Federal-intervention thresholds/proportionality</w:t>
            </w:r>
          </w:p>
        </w:tc>
        <w:tc>
          <w:tcPr>
            <w:tcW w:type="dxa" w:w="3096"/>
            <w:vAlign w:val="top"/>
          </w:tcPr>
          <w:p>
            <w:r/>
            <w:r>
              <w:rPr>
                <w:rFonts w:ascii="Arial" w:hAnsi="Arial"/>
                <w:b w:val="0"/>
                <w:i w:val="0"/>
                <w:color w:val="1E242A"/>
                <w:sz w:val="16"/>
              </w:rPr>
              <w:t>Text uses open standards such as grave compromise of public order</w:t>
            </w:r>
          </w:p>
        </w:tc>
        <w:tc>
          <w:tcPr>
            <w:tcW w:type="dxa" w:w="2736"/>
            <w:vAlign w:val="top"/>
          </w:tcPr>
          <w:p>
            <w:r/>
            <w:r>
              <w:rPr>
                <w:rFonts w:ascii="Arial" w:hAnsi="Arial"/>
                <w:b w:val="0"/>
                <w:i w:val="0"/>
                <w:color w:val="1E242A"/>
                <w:sz w:val="16"/>
              </w:rPr>
              <w:t>Add case-law and specialist constitutional review before automated validation</w:t>
            </w:r>
          </w:p>
        </w:tc>
      </w:tr>
      <w:tr>
        <w:trPr>
          <w:cantSplit/>
        </w:trPr>
        <w:tc>
          <w:tcPr>
            <w:tcW w:type="dxa" w:w="1152"/>
            <w:vAlign w:val="top"/>
          </w:tcPr>
          <w:p>
            <w:r/>
            <w:r>
              <w:rPr>
                <w:rFonts w:ascii="Arial" w:hAnsi="Arial"/>
                <w:b w:val="0"/>
                <w:i w:val="0"/>
                <w:color w:val="1E242A"/>
                <w:sz w:val="16"/>
              </w:rPr>
              <w:t>High</w:t>
            </w:r>
          </w:p>
        </w:tc>
        <w:tc>
          <w:tcPr>
            <w:tcW w:type="dxa" w:w="2376"/>
            <w:vAlign w:val="top"/>
          </w:tcPr>
          <w:p>
            <w:r/>
            <w:r>
              <w:rPr>
                <w:rFonts w:ascii="Arial" w:hAnsi="Arial"/>
                <w:b w:val="0"/>
                <w:i w:val="0"/>
                <w:color w:val="1E242A"/>
                <w:sz w:val="16"/>
              </w:rPr>
              <w:t>Municipal guards’ policing status</w:t>
            </w:r>
          </w:p>
        </w:tc>
        <w:tc>
          <w:tcPr>
            <w:tcW w:type="dxa" w:w="3096"/>
            <w:vAlign w:val="top"/>
          </w:tcPr>
          <w:p>
            <w:r/>
            <w:r>
              <w:rPr>
                <w:rFonts w:ascii="Arial" w:hAnsi="Arial"/>
                <w:b w:val="0"/>
                <w:i w:val="0"/>
                <w:color w:val="1E242A"/>
                <w:sz w:val="16"/>
              </w:rPr>
              <w:t>STF doctrine is evolving beyond the narrow literal art. 144 description</w:t>
            </w:r>
          </w:p>
        </w:tc>
        <w:tc>
          <w:tcPr>
            <w:tcW w:type="dxa" w:w="2736"/>
            <w:vAlign w:val="top"/>
          </w:tcPr>
          <w:p>
            <w:r/>
            <w:r>
              <w:rPr>
                <w:rFonts w:ascii="Arial" w:hAnsi="Arial"/>
                <w:b w:val="0"/>
                <w:i w:val="0"/>
                <w:color w:val="1E242A"/>
                <w:sz w:val="16"/>
              </w:rPr>
              <w:t>Retrieve and reconcile latest controlling judgments</w:t>
            </w:r>
          </w:p>
        </w:tc>
      </w:tr>
      <w:tr>
        <w:trPr>
          <w:cantSplit/>
        </w:trPr>
        <w:tc>
          <w:tcPr>
            <w:tcW w:type="dxa" w:w="1152"/>
            <w:vAlign w:val="top"/>
          </w:tcPr>
          <w:p>
            <w:r/>
            <w:r>
              <w:rPr>
                <w:rFonts w:ascii="Arial" w:hAnsi="Arial"/>
                <w:b w:val="0"/>
                <w:i w:val="0"/>
                <w:color w:val="1E242A"/>
                <w:sz w:val="16"/>
              </w:rPr>
              <w:t>High</w:t>
            </w:r>
          </w:p>
        </w:tc>
        <w:tc>
          <w:tcPr>
            <w:tcW w:type="dxa" w:w="2376"/>
            <w:vAlign w:val="top"/>
          </w:tcPr>
          <w:p>
            <w:r/>
            <w:r>
              <w:rPr>
                <w:rFonts w:ascii="Arial" w:hAnsi="Arial"/>
                <w:b w:val="0"/>
                <w:i w:val="0"/>
                <w:color w:val="1E242A"/>
                <w:sz w:val="16"/>
              </w:rPr>
              <w:t>Metropolitan sanitation authority</w:t>
            </w:r>
          </w:p>
        </w:tc>
        <w:tc>
          <w:tcPr>
            <w:tcW w:type="dxa" w:w="3096"/>
            <w:vAlign w:val="top"/>
          </w:tcPr>
          <w:p>
            <w:r/>
            <w:r>
              <w:rPr>
                <w:rFonts w:ascii="Arial" w:hAnsi="Arial"/>
                <w:b w:val="0"/>
                <w:i w:val="0"/>
                <w:color w:val="1E242A"/>
                <w:sz w:val="16"/>
              </w:rPr>
              <w:t>ADI 1842 and post-2020 legislation create shared-governance complexity</w:t>
            </w:r>
          </w:p>
        </w:tc>
        <w:tc>
          <w:tcPr>
            <w:tcW w:type="dxa" w:w="2736"/>
            <w:vAlign w:val="top"/>
          </w:tcPr>
          <w:p>
            <w:r/>
            <w:r>
              <w:rPr>
                <w:rFonts w:ascii="Arial" w:hAnsi="Arial"/>
                <w:b w:val="0"/>
                <w:i w:val="0"/>
                <w:color w:val="1E242A"/>
                <w:sz w:val="16"/>
              </w:rPr>
              <w:t>Review full judgment and current sanitation framework</w:t>
            </w:r>
          </w:p>
        </w:tc>
      </w:tr>
      <w:tr>
        <w:trPr>
          <w:cantSplit/>
        </w:trPr>
        <w:tc>
          <w:tcPr>
            <w:tcW w:type="dxa" w:w="1152"/>
            <w:vAlign w:val="top"/>
          </w:tcPr>
          <w:p>
            <w:r/>
            <w:r>
              <w:rPr>
                <w:rFonts w:ascii="Arial" w:hAnsi="Arial"/>
                <w:b w:val="0"/>
                <w:i w:val="0"/>
                <w:color w:val="1E242A"/>
                <w:sz w:val="16"/>
              </w:rPr>
              <w:t>High</w:t>
            </w:r>
          </w:p>
        </w:tc>
        <w:tc>
          <w:tcPr>
            <w:tcW w:type="dxa" w:w="2376"/>
            <w:vAlign w:val="top"/>
          </w:tcPr>
          <w:p>
            <w:r/>
            <w:r>
              <w:rPr>
                <w:rFonts w:ascii="Arial" w:hAnsi="Arial"/>
                <w:b w:val="0"/>
                <w:i w:val="0"/>
                <w:color w:val="1E242A"/>
                <w:sz w:val="16"/>
              </w:rPr>
              <w:t>Agency appointment/removal powers</w:t>
            </w:r>
          </w:p>
        </w:tc>
        <w:tc>
          <w:tcPr>
            <w:tcW w:type="dxa" w:w="3096"/>
            <w:vAlign w:val="top"/>
          </w:tcPr>
          <w:p>
            <w:r/>
            <w:r>
              <w:rPr>
                <w:rFonts w:ascii="Arial" w:hAnsi="Arial"/>
                <w:b w:val="0"/>
                <w:i w:val="0"/>
                <w:color w:val="1E242A"/>
                <w:sz w:val="16"/>
              </w:rPr>
              <w:t>Enabling statutes vary despite Law 13,848 baseline</w:t>
            </w:r>
          </w:p>
        </w:tc>
        <w:tc>
          <w:tcPr>
            <w:tcW w:type="dxa" w:w="2736"/>
            <w:vAlign w:val="top"/>
          </w:tcPr>
          <w:p>
            <w:r/>
            <w:r>
              <w:rPr>
                <w:rFonts w:ascii="Arial" w:hAnsi="Arial"/>
                <w:b w:val="0"/>
                <w:i w:val="0"/>
                <w:color w:val="1E242A"/>
                <w:sz w:val="16"/>
              </w:rPr>
              <w:t>Validate each agency separately before encoding</w:t>
            </w:r>
          </w:p>
        </w:tc>
      </w:tr>
      <w:tr>
        <w:trPr>
          <w:cantSplit/>
        </w:trPr>
        <w:tc>
          <w:tcPr>
            <w:tcW w:type="dxa" w:w="1152"/>
            <w:vAlign w:val="top"/>
          </w:tcPr>
          <w:p>
            <w:r/>
            <w:r>
              <w:rPr>
                <w:rFonts w:ascii="Arial" w:hAnsi="Arial"/>
                <w:b w:val="0"/>
                <w:i w:val="0"/>
                <w:color w:val="1E242A"/>
                <w:sz w:val="16"/>
              </w:rPr>
              <w:t>High</w:t>
            </w:r>
          </w:p>
        </w:tc>
        <w:tc>
          <w:tcPr>
            <w:tcW w:type="dxa" w:w="2376"/>
            <w:vAlign w:val="top"/>
          </w:tcPr>
          <w:p>
            <w:r/>
            <w:r>
              <w:rPr>
                <w:rFonts w:ascii="Arial" w:hAnsi="Arial"/>
                <w:b w:val="0"/>
                <w:i w:val="0"/>
                <w:color w:val="1E242A"/>
                <w:sz w:val="16"/>
              </w:rPr>
              <w:t>Effects of diffuse STF review and Senate art. 52 X</w:t>
            </w:r>
          </w:p>
        </w:tc>
        <w:tc>
          <w:tcPr>
            <w:tcW w:type="dxa" w:w="3096"/>
            <w:vAlign w:val="top"/>
          </w:tcPr>
          <w:p>
            <w:r/>
            <w:r>
              <w:rPr>
                <w:rFonts w:ascii="Arial" w:hAnsi="Arial"/>
                <w:b w:val="0"/>
                <w:i w:val="0"/>
                <w:color w:val="1E242A"/>
                <w:sz w:val="16"/>
              </w:rPr>
              <w:t>“Abstrativization” debate makes a single universal-effects rule unsafe</w:t>
            </w:r>
          </w:p>
        </w:tc>
        <w:tc>
          <w:tcPr>
            <w:tcW w:type="dxa" w:w="2736"/>
            <w:vAlign w:val="top"/>
          </w:tcPr>
          <w:p>
            <w:r/>
            <w:r>
              <w:rPr>
                <w:rFonts w:ascii="Arial" w:hAnsi="Arial"/>
                <w:b w:val="0"/>
                <w:i w:val="0"/>
                <w:color w:val="1E242A"/>
                <w:sz w:val="16"/>
              </w:rPr>
              <w:t>Specialist doctrinal review with controlling cases</w:t>
            </w:r>
          </w:p>
        </w:tc>
      </w:tr>
      <w:tr>
        <w:trPr>
          <w:cantSplit/>
        </w:trPr>
        <w:tc>
          <w:tcPr>
            <w:tcW w:type="dxa" w:w="1152"/>
            <w:vAlign w:val="top"/>
          </w:tcPr>
          <w:p>
            <w:r/>
            <w:r>
              <w:rPr>
                <w:rFonts w:ascii="Arial" w:hAnsi="Arial"/>
                <w:b w:val="0"/>
                <w:i w:val="0"/>
                <w:color w:val="1E242A"/>
                <w:sz w:val="16"/>
              </w:rPr>
              <w:t>Medium</w:t>
            </w:r>
          </w:p>
        </w:tc>
        <w:tc>
          <w:tcPr>
            <w:tcW w:type="dxa" w:w="2376"/>
            <w:vAlign w:val="top"/>
          </w:tcPr>
          <w:p>
            <w:r/>
            <w:r>
              <w:rPr>
                <w:rFonts w:ascii="Arial" w:hAnsi="Arial"/>
                <w:b w:val="0"/>
                <w:i w:val="0"/>
                <w:color w:val="1E242A"/>
                <w:sz w:val="16"/>
              </w:rPr>
              <w:t>Non-art. 5 §3 human-rights treaty rank</w:t>
            </w:r>
          </w:p>
        </w:tc>
        <w:tc>
          <w:tcPr>
            <w:tcW w:type="dxa" w:w="3096"/>
            <w:vAlign w:val="top"/>
          </w:tcPr>
          <w:p>
            <w:r/>
            <w:r>
              <w:rPr>
                <w:rFonts w:ascii="Arial" w:hAnsi="Arial"/>
                <w:b w:val="0"/>
                <w:i w:val="0"/>
                <w:color w:val="1E242A"/>
                <w:sz w:val="16"/>
              </w:rPr>
              <w:t>STF supralegal doctrine requires precise case citation and exceptions</w:t>
            </w:r>
          </w:p>
        </w:tc>
        <w:tc>
          <w:tcPr>
            <w:tcW w:type="dxa" w:w="2736"/>
            <w:vAlign w:val="top"/>
          </w:tcPr>
          <w:p>
            <w:r/>
            <w:r>
              <w:rPr>
                <w:rFonts w:ascii="Arial" w:hAnsi="Arial"/>
                <w:b w:val="0"/>
                <w:i w:val="0"/>
                <w:color w:val="1E242A"/>
                <w:sz w:val="16"/>
              </w:rPr>
              <w:t>Validate in a foreign-affairs/legal pass</w:t>
            </w:r>
          </w:p>
        </w:tc>
      </w:tr>
      <w:tr>
        <w:trPr>
          <w:cantSplit/>
        </w:trPr>
        <w:tc>
          <w:tcPr>
            <w:tcW w:type="dxa" w:w="1152"/>
            <w:vAlign w:val="top"/>
          </w:tcPr>
          <w:p>
            <w:r/>
            <w:r>
              <w:rPr>
                <w:rFonts w:ascii="Arial" w:hAnsi="Arial"/>
                <w:b w:val="0"/>
                <w:i w:val="0"/>
                <w:color w:val="1E242A"/>
                <w:sz w:val="16"/>
              </w:rPr>
              <w:t>Medium</w:t>
            </w:r>
          </w:p>
        </w:tc>
        <w:tc>
          <w:tcPr>
            <w:tcW w:type="dxa" w:w="2376"/>
            <w:vAlign w:val="top"/>
          </w:tcPr>
          <w:p>
            <w:r/>
            <w:r>
              <w:rPr>
                <w:rFonts w:ascii="Arial" w:hAnsi="Arial"/>
                <w:b w:val="0"/>
                <w:i w:val="0"/>
                <w:color w:val="1E242A"/>
                <w:sz w:val="16"/>
              </w:rPr>
              <w:t>Coalition support probabilities</w:t>
            </w:r>
          </w:p>
        </w:tc>
        <w:tc>
          <w:tcPr>
            <w:tcW w:type="dxa" w:w="3096"/>
            <w:vAlign w:val="top"/>
          </w:tcPr>
          <w:p>
            <w:r/>
            <w:r>
              <w:rPr>
                <w:rFonts w:ascii="Arial" w:hAnsi="Arial"/>
                <w:b w:val="0"/>
                <w:i w:val="0"/>
                <w:color w:val="1E242A"/>
                <w:sz w:val="16"/>
              </w:rPr>
              <w:t>Datasets define coalition/base/support differently and period effects are large</w:t>
            </w:r>
          </w:p>
        </w:tc>
        <w:tc>
          <w:tcPr>
            <w:tcW w:type="dxa" w:w="2736"/>
            <w:vAlign w:val="top"/>
          </w:tcPr>
          <w:p>
            <w:r/>
            <w:r>
              <w:rPr>
                <w:rFonts w:ascii="Arial" w:hAnsi="Arial"/>
                <w:b w:val="0"/>
                <w:i w:val="0"/>
                <w:color w:val="1E242A"/>
                <w:sz w:val="16"/>
              </w:rPr>
              <w:t>Preserve dataset definitions; do not merge mechanically</w:t>
            </w:r>
          </w:p>
        </w:tc>
      </w:tr>
      <w:tr>
        <w:trPr>
          <w:cantSplit/>
        </w:trPr>
        <w:tc>
          <w:tcPr>
            <w:tcW w:type="dxa" w:w="1152"/>
            <w:vAlign w:val="top"/>
          </w:tcPr>
          <w:p>
            <w:r/>
            <w:r>
              <w:rPr>
                <w:rFonts w:ascii="Arial" w:hAnsi="Arial"/>
                <w:b w:val="0"/>
                <w:i w:val="0"/>
                <w:color w:val="1E242A"/>
                <w:sz w:val="16"/>
              </w:rPr>
              <w:t>Medium</w:t>
            </w:r>
          </w:p>
        </w:tc>
        <w:tc>
          <w:tcPr>
            <w:tcW w:type="dxa" w:w="2376"/>
            <w:vAlign w:val="top"/>
          </w:tcPr>
          <w:p>
            <w:r/>
            <w:r>
              <w:rPr>
                <w:rFonts w:ascii="Arial" w:hAnsi="Arial"/>
                <w:b w:val="0"/>
                <w:i w:val="0"/>
                <w:color w:val="1E242A"/>
                <w:sz w:val="16"/>
              </w:rPr>
              <w:t>Structural judicial remedies</w:t>
            </w:r>
          </w:p>
        </w:tc>
        <w:tc>
          <w:tcPr>
            <w:tcW w:type="dxa" w:w="3096"/>
            <w:vAlign w:val="top"/>
          </w:tcPr>
          <w:p>
            <w:r/>
            <w:r>
              <w:rPr>
                <w:rFonts w:ascii="Arial" w:hAnsi="Arial"/>
                <w:b w:val="0"/>
                <w:i w:val="0"/>
                <w:color w:val="1E242A"/>
                <w:sz w:val="16"/>
              </w:rPr>
              <w:t>Cases establish possibility but scope, legitimacy and compliance vary</w:t>
            </w:r>
          </w:p>
        </w:tc>
        <w:tc>
          <w:tcPr>
            <w:tcW w:type="dxa" w:w="2736"/>
            <w:vAlign w:val="top"/>
          </w:tcPr>
          <w:p>
            <w:r/>
            <w:r>
              <w:rPr>
                <w:rFonts w:ascii="Arial" w:hAnsi="Arial"/>
                <w:b w:val="0"/>
                <w:i w:val="0"/>
                <w:color w:val="1E242A"/>
                <w:sz w:val="16"/>
              </w:rPr>
              <w:t>Record remedy and implementation case by case</w:t>
            </w:r>
          </w:p>
        </w:tc>
      </w:tr>
      <w:tr>
        <w:trPr>
          <w:cantSplit/>
        </w:trPr>
        <w:tc>
          <w:tcPr>
            <w:tcW w:type="dxa" w:w="1152"/>
            <w:vAlign w:val="top"/>
          </w:tcPr>
          <w:p>
            <w:r/>
            <w:r>
              <w:rPr>
                <w:rFonts w:ascii="Arial" w:hAnsi="Arial"/>
                <w:b w:val="0"/>
                <w:i w:val="0"/>
                <w:color w:val="1E242A"/>
                <w:sz w:val="16"/>
              </w:rPr>
              <w:t>Medium</w:t>
            </w:r>
          </w:p>
        </w:tc>
        <w:tc>
          <w:tcPr>
            <w:tcW w:type="dxa" w:w="2376"/>
            <w:vAlign w:val="top"/>
          </w:tcPr>
          <w:p>
            <w:r/>
            <w:r>
              <w:rPr>
                <w:rFonts w:ascii="Arial" w:hAnsi="Arial"/>
                <w:b w:val="0"/>
                <w:i w:val="0"/>
                <w:color w:val="1E242A"/>
                <w:sz w:val="16"/>
              </w:rPr>
              <w:t>Regulator operational independence</w:t>
            </w:r>
          </w:p>
        </w:tc>
        <w:tc>
          <w:tcPr>
            <w:tcW w:type="dxa" w:w="3096"/>
            <w:vAlign w:val="top"/>
          </w:tcPr>
          <w:p>
            <w:r/>
            <w:r>
              <w:rPr>
                <w:rFonts w:ascii="Arial" w:hAnsi="Arial"/>
                <w:b w:val="0"/>
                <w:i w:val="0"/>
                <w:color w:val="1E242A"/>
                <w:sz w:val="16"/>
              </w:rPr>
              <w:t>Statutory autonomy may be weakened by vacancies and budget restrictions</w:t>
            </w:r>
          </w:p>
        </w:tc>
        <w:tc>
          <w:tcPr>
            <w:tcW w:type="dxa" w:w="2736"/>
            <w:vAlign w:val="top"/>
          </w:tcPr>
          <w:p>
            <w:r/>
            <w:r>
              <w:rPr>
                <w:rFonts w:ascii="Arial" w:hAnsi="Arial"/>
                <w:b w:val="0"/>
                <w:i w:val="0"/>
                <w:color w:val="1E242A"/>
                <w:sz w:val="16"/>
              </w:rPr>
              <w:t>Add scenario-state capacity indicators, not a binary independence flag</w:t>
            </w:r>
          </w:p>
        </w:tc>
      </w:tr>
      <w:tr>
        <w:trPr>
          <w:cantSplit/>
        </w:trPr>
        <w:tc>
          <w:tcPr>
            <w:tcW w:type="dxa" w:w="1152"/>
            <w:vAlign w:val="top"/>
          </w:tcPr>
          <w:p>
            <w:r/>
            <w:r>
              <w:rPr>
                <w:rFonts w:ascii="Arial" w:hAnsi="Arial"/>
                <w:b w:val="0"/>
                <w:i w:val="0"/>
                <w:color w:val="1E242A"/>
                <w:sz w:val="16"/>
              </w:rPr>
              <w:t>Medium</w:t>
            </w:r>
          </w:p>
        </w:tc>
        <w:tc>
          <w:tcPr>
            <w:tcW w:type="dxa" w:w="2376"/>
            <w:vAlign w:val="top"/>
          </w:tcPr>
          <w:p>
            <w:r/>
            <w:r>
              <w:rPr>
                <w:rFonts w:ascii="Arial" w:hAnsi="Arial"/>
                <w:b w:val="0"/>
                <w:i w:val="0"/>
                <w:color w:val="1E242A"/>
                <w:sz w:val="16"/>
              </w:rPr>
              <w:t>Ministry map</w:t>
            </w:r>
          </w:p>
        </w:tc>
        <w:tc>
          <w:tcPr>
            <w:tcW w:type="dxa" w:w="3096"/>
            <w:vAlign w:val="top"/>
          </w:tcPr>
          <w:p>
            <w:r/>
            <w:r>
              <w:rPr>
                <w:rFonts w:ascii="Arial" w:hAnsi="Arial"/>
                <w:b w:val="0"/>
                <w:i w:val="0"/>
                <w:color w:val="1E242A"/>
                <w:sz w:val="16"/>
              </w:rPr>
              <w:t>Executive organization changes frequently</w:t>
            </w:r>
          </w:p>
        </w:tc>
        <w:tc>
          <w:tcPr>
            <w:tcW w:type="dxa" w:w="2736"/>
            <w:vAlign w:val="top"/>
          </w:tcPr>
          <w:p>
            <w:r/>
            <w:r>
              <w:rPr>
                <w:rFonts w:ascii="Arial" w:hAnsi="Arial"/>
                <w:b w:val="0"/>
                <w:i w:val="0"/>
                <w:color w:val="1E242A"/>
                <w:sz w:val="16"/>
              </w:rPr>
              <w:t>Resolve functions and officeholders at each scenario start date</w:t>
            </w:r>
          </w:p>
        </w:tc>
      </w:tr>
      <w:tr>
        <w:trPr>
          <w:cantSplit/>
        </w:trPr>
        <w:tc>
          <w:tcPr>
            <w:tcW w:type="dxa" w:w="1152"/>
            <w:vAlign w:val="top"/>
          </w:tcPr>
          <w:p>
            <w:r/>
            <w:r>
              <w:rPr>
                <w:rFonts w:ascii="Arial" w:hAnsi="Arial"/>
                <w:b w:val="0"/>
                <w:i w:val="0"/>
                <w:color w:val="1E242A"/>
                <w:sz w:val="16"/>
              </w:rPr>
              <w:t>Medium</w:t>
            </w:r>
          </w:p>
        </w:tc>
        <w:tc>
          <w:tcPr>
            <w:tcW w:type="dxa" w:w="2376"/>
            <w:vAlign w:val="top"/>
          </w:tcPr>
          <w:p>
            <w:r/>
            <w:r>
              <w:rPr>
                <w:rFonts w:ascii="Arial" w:hAnsi="Arial"/>
                <w:b w:val="0"/>
                <w:i w:val="0"/>
                <w:color w:val="1E242A"/>
                <w:sz w:val="16"/>
              </w:rPr>
              <w:t>Current party federations/performance</w:t>
            </w:r>
          </w:p>
        </w:tc>
        <w:tc>
          <w:tcPr>
            <w:tcW w:type="dxa" w:w="3096"/>
            <w:vAlign w:val="top"/>
          </w:tcPr>
          <w:p>
            <w:r/>
            <w:r>
              <w:rPr>
                <w:rFonts w:ascii="Arial" w:hAnsi="Arial"/>
                <w:b w:val="0"/>
                <w:i w:val="0"/>
                <w:color w:val="1E242A"/>
                <w:sz w:val="16"/>
              </w:rPr>
              <w:t>Registrations and party alignments are election-cycle state</w:t>
            </w:r>
          </w:p>
        </w:tc>
        <w:tc>
          <w:tcPr>
            <w:tcW w:type="dxa" w:w="2736"/>
            <w:vAlign w:val="top"/>
          </w:tcPr>
          <w:p>
            <w:r/>
            <w:r>
              <w:rPr>
                <w:rFonts w:ascii="Arial" w:hAnsi="Arial"/>
                <w:b w:val="0"/>
                <w:i w:val="0"/>
                <w:color w:val="1E242A"/>
                <w:sz w:val="16"/>
              </w:rPr>
              <w:t>Refresh from TSE for every scenario</w:t>
            </w:r>
          </w:p>
        </w:tc>
      </w:tr>
    </w:tbl>
    <w:p>
      <w:pPr>
        <w:spacing w:after="40"/>
      </w:pPr>
    </w:p>
    <w:p>
      <w:pPr>
        <w:pStyle w:val="Heading1"/>
      </w:pPr>
      <w:r>
        <w:rPr>
          <w:rFonts w:ascii="Arial" w:hAnsi="Arial"/>
          <w:b w:val="0"/>
          <w:i w:val="0"/>
          <w:color w:val="183752"/>
          <w:sz w:val="34"/>
        </w:rPr>
        <w:t>Sources and provenance notes</w:t>
      </w:r>
    </w:p>
    <w:p>
      <w:r>
        <w:rPr>
          <w:rFonts w:ascii="Arial" w:hAnsi="Arial"/>
          <w:b w:val="0"/>
          <w:i w:val="0"/>
          <w:color w:val="1E242A"/>
          <w:sz w:val="21"/>
        </w:rPr>
        <w:t>Mechanically important formal claims in this pass rely principally on the current official Brazilian Constitution, statutes, chamber rules and institutional explanations. The most consequential claims were checked against more than one official route where practical. Political-practice conclusions rely on peer-reviewed work and OECD institutional analysis; they are labeled as tendencies and preserve disagreement. Contemporary facts are marked SCENARIO-SPECIFIC.</w:t>
      </w:r>
    </w:p>
    <w:p>
      <w:r>
        <w:rPr>
          <w:rFonts w:ascii="Arial" w:hAnsi="Arial"/>
          <w:b w:val="0"/>
          <w:i w:val="0"/>
          <w:color w:val="1E242A"/>
          <w:sz w:val="21"/>
        </w:rPr>
        <w:t>Principal sources include:</w:t>
      </w:r>
    </w:p>
    <w:p>
      <w:pPr>
        <w:pStyle w:val="ListBullet"/>
        <w:numPr>
          <w:ilvl w:val="0"/>
          <w:numId w:val="2"/>
        </w:numPr>
      </w:pPr>
      <w:r>
        <w:rPr>
          <w:rFonts w:ascii="Arial" w:hAnsi="Arial"/>
          <w:b w:val="0"/>
          <w:i w:val="0"/>
          <w:color w:val="1E242A"/>
          <w:sz w:val="20"/>
        </w:rPr>
        <w:t xml:space="preserve">Câmara dos Deputados, </w:t>
      </w:r>
      <w:r>
        <w:rPr>
          <w:rFonts w:ascii="Arial" w:hAnsi="Arial"/>
          <w:b w:val="0"/>
          <w:i/>
          <w:color w:val="1E242A"/>
          <w:sz w:val="20"/>
        </w:rPr>
        <w:t>Constituição da República Federativa do Brasil</w:t>
      </w:r>
      <w:r>
        <w:rPr>
          <w:rFonts w:ascii="Arial" w:hAnsi="Arial"/>
          <w:b w:val="0"/>
          <w:i w:val="0"/>
          <w:color w:val="1E242A"/>
          <w:sz w:val="20"/>
        </w:rPr>
        <w:t>, current consolidated text through EC 139/2026: https://www2.camara.leg.br/legin/fed/consti/1988/constituicao-1988-5-outubro-1988-322142-normaatualizada-pl.html</w:t>
      </w:r>
    </w:p>
    <w:p>
      <w:pPr>
        <w:pStyle w:val="ListBullet"/>
        <w:numPr>
          <w:ilvl w:val="0"/>
          <w:numId w:val="2"/>
        </w:numPr>
      </w:pPr>
      <w:r>
        <w:rPr>
          <w:rFonts w:ascii="Arial" w:hAnsi="Arial"/>
          <w:b w:val="0"/>
          <w:i w:val="0"/>
          <w:color w:val="1E242A"/>
          <w:sz w:val="20"/>
        </w:rPr>
        <w:t>Presidency/Casa Civil, consolidated Constitution and federal legislation portal: https://www.planalto.gov.br/ccivil_03/constituicao/constituicao.htm</w:t>
      </w:r>
    </w:p>
    <w:p>
      <w:pPr>
        <w:pStyle w:val="ListBullet"/>
        <w:numPr>
          <w:ilvl w:val="0"/>
          <w:numId w:val="2"/>
        </w:numPr>
      </w:pPr>
      <w:r>
        <w:rPr>
          <w:rFonts w:ascii="Arial" w:hAnsi="Arial"/>
          <w:b w:val="0"/>
          <w:i w:val="0"/>
          <w:color w:val="1E242A"/>
          <w:sz w:val="20"/>
        </w:rPr>
        <w:t xml:space="preserve">Câmara dos Deputados, </w:t>
      </w:r>
      <w:r>
        <w:rPr>
          <w:rFonts w:ascii="Arial" w:hAnsi="Arial"/>
          <w:b w:val="0"/>
          <w:i/>
          <w:color w:val="1E242A"/>
          <w:sz w:val="20"/>
        </w:rPr>
        <w:t>Regimento Interno</w:t>
      </w:r>
      <w:r>
        <w:rPr>
          <w:rFonts w:ascii="Arial" w:hAnsi="Arial"/>
          <w:b w:val="0"/>
          <w:i w:val="0"/>
          <w:color w:val="1E242A"/>
          <w:sz w:val="20"/>
        </w:rPr>
        <w:t>, consolidated 2026: https://www2.camara.leg.br/atividade-legislativa/legislacao/regimento-interno-da-camara-dos-deputados/arquivos-1/RICDatualizadoatRCD342026.pdf/view</w:t>
      </w:r>
    </w:p>
    <w:p>
      <w:pPr>
        <w:pStyle w:val="ListBullet"/>
        <w:numPr>
          <w:ilvl w:val="0"/>
          <w:numId w:val="2"/>
        </w:numPr>
      </w:pPr>
      <w:r>
        <w:rPr>
          <w:rFonts w:ascii="Arial" w:hAnsi="Arial"/>
          <w:b w:val="0"/>
          <w:i w:val="0"/>
          <w:color w:val="1E242A"/>
          <w:sz w:val="20"/>
        </w:rPr>
        <w:t>Congress, Resolution 1/2002 (provisional measures): https://legis.senado.leg.br/norma/561120/publicacao/15678176</w:t>
      </w:r>
    </w:p>
    <w:p>
      <w:pPr>
        <w:pStyle w:val="ListBullet"/>
        <w:numPr>
          <w:ilvl w:val="0"/>
          <w:numId w:val="2"/>
        </w:numPr>
      </w:pPr>
      <w:r>
        <w:rPr>
          <w:rFonts w:ascii="Arial" w:hAnsi="Arial"/>
          <w:b w:val="0"/>
          <w:i w:val="0"/>
          <w:color w:val="1E242A"/>
          <w:sz w:val="20"/>
        </w:rPr>
        <w:t>Senate, Budget Legislation Portal: https://www12.senado.leg.br/orcamento/legislacao-orcamentaria</w:t>
      </w:r>
    </w:p>
    <w:p>
      <w:pPr>
        <w:pStyle w:val="ListBullet"/>
        <w:numPr>
          <w:ilvl w:val="0"/>
          <w:numId w:val="2"/>
        </w:numPr>
      </w:pPr>
      <w:r>
        <w:rPr>
          <w:rFonts w:ascii="Arial" w:hAnsi="Arial"/>
          <w:b w:val="0"/>
          <w:i w:val="0"/>
          <w:color w:val="1E242A"/>
          <w:sz w:val="20"/>
        </w:rPr>
        <w:t>STF, annotated Constitution and constitutional-review materials: https://portal.stf.jus.br/constituicao-supremo/</w:t>
      </w:r>
    </w:p>
    <w:p>
      <w:pPr>
        <w:pStyle w:val="ListBullet"/>
        <w:numPr>
          <w:ilvl w:val="0"/>
          <w:numId w:val="2"/>
        </w:numPr>
      </w:pPr>
      <w:r>
        <w:rPr>
          <w:rFonts w:ascii="Arial" w:hAnsi="Arial"/>
          <w:b w:val="0"/>
          <w:i w:val="0"/>
          <w:color w:val="1E242A"/>
          <w:sz w:val="20"/>
        </w:rPr>
        <w:t>TSE, consolidated Election Code, Election Law and Party Law: https://www.tse.jus.br/legislacao/codigo-eleitoral</w:t>
      </w:r>
    </w:p>
    <w:p>
      <w:pPr>
        <w:pStyle w:val="ListBullet"/>
        <w:numPr>
          <w:ilvl w:val="0"/>
          <w:numId w:val="2"/>
        </w:numPr>
      </w:pPr>
      <w:r>
        <w:rPr>
          <w:rFonts w:ascii="Arial" w:hAnsi="Arial"/>
          <w:b w:val="0"/>
          <w:i w:val="0"/>
          <w:color w:val="1E242A"/>
          <w:sz w:val="20"/>
        </w:rPr>
        <w:t>Law 14,600/2023 (Presidency and ministries): https://www.planalto.gov.br/ccivil_03/_ato2023-2026/2023/lei/l14600.htm</w:t>
      </w:r>
    </w:p>
    <w:p>
      <w:pPr>
        <w:pStyle w:val="ListBullet"/>
        <w:numPr>
          <w:ilvl w:val="0"/>
          <w:numId w:val="2"/>
        </w:numPr>
      </w:pPr>
      <w:r>
        <w:rPr>
          <w:rFonts w:ascii="Arial" w:hAnsi="Arial"/>
          <w:b w:val="0"/>
          <w:i w:val="0"/>
          <w:color w:val="1E242A"/>
          <w:sz w:val="20"/>
        </w:rPr>
        <w:t>Law 13,848/2019 (regulatory agencies): https://www.planalto.gov.br/ccivil_03/_ato2019-2022/2019/lei/l13848.htm</w:t>
      </w:r>
    </w:p>
    <w:p>
      <w:pPr>
        <w:pStyle w:val="ListBullet"/>
        <w:numPr>
          <w:ilvl w:val="0"/>
          <w:numId w:val="2"/>
        </w:numPr>
      </w:pPr>
      <w:r>
        <w:rPr>
          <w:rFonts w:ascii="Arial" w:hAnsi="Arial"/>
          <w:b w:val="0"/>
          <w:i w:val="0"/>
          <w:color w:val="1E242A"/>
          <w:sz w:val="20"/>
        </w:rPr>
        <w:t>LC 179/2021 (Central Bank autonomy): https://www.planalto.gov.br/ccivil_03/leis/lcp/lcp179.htm</w:t>
      </w:r>
    </w:p>
    <w:p>
      <w:pPr>
        <w:pStyle w:val="ListBullet"/>
        <w:numPr>
          <w:ilvl w:val="0"/>
          <w:numId w:val="2"/>
        </w:numPr>
      </w:pPr>
      <w:r>
        <w:rPr>
          <w:rFonts w:ascii="Arial" w:hAnsi="Arial"/>
          <w:b w:val="0"/>
          <w:i w:val="0"/>
          <w:color w:val="1E242A"/>
          <w:sz w:val="20"/>
        </w:rPr>
        <w:t>LC 97/1999 (Armed Forces organization and employment): https://www.planalto.gov.br/ccivil_03/leis/lcp/lcp97compilado.htm</w:t>
      </w:r>
    </w:p>
    <w:p>
      <w:pPr>
        <w:pStyle w:val="ListBullet"/>
        <w:numPr>
          <w:ilvl w:val="0"/>
          <w:numId w:val="2"/>
        </w:numPr>
      </w:pPr>
      <w:r>
        <w:rPr>
          <w:rFonts w:ascii="Arial" w:hAnsi="Arial"/>
          <w:b w:val="0"/>
          <w:i w:val="0"/>
          <w:color w:val="1E242A"/>
          <w:sz w:val="20"/>
        </w:rPr>
        <w:t xml:space="preserve">Figueiredo and Limongi, “Bases institucionais do presidencialismo de coalizão,” </w:t>
      </w:r>
      <w:r>
        <w:rPr>
          <w:rFonts w:ascii="Arial" w:hAnsi="Arial"/>
          <w:b w:val="0"/>
          <w:i/>
          <w:color w:val="1E242A"/>
          <w:sz w:val="20"/>
        </w:rPr>
        <w:t>Lua Nova</w:t>
      </w:r>
      <w:r>
        <w:rPr>
          <w:rFonts w:ascii="Arial" w:hAnsi="Arial"/>
          <w:b w:val="0"/>
          <w:i w:val="0"/>
          <w:color w:val="1E242A"/>
          <w:sz w:val="20"/>
        </w:rPr>
        <w:t xml:space="preserve"> 44 (1998): https://doi.org/10.1590/S0102-64451998000200005</w:t>
      </w:r>
    </w:p>
    <w:p>
      <w:pPr>
        <w:pStyle w:val="ListBullet"/>
        <w:numPr>
          <w:ilvl w:val="0"/>
          <w:numId w:val="2"/>
        </w:numPr>
      </w:pPr>
      <w:r>
        <w:rPr>
          <w:rFonts w:ascii="Arial" w:hAnsi="Arial"/>
          <w:b w:val="0"/>
          <w:i w:val="0"/>
          <w:color w:val="1E242A"/>
          <w:sz w:val="20"/>
        </w:rPr>
        <w:t xml:space="preserve">OECD, </w:t>
      </w:r>
      <w:r>
        <w:rPr>
          <w:rFonts w:ascii="Arial" w:hAnsi="Arial"/>
          <w:b w:val="0"/>
          <w:i/>
          <w:color w:val="1E242A"/>
          <w:sz w:val="20"/>
        </w:rPr>
        <w:t>Auditing Decentralised Policies in Brazil</w:t>
      </w:r>
      <w:r>
        <w:rPr>
          <w:rFonts w:ascii="Arial" w:hAnsi="Arial"/>
          <w:b w:val="0"/>
          <w:i w:val="0"/>
          <w:color w:val="1E242A"/>
          <w:sz w:val="20"/>
        </w:rPr>
        <w:t xml:space="preserve"> (2020): https://www.oecd.org/en/publications/auditing-decentralised-policies-in-brazil_30023307-en.html</w:t>
      </w:r>
    </w:p>
    <w:p>
      <w:pPr>
        <w:pStyle w:val="ListBullet"/>
        <w:numPr>
          <w:ilvl w:val="0"/>
          <w:numId w:val="2"/>
        </w:numPr>
      </w:pPr>
      <w:r>
        <w:rPr>
          <w:rFonts w:ascii="Arial" w:hAnsi="Arial"/>
          <w:b w:val="0"/>
          <w:i w:val="0"/>
          <w:color w:val="1E242A"/>
          <w:sz w:val="20"/>
        </w:rPr>
        <w:t xml:space="preserve">OECD, </w:t>
      </w:r>
      <w:r>
        <w:rPr>
          <w:rFonts w:ascii="Arial" w:hAnsi="Arial"/>
          <w:b w:val="0"/>
          <w:i/>
          <w:color w:val="1E242A"/>
          <w:sz w:val="20"/>
        </w:rPr>
        <w:t>Centre of Government Review of Brazil</w:t>
      </w:r>
      <w:r>
        <w:rPr>
          <w:rFonts w:ascii="Arial" w:hAnsi="Arial"/>
          <w:b w:val="0"/>
          <w:i w:val="0"/>
          <w:color w:val="1E242A"/>
          <w:sz w:val="20"/>
        </w:rPr>
        <w:t xml:space="preserve"> (2022): https://www.oecd.org/gov/centre-of-government-review-of-brazil-33d996b2-en.htm</w:t>
      </w:r>
    </w:p>
    <w:p>
      <w:r>
        <w:rPr>
          <w:rFonts w:ascii="Arial" w:hAnsi="Arial"/>
          <w:b/>
          <w:i w:val="0"/>
          <w:color w:val="1E242A"/>
          <w:sz w:val="21"/>
        </w:rPr>
        <w:t>Research stop rationale.</w:t>
      </w:r>
      <w:r>
        <w:rPr>
          <w:rFonts w:ascii="Arial" w:hAnsi="Arial"/>
          <w:b w:val="0"/>
          <w:i w:val="0"/>
          <w:color w:val="1E242A"/>
          <w:sz w:val="21"/>
        </w:rPr>
        <w:t xml:space="preserve"> Every major authority family requested in Pass 1 has primary-source support; second-wave retrieval tested centralization claims, decree limits, military authority, budget discretion, judicial remedies and current electoral apportionment. Remaining gaps are narrow, identified above, and additional broad searching was unlikely to change the core institutional map.</w:t>
      </w:r>
    </w:p>
    <w:sectPr>
      <w:headerReference r:id="rId13" w:type="default"/>
      <w:footerReference r:id="rId14"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center"/>
      <w:rPr>
        <w:color w:val="999999"/>
        <w:sz w:val="18"/>
        <w:szCs w:val="18"/>
      </w:rPr>
    </w:pPr>
    <w:r>
      <w:rPr>
        <w:rFonts w:ascii="Arial" w:hAnsi="Arial"/>
        <w:b w:val="0"/>
        <w:i w:val="0"/>
        <w:color w:val="5A636B"/>
        <w:sz w:val="16"/>
      </w:rPr>
      <w:t>Research Pass 1  |  State, Constitution and Political Institutions  |  3 September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left"/>
      <w:rPr>
        <w:color w:val="999999"/>
        <w:sz w:val="24"/>
        <w:szCs w:val="24"/>
      </w:rPr>
    </w:pPr>
    <w:r>
      <w:rPr>
        <w:rFonts w:ascii="Arial" w:hAnsi="Arial"/>
        <w:b/>
        <w:i w:val="0"/>
        <w:color w:val="5A636B"/>
        <w:sz w:val="17"/>
      </w:rPr>
      <w:t>SOVEREIGN  |  BRAZIL COUNTRY RESEARCH PROGRAMME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abstractNum w:abstractNumId="2">
    <w:multiLevelType w:val="singleLevel"/>
    <w:lvl w:ilvl="0">
      <w:start w:val="1"/>
      <w:numFmt w:val="bullet"/>
      <w:lvlText w:val="•"/>
      <w:lvlJc w:val="left"/>
      <w:pPr>
        <w:tabs>
          <w:tab w:val="num" w:pos="720"/>
        </w:tabs>
        <w:ind w:left="720" w:hanging="360"/>
      </w:pPr>
    </w:lvl>
  </w:abstractNum>
  <w:num w:numId="2">
    <w:abstractNumId w:val="2"/>
  </w:num>
  <w:abstractNum w:abstractNumId="3">
    <w:multiLevelType w:val="singleLevel"/>
    <w:lvl w:ilvl="0">
      <w:start w:val="1"/>
      <w:numFmt w:val="decimal"/>
      <w:lvlText w:val="%1."/>
      <w:lvlJc w:val="left"/>
      <w:pPr>
        <w:tabs>
          <w:tab w:val="num" w:pos="720"/>
        </w:tabs>
        <w:ind w:left="720" w:hanging="360"/>
      </w:pPr>
    </w:lvl>
  </w:abstract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rial" w:hAnsi="Arial"/>
      <w:color w:val="1E242A"/>
      <w:sz w:val="21"/>
    </w:rPr>
  </w:style>
  <w:style w:type="paragraph" w:styleId="Heading1">
    <w:name w:val="heading 1"/>
    <w:basedOn w:val="Normal"/>
    <w:next w:val="Normal"/>
    <w:pPr>
      <w:keepNext/>
      <w:keepLines w:val="1"/>
      <w:spacing w:after="140" w:before="320" w:lineRule="auto"/>
    </w:pPr>
    <w:rPr>
      <w:rFonts w:ascii="Arial" w:hAnsi="Arial"/>
      <w:b/>
      <w:color w:val="183752"/>
      <w:sz w:val="34"/>
      <w:szCs w:val="40"/>
    </w:rPr>
  </w:style>
  <w:style w:type="paragraph" w:styleId="Heading2">
    <w:name w:val="heading 2"/>
    <w:basedOn w:val="Normal"/>
    <w:next w:val="Normal"/>
    <w:pPr>
      <w:keepNext/>
      <w:keepLines w:val="1"/>
      <w:spacing w:after="100" w:before="240" w:lineRule="auto"/>
    </w:pPr>
    <w:rPr>
      <w:rFonts w:ascii="Arial" w:hAnsi="Arial"/>
      <w:b/>
      <w:color w:val="2C5F80"/>
      <w:sz w:val="27"/>
      <w:szCs w:val="32"/>
    </w:rPr>
  </w:style>
  <w:style w:type="paragraph" w:styleId="Heading3">
    <w:name w:val="heading 3"/>
    <w:basedOn w:val="Normal"/>
    <w:next w:val="Normal"/>
    <w:pPr>
      <w:keepNext/>
      <w:keepLines w:val="1"/>
      <w:spacing w:after="60" w:before="160" w:lineRule="auto"/>
    </w:pPr>
    <w:rPr>
      <w:rFonts w:ascii="Arial" w:hAnsi="Arial"/>
      <w:b/>
      <w:color w:val="183752"/>
      <w:sz w:val="23"/>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200" w:lineRule="auto" w:before="0"/>
    </w:pPr>
    <w:rPr>
      <w:rFonts w:ascii="Arial" w:hAnsi="Arial"/>
      <w:b/>
      <w:color w:val="183752"/>
      <w:sz w:val="56"/>
      <w:szCs w:val="52"/>
    </w:rPr>
  </w:style>
  <w:style w:type="paragraph" w:styleId="Subtitle">
    <w:name w:val="Subtitle"/>
    <w:basedOn w:val="Normal"/>
    <w:next w:val="Normal"/>
    <w:pPr>
      <w:keepNext/>
      <w:keepLines w:val="1"/>
      <w:spacing w:after="240" w:lineRule="auto" w:before="0"/>
    </w:pPr>
    <w:rPr>
      <w:rFonts w:ascii="Arial" w:hAnsi="Arial"/>
      <w:b w:val="0"/>
      <w:color w:val="5A636B"/>
      <w:sz w:val="26"/>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customStyle="1" w:styleId="ListBullet">
    <w:name w:val="List Bullet"/>
    <w:basedOn w:val="Normal"/>
    <w:pPr>
      <w:spacing w:after="60" w:line="269" w:lineRule="auto"/>
    </w:pPr>
    <w:rPr>
      <w:rFonts w:ascii="Arial" w:hAnsi="Arial"/>
      <w:sz w:val="20"/>
    </w:rPr>
  </w:style>
  <w:style w:type="paragraph" w:customStyle="1" w:styleId="ListNumber">
    <w:name w:val="List Number"/>
    <w:basedOn w:val="Normal"/>
    <w:pPr>
      <w:spacing w:after="60" w:line="269" w:lineRule="auto"/>
    </w:pPr>
    <w:rPr>
      <w:rFonts w:ascii="Arial" w:hAnsi="Arial"/>
      <w:sz w:val="2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 Id="rId6" Type="http://schemas.openxmlformats.org/officeDocument/2006/relationships/hyperlink" Target="https://www2.camara.leg.br/legin/fed/consti/1988/constituicao-1988-5-outubro-1988-322142-normaatualizada-pl.html" TargetMode="External"/><Relationship Id="rId15" Type="http://schemas.openxmlformats.org/officeDocument/2006/relationships/hyperlink" Target="https://doi.org/10.1590/S0102-64451998000200005" TargetMode="External"/><Relationship Id="rId16" Type="http://schemas.openxmlformats.org/officeDocument/2006/relationships/hyperlink" Target="https://www12.senado.leg.br/ril/edicoes/61/242/ril_v61_n242_p11" TargetMode="External"/><Relationship Id="rId17" Type="http://schemas.openxmlformats.org/officeDocument/2006/relationships/hyperlink" Target="https://www.scielo.br/j/bpsr/a/rwXz4YfqcJmSsZ8zyxgG8hd/" TargetMode="External"/><Relationship Id="rId18" Type="http://schemas.openxmlformats.org/officeDocument/2006/relationships/hyperlink" Target="https://www.planalto.gov.br/ccivil_03/constituicao/constituicao.htm" TargetMode="External"/><Relationship Id="rId19" Type="http://schemas.openxmlformats.org/officeDocument/2006/relationships/hyperlink" Target="https://portal.stf.jus.br/constituicao-supremo/artigo.asp?abrirArtigo=84&amp;abrirBase=CF" TargetMode="External"/><Relationship Id="rId20" Type="http://schemas.openxmlformats.org/officeDocument/2006/relationships/hyperlink" Target="https://www.scielo.br/j/rinc/a/w6HH7Z8CjKyQnZqGtxqCXry/?lang=en" TargetMode="External"/><Relationship Id="rId21" Type="http://schemas.openxmlformats.org/officeDocument/2006/relationships/hyperlink" Target="https://portal.stf.jus.br/noticias/verNoticiaDetalhe.asp?idConteudo=506827&amp;ori=1" TargetMode="External"/><Relationship Id="rId22" Type="http://schemas.openxmlformats.org/officeDocument/2006/relationships/hyperlink" Target="https://legis.senado.leg.br/norma/561120/publicacao/15678176" TargetMode="External"/><Relationship Id="rId23" Type="http://schemas.openxmlformats.org/officeDocument/2006/relationships/hyperlink" Target="https://doi.org/10.1093/slr/hmv011" TargetMode="External"/><Relationship Id="rId24" Type="http://schemas.openxmlformats.org/officeDocument/2006/relationships/hyperlink" Target="https://www.planalto.gov.br/ccivil_03/_ato2023-2026/2024/decreto/d12002.htm" TargetMode="External"/><Relationship Id="rId25" Type="http://schemas.openxmlformats.org/officeDocument/2006/relationships/hyperlink" Target="https://www12.senado.leg.br/orcamento/legislacao-orcamentaria" TargetMode="External"/><Relationship Id="rId26" Type="http://schemas.openxmlformats.org/officeDocument/2006/relationships/hyperlink" Target="https://legis.senado.leg.br/norma/39857130/publicacao/39857348" TargetMode="External"/><Relationship Id="rId27" Type="http://schemas.openxmlformats.org/officeDocument/2006/relationships/hyperlink" Target="https://portal.stf.jus.br/noticias/verNoticiaDetalhe.asp?idConteudo=499330" TargetMode="External"/><Relationship Id="rId28" Type="http://schemas.openxmlformats.org/officeDocument/2006/relationships/hyperlink" Target="https://www.planalto.gov.br/ccivil_03/leis/lcp/lcp97compilado.htm" TargetMode="External"/><Relationship Id="rId29" Type="http://schemas.openxmlformats.org/officeDocument/2006/relationships/hyperlink" Target="https://portal.stf.jus.br/noticias/verNoticiaDetalhe.asp?idConteudo=531731&amp;ori=1" TargetMode="External"/><Relationship Id="rId30" Type="http://schemas.openxmlformats.org/officeDocument/2006/relationships/hyperlink" Target="https://www2.camara.leg.br/atividade-legislativa/legislacao/Constituicoes_Brasileiras/constituicao-cidada/constituicao-federal/index.html/CF1988.html" TargetMode="External"/><Relationship Id="rId31" Type="http://schemas.openxmlformats.org/officeDocument/2006/relationships/hyperlink" Target="https://planalto.gov.br/ccivil_03/_ato2015-2018/2018/decreto/d9288.htm" TargetMode="External"/><Relationship Id="rId32" Type="http://schemas.openxmlformats.org/officeDocument/2006/relationships/hyperlink" Target="https://noticias.stf.jus.br/postsnoticias/stf-confirma-manutencao-de-numero-de-deputados-federais-para-2026/" TargetMode="External"/><Relationship Id="rId33" Type="http://schemas.openxmlformats.org/officeDocument/2006/relationships/hyperlink" Target="https://www2.camara.leg.br/a-camara/presidencia/atribuicoes" TargetMode="External"/><Relationship Id="rId34" Type="http://schemas.openxmlformats.org/officeDocument/2006/relationships/hyperlink" Target="https://www2.camara.leg.br/atividade-legislativa/legislacao/regimento-interno-da-camara-dos-deputados/arquivos-1/RICDatualizadoatRCD342026.pdf/view" TargetMode="External"/><Relationship Id="rId35" Type="http://schemas.openxmlformats.org/officeDocument/2006/relationships/hyperlink" Target="https://portal.stf.jus.br/noticias/verNoticiaDetalhe.asp?idConteudo=435436&amp;ori=" TargetMode="External"/><Relationship Id="rId36" Type="http://schemas.openxmlformats.org/officeDocument/2006/relationships/hyperlink" Target="https://www.planalto.gov.br/ccivil_03/leis/l9882.htm" TargetMode="External"/><Relationship Id="rId37" Type="http://schemas.openxmlformats.org/officeDocument/2006/relationships/hyperlink" Target="https://www.planalto.gov.br/ccivil_03/leis/l9868.htm" TargetMode="External"/><Relationship Id="rId38" Type="http://schemas.openxmlformats.org/officeDocument/2006/relationships/hyperlink" Target="https://portal.stf.jus.br/noticias/verNoticiaDetalhe.asp?idConteudo=441447" TargetMode="External"/><Relationship Id="rId39" Type="http://schemas.openxmlformats.org/officeDocument/2006/relationships/hyperlink" Target="https://portal.stf.jus.br/noticias/verNoticiaDetalhe.asp?idConteudo=489997&amp;ori=" TargetMode="External"/><Relationship Id="rId40" Type="http://schemas.openxmlformats.org/officeDocument/2006/relationships/hyperlink" Target="https://portal.stf.jus.br/processos/detalhe.asp?incidente=6996131" TargetMode="External"/><Relationship Id="rId41" Type="http://schemas.openxmlformats.org/officeDocument/2006/relationships/hyperlink" Target="https://portal.stf.jus.br/noticias/verNoticiaDetalhe.asp?idConteudo=515220" TargetMode="External"/><Relationship Id="rId42" Type="http://schemas.openxmlformats.org/officeDocument/2006/relationships/hyperlink" Target="https://portal.stf.jus.br/noticias/verNoticiaDetalhe.asp?idConteudo=447103" TargetMode="External"/><Relationship Id="rId43" Type="http://schemas.openxmlformats.org/officeDocument/2006/relationships/hyperlink" Target="https://planalto.gov.br/ccivil_03/leis/lcp/lcp141.htm" TargetMode="External"/><Relationship Id="rId44" Type="http://schemas.openxmlformats.org/officeDocument/2006/relationships/hyperlink" Target="https://planalto.gov.br/ccivil_03/_ato2019-2022/2020/lei/l14113.htm" TargetMode="External"/><Relationship Id="rId45" Type="http://schemas.openxmlformats.org/officeDocument/2006/relationships/hyperlink" Target="https://www.planalto.gov.br/ccivil_03/constituicao/constituicaocompilado.htm" TargetMode="External"/><Relationship Id="rId46" Type="http://schemas.openxmlformats.org/officeDocument/2006/relationships/hyperlink" Target="https://www.planalto.gov.br/ccivil_03/leis/lcp/lcp214.htm" TargetMode="External"/><Relationship Id="rId47" Type="http://schemas.openxmlformats.org/officeDocument/2006/relationships/hyperlink" Target="https://www.planalto.gov.br/ccivil_03/leis/lcp/lcp140.htm" TargetMode="External"/><Relationship Id="rId48" Type="http://schemas.openxmlformats.org/officeDocument/2006/relationships/hyperlink" Target="https://www.gov.br/tesouronacional/pt-br/estados-e-municipios/transferencias-a-estados-e-municipios/transferencias-constitucionais-e-legais" TargetMode="External"/><Relationship Id="rId49" Type="http://schemas.openxmlformats.org/officeDocument/2006/relationships/hyperlink" Target="https://www.gov.br/igualdaderacial/pt-br/acesso-a-informacao/convenios-e-transferencias/transferencias-voluntarias" TargetMode="External"/><Relationship Id="rId50" Type="http://schemas.openxmlformats.org/officeDocument/2006/relationships/hyperlink" Target="https://www.planalto.gov.br/ccivil_03/_ato2004-2006/2005/lei/l11107.htm" TargetMode="External"/><Relationship Id="rId51" Type="http://schemas.openxmlformats.org/officeDocument/2006/relationships/hyperlink" Target="https://www.oecd.org/en/publications/auditing-decentralised-policies-in-brazil_30023307-en/full-report/auditing-decentralised-policies-the-challenges-for-brazil_a9470cda.html" TargetMode="External"/><Relationship Id="rId52" Type="http://schemas.openxmlformats.org/officeDocument/2006/relationships/hyperlink" Target="https://www.oecd.org/content/dam/oecd/en/publications/reports/2022/06/centre-of-government-review-of-brazil_c0cd0766/33d996b2-en.pdf" TargetMode="External"/><Relationship Id="rId53" Type="http://schemas.openxmlformats.org/officeDocument/2006/relationships/hyperlink" Target="https://planalto.gov.br/ccivil_03/decreto-lei/del0200.htm" TargetMode="External"/><Relationship Id="rId54" Type="http://schemas.openxmlformats.org/officeDocument/2006/relationships/hyperlink" Target="https://www.planalto.gov.br/ccivil_03/_ato2023-2026/2023/lei/l14600.htm" TargetMode="External"/><Relationship Id="rId55" Type="http://schemas.openxmlformats.org/officeDocument/2006/relationships/hyperlink" Target="https://www.planalto.gov.br/ccivil_03/_ato2019-2022/2019/lei/l13848.htm" TargetMode="External"/><Relationship Id="rId56" Type="http://schemas.openxmlformats.org/officeDocument/2006/relationships/hyperlink" Target="https://portal.tcu.gov.br/imprensa/noticias/secao-das-sessoes-2026-02-11" TargetMode="External"/><Relationship Id="rId57" Type="http://schemas.openxmlformats.org/officeDocument/2006/relationships/hyperlink" Target="https://www.planalto.gov.br/ccivil_03/leis/lcp/lcp179.htm" TargetMode="External"/><Relationship Id="rId58" Type="http://schemas.openxmlformats.org/officeDocument/2006/relationships/hyperlink" Target="https://www.planalto.gov.br/ccivil_03/_ato2015-2018/2016/lei/l13303.htm" TargetMode="External"/><Relationship Id="rId59" Type="http://schemas.openxmlformats.org/officeDocument/2006/relationships/hyperlink" Target="https://www.planalto.gov.br/ccivil_03/leis/l9504compilado.htm" TargetMode="External"/><Relationship Id="rId60" Type="http://schemas.openxmlformats.org/officeDocument/2006/relationships/hyperlink" Target="https://www.tse.jus.br/comunicacao/noticias/2026/Abril/por-dentro-das-eleicoes-brasil-utiliza-sistemas-eleitorais-majoritario-e-proporcional" TargetMode="External"/><Relationship Id="rId61" Type="http://schemas.openxmlformats.org/officeDocument/2006/relationships/hyperlink" Target="https://www.tse.jus.br/legislacao/codigo-eleitoral/codigo-eleitoral-1/codigo-eleitoral-lei-nb0-4.737-de-15-de-julho-de-1965" TargetMode="External"/><Relationship Id="rId62" Type="http://schemas.openxmlformats.org/officeDocument/2006/relationships/hyperlink" Target="https://www.tse.jus.br/comunicacao/noticias/2022/Fevereiro/eleicoes-2022-resolucao-do-tse-regulamenta-federacoes-partidarias" TargetMode="External"/><Relationship Id="rId63" Type="http://schemas.openxmlformats.org/officeDocument/2006/relationships/hyperlink" Target="https://www.tse.jus.br/comunicacao/noticias/2026/Junho/clausula-de-desempenho-deve-influenciar-cenario-partidario-nas-eleicoes-2026" TargetMode="External"/><Relationship Id="rId64" Type="http://schemas.openxmlformats.org/officeDocument/2006/relationships/hyperlink" Target="https://www.tse.jus.br/legislacao/codigo-eleitoral/lei-dos-partidos-politicos/lei-dos-partidos-politicos-lei-nb0-9.096-de-19-de-setembro-de-1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Sovereign Brazil Research Pass 1</dc:title>
  <cp:lastModifiedBy>python-docx</cp:lastModifiedBy>
  <cp:revision>1</cp:revision>
  <dcterms:modified xsi:type="dcterms:W3CDTF">2026-09-03T19:36:22Z</dcterms:modified>
  <dc:subject>Brazil's State, Constitution and Political Institutions</dc:subject>
  <dc:creator>Sovereign Country Research Programme</dc:creator>
  <cp:keywords>Brazil, Constitution, Presidency, Congress, STF, federalism, institutions</cp:keywords>
</cp:coreProperties>
</file>