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3A6B" w:sz="16" w:space="1"/>
        </w:pBdr>
        <w:spacing w:before="0" w:after="80"/>
        <w:jc w:val="center"/>
      </w:pPr>
      <w:r>
        <w:rPr>
          <w:rFonts w:ascii="Arial" w:cs="Arial" w:eastAsia="Arial" w:hAnsi="Arial"/>
          <w:b/>
          <w:bCs/>
          <w:i w:val="false"/>
          <w:iCs w:val="false"/>
          <w:color w:val="1B3A6B"/>
          <w:sz w:val="36"/>
          <w:szCs w:val="36"/>
        </w:rPr>
        <w:t xml:space="preserve">SUBCONTRACT AGREEMENT</w:t>
      </w:r>
    </w:p>
    <w:p>
      <w:pPr>
        <w:spacing w:before="60" w:after="360"/>
        <w:jc w:val="center"/>
      </w:pPr>
      <w:r>
        <w:rPr>
          <w:rFonts w:ascii="Arial" w:cs="Arial" w:eastAsia="Arial" w:hAnsi="Arial"/>
          <w:b/>
          <w:bCs/>
          <w:i w:val="false"/>
          <w:iCs w:val="false"/>
          <w:color w:val="444444"/>
          <w:sz w:val="24"/>
          <w:szCs w:val="24"/>
        </w:rPr>
        <w:t xml:space="preserve">FOR FLOORING, TILING &amp; CONCRETE FLOOR FINISHING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CCCCCC" w:sz="4"/>
              <w:left w:val="single" w:color="CCCCCC" w:sz="4"/>
              <w:bottom w:val="single" w:color="CCCCCC" w:sz="4"/>
              <w:right w:val="single" w:color="CCCCCC" w:sz="4"/>
            </w:tcBorders>
            <w:shd w:fill="F0F2F5"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000000"/>
                <w:sz w:val="20"/>
                <w:szCs w:val="20"/>
              </w:rPr>
              <w:t xml:space="preserve">Subcontract No.:</w:t>
            </w:r>
          </w:p>
        </w:tc>
        <w:tc>
          <w:tcPr>
            <w:tcW w:type="dxa" w:w="69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000000"/>
                <w:sz w:val="20"/>
                <w:szCs w:val="20"/>
              </w:rPr>
              <w:t xml:space="preserve">BM-21553-FLR-07</w:t>
            </w:r>
          </w:p>
        </w:tc>
      </w:tr>
      <w:tr>
        <w:tc>
          <w:tcPr>
            <w:tcW w:type="dxa" w:w="2400"/>
            <w:gridSpan w:val="1"/>
            <w:tcBorders>
              <w:top w:val="single" w:color="CCCCCC" w:sz="4"/>
              <w:left w:val="single" w:color="CCCCCC" w:sz="4"/>
              <w:bottom w:val="single" w:color="CCCCCC" w:sz="4"/>
              <w:right w:val="single" w:color="CCCCCC" w:sz="4"/>
            </w:tcBorders>
            <w:shd w:fill="F0F2F5"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000000"/>
                <w:sz w:val="20"/>
                <w:szCs w:val="20"/>
              </w:rPr>
              <w:t xml:space="preserve">Project:</w:t>
            </w:r>
          </w:p>
        </w:tc>
        <w:tc>
          <w:tcPr>
            <w:tcW w:type="dxa" w:w="69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000000"/>
                <w:sz w:val="20"/>
                <w:szCs w:val="20"/>
              </w:rPr>
              <w:t xml:space="preserve">Holabird Elementary / Middle School</w:t>
            </w:r>
          </w:p>
        </w:tc>
      </w:tr>
      <w:tr>
        <w:tc>
          <w:tcPr>
            <w:tcW w:type="dxa" w:w="2400"/>
            <w:gridSpan w:val="1"/>
            <w:tcBorders>
              <w:top w:val="single" w:color="CCCCCC" w:sz="4"/>
              <w:left w:val="single" w:color="CCCCCC" w:sz="4"/>
              <w:bottom w:val="single" w:color="CCCCCC" w:sz="4"/>
              <w:right w:val="single" w:color="CCCCCC" w:sz="4"/>
            </w:tcBorders>
            <w:shd w:fill="F0F2F5"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000000"/>
                <w:sz w:val="20"/>
                <w:szCs w:val="20"/>
              </w:rPr>
              <w:t xml:space="preserve">Owner:</w:t>
            </w:r>
          </w:p>
        </w:tc>
        <w:tc>
          <w:tcPr>
            <w:tcW w:type="dxa" w:w="69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000000"/>
                <w:sz w:val="20"/>
                <w:szCs w:val="20"/>
              </w:rPr>
              <w:t xml:space="preserve">Baltimore City Public Schools</w:t>
            </w:r>
          </w:p>
        </w:tc>
      </w:tr>
      <w:tr>
        <w:tc>
          <w:tcPr>
            <w:tcW w:type="dxa" w:w="2400"/>
            <w:gridSpan w:val="1"/>
            <w:tcBorders>
              <w:top w:val="single" w:color="CCCCCC" w:sz="4"/>
              <w:left w:val="single" w:color="CCCCCC" w:sz="4"/>
              <w:bottom w:val="single" w:color="CCCCCC" w:sz="4"/>
              <w:right w:val="single" w:color="CCCCCC" w:sz="4"/>
            </w:tcBorders>
            <w:shd w:fill="F0F2F5"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000000"/>
                <w:sz w:val="20"/>
                <w:szCs w:val="20"/>
              </w:rPr>
              <w:t xml:space="preserve">Project Address:</w:t>
            </w:r>
          </w:p>
        </w:tc>
        <w:tc>
          <w:tcPr>
            <w:tcW w:type="dxa" w:w="69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000000"/>
                <w:sz w:val="20"/>
                <w:szCs w:val="20"/>
              </w:rPr>
              <w:t xml:space="preserve">4200 Sinclair Lane, Baltimore, MD 21213</w:t>
            </w:r>
          </w:p>
        </w:tc>
      </w:tr>
      <w:tr>
        <w:tc>
          <w:tcPr>
            <w:tcW w:type="dxa" w:w="2400"/>
            <w:gridSpan w:val="1"/>
            <w:tcBorders>
              <w:top w:val="single" w:color="CCCCCC" w:sz="4"/>
              <w:left w:val="single" w:color="CCCCCC" w:sz="4"/>
              <w:bottom w:val="single" w:color="CCCCCC" w:sz="4"/>
              <w:right w:val="single" w:color="CCCCCC" w:sz="4"/>
            </w:tcBorders>
            <w:shd w:fill="F0F2F5"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000000"/>
                <w:sz w:val="20"/>
                <w:szCs w:val="20"/>
              </w:rPr>
              <w:t xml:space="preserve">Architect:</w:t>
            </w:r>
          </w:p>
        </w:tc>
        <w:tc>
          <w:tcPr>
            <w:tcW w:type="dxa" w:w="69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000000"/>
                <w:sz w:val="20"/>
                <w:szCs w:val="20"/>
              </w:rPr>
              <w:t xml:space="preserve">Grimm + Parker Architects  |  GP#21553</w:t>
            </w:r>
          </w:p>
        </w:tc>
      </w:tr>
      <w:tr>
        <w:tc>
          <w:tcPr>
            <w:tcW w:type="dxa" w:w="2400"/>
            <w:gridSpan w:val="1"/>
            <w:tcBorders>
              <w:top w:val="single" w:color="CCCCCC" w:sz="4"/>
              <w:left w:val="single" w:color="CCCCCC" w:sz="4"/>
              <w:bottom w:val="single" w:color="CCCCCC" w:sz="4"/>
              <w:right w:val="single" w:color="CCCCCC" w:sz="4"/>
            </w:tcBorders>
            <w:shd w:fill="F0F2F5"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000000"/>
                <w:sz w:val="20"/>
                <w:szCs w:val="20"/>
              </w:rPr>
              <w:t xml:space="preserve">Prime Contract No.:</w:t>
            </w:r>
          </w:p>
        </w:tc>
        <w:tc>
          <w:tcPr>
            <w:tcW w:type="dxa" w:w="69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000000"/>
                <w:sz w:val="20"/>
                <w:szCs w:val="20"/>
              </w:rPr>
              <w:t xml:space="preserve">BCPS-2021-GC-0047</w:t>
            </w:r>
          </w:p>
        </w:tc>
      </w:tr>
      <w:tr>
        <w:tc>
          <w:tcPr>
            <w:tcW w:type="dxa" w:w="2400"/>
            <w:gridSpan w:val="1"/>
            <w:tcBorders>
              <w:top w:val="single" w:color="CCCCCC" w:sz="4"/>
              <w:left w:val="single" w:color="CCCCCC" w:sz="4"/>
              <w:bottom w:val="single" w:color="CCCCCC" w:sz="4"/>
              <w:right w:val="single" w:color="CCCCCC" w:sz="4"/>
            </w:tcBorders>
            <w:shd w:fill="F0F2F5"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000000"/>
                <w:sz w:val="20"/>
                <w:szCs w:val="20"/>
              </w:rPr>
              <w:t xml:space="preserve">CONTRACTOR:</w:t>
            </w:r>
          </w:p>
        </w:tc>
        <w:tc>
          <w:tcPr>
            <w:tcW w:type="dxa" w:w="69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000000"/>
                <w:sz w:val="20"/>
                <w:szCs w:val="20"/>
              </w:rPr>
              <w:t xml:space="preserve">Barton Malow Company</w:t>
            </w:r>
          </w:p>
        </w:tc>
      </w:tr>
      <w:tr>
        <w:tc>
          <w:tcPr>
            <w:tcW w:type="dxa" w:w="2400"/>
            <w:gridSpan w:val="1"/>
            <w:tcBorders>
              <w:top w:val="single" w:color="CCCCCC" w:sz="4"/>
              <w:left w:val="single" w:color="CCCCCC" w:sz="4"/>
              <w:bottom w:val="single" w:color="CCCCCC" w:sz="4"/>
              <w:right w:val="single" w:color="CCCCCC" w:sz="4"/>
            </w:tcBorders>
            <w:shd w:fill="F0F2F5"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000000"/>
                <w:sz w:val="20"/>
                <w:szCs w:val="20"/>
              </w:rPr>
              <w:t xml:space="preserve">Contractor Address:</w:t>
            </w:r>
          </w:p>
        </w:tc>
        <w:tc>
          <w:tcPr>
            <w:tcW w:type="dxa" w:w="69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000000"/>
                <w:sz w:val="20"/>
                <w:szCs w:val="20"/>
              </w:rPr>
              <w:t xml:space="preserve">100 Light St., Suite 1000, Baltimore, MD 21202</w:t>
            </w:r>
          </w:p>
        </w:tc>
      </w:tr>
      <w:tr>
        <w:tc>
          <w:tcPr>
            <w:tcW w:type="dxa" w:w="2400"/>
            <w:gridSpan w:val="1"/>
            <w:tcBorders>
              <w:top w:val="single" w:color="CCCCCC" w:sz="4"/>
              <w:left w:val="single" w:color="CCCCCC" w:sz="4"/>
              <w:bottom w:val="single" w:color="CCCCCC" w:sz="4"/>
              <w:right w:val="single" w:color="CCCCCC" w:sz="4"/>
            </w:tcBorders>
            <w:shd w:fill="F0F2F5"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000000"/>
                <w:sz w:val="20"/>
                <w:szCs w:val="20"/>
              </w:rPr>
              <w:t xml:space="preserve">SUBCONTRACTOR:</w:t>
            </w:r>
          </w:p>
        </w:tc>
        <w:tc>
          <w:tcPr>
            <w:tcW w:type="dxa" w:w="69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000000"/>
                <w:sz w:val="20"/>
                <w:szCs w:val="20"/>
              </w:rPr>
              <w:t xml:space="preserve">Harborview Flooring, Inc.</w:t>
            </w:r>
          </w:p>
        </w:tc>
      </w:tr>
      <w:tr>
        <w:tc>
          <w:tcPr>
            <w:tcW w:type="dxa" w:w="2400"/>
            <w:gridSpan w:val="1"/>
            <w:tcBorders>
              <w:top w:val="single" w:color="CCCCCC" w:sz="4"/>
              <w:left w:val="single" w:color="CCCCCC" w:sz="4"/>
              <w:bottom w:val="single" w:color="CCCCCC" w:sz="4"/>
              <w:right w:val="single" w:color="CCCCCC" w:sz="4"/>
            </w:tcBorders>
            <w:shd w:fill="F0F2F5"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000000"/>
                <w:sz w:val="20"/>
                <w:szCs w:val="20"/>
              </w:rPr>
              <w:t xml:space="preserve">Sub Address:</w:t>
            </w:r>
          </w:p>
        </w:tc>
        <w:tc>
          <w:tcPr>
            <w:tcW w:type="dxa" w:w="69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000000"/>
                <w:sz w:val="20"/>
                <w:szCs w:val="20"/>
              </w:rPr>
              <w:t xml:space="preserve">2201 Boston St., Baltimore, MD 21231</w:t>
            </w:r>
          </w:p>
        </w:tc>
      </w:tr>
      <w:tr>
        <w:tc>
          <w:tcPr>
            <w:tcW w:type="dxa" w:w="2400"/>
            <w:gridSpan w:val="1"/>
            <w:tcBorders>
              <w:top w:val="single" w:color="CCCCCC" w:sz="4"/>
              <w:left w:val="single" w:color="CCCCCC" w:sz="4"/>
              <w:bottom w:val="single" w:color="CCCCCC" w:sz="4"/>
              <w:right w:val="single" w:color="CCCCCC" w:sz="4"/>
            </w:tcBorders>
            <w:shd w:fill="F0F2F5"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000000"/>
                <w:sz w:val="20"/>
                <w:szCs w:val="20"/>
              </w:rPr>
              <w:t xml:space="preserve">MD License:</w:t>
            </w:r>
          </w:p>
        </w:tc>
        <w:tc>
          <w:tcPr>
            <w:tcW w:type="dxa" w:w="69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000000"/>
                <w:sz w:val="20"/>
                <w:szCs w:val="20"/>
              </w:rPr>
              <w:t xml:space="preserve">#MHI-11023</w:t>
            </w:r>
          </w:p>
        </w:tc>
      </w:tr>
      <w:tr>
        <w:tc>
          <w:tcPr>
            <w:tcW w:type="dxa" w:w="2400"/>
            <w:gridSpan w:val="1"/>
            <w:tcBorders>
              <w:top w:val="single" w:color="CCCCCC" w:sz="4"/>
              <w:left w:val="single" w:color="CCCCCC" w:sz="4"/>
              <w:bottom w:val="single" w:color="CCCCCC" w:sz="4"/>
              <w:right w:val="single" w:color="CCCCCC" w:sz="4"/>
            </w:tcBorders>
            <w:shd w:fill="F0F2F5"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000000"/>
                <w:sz w:val="20"/>
                <w:szCs w:val="20"/>
              </w:rPr>
              <w:t xml:space="preserve">Sub Proposal No.:</w:t>
            </w:r>
          </w:p>
        </w:tc>
        <w:tc>
          <w:tcPr>
            <w:tcW w:type="dxa" w:w="69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000000"/>
                <w:sz w:val="20"/>
                <w:szCs w:val="20"/>
              </w:rPr>
              <w:t xml:space="preserve">HFI-2026-0847  (dated March 21, 2026)</w:t>
            </w:r>
          </w:p>
        </w:tc>
      </w:tr>
      <w:tr>
        <w:tc>
          <w:tcPr>
            <w:tcW w:type="dxa" w:w="2400"/>
            <w:gridSpan w:val="1"/>
            <w:tcBorders>
              <w:top w:val="single" w:color="CCCCCC" w:sz="4"/>
              <w:left w:val="single" w:color="CCCCCC" w:sz="4"/>
              <w:bottom w:val="single" w:color="CCCCCC" w:sz="4"/>
              <w:right w:val="single" w:color="CCCCCC" w:sz="4"/>
            </w:tcBorders>
            <w:shd w:fill="F0F2F5"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000000"/>
                <w:sz w:val="20"/>
                <w:szCs w:val="20"/>
              </w:rPr>
              <w:t xml:space="preserve">Sub Estimator:</w:t>
            </w:r>
          </w:p>
        </w:tc>
        <w:tc>
          <w:tcPr>
            <w:tcW w:type="dxa" w:w="69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000000"/>
                <w:sz w:val="20"/>
                <w:szCs w:val="20"/>
              </w:rPr>
              <w:t xml:space="preserve">Patricia E. Delgado-Ruiz, Sr. Estimator</w:t>
            </w:r>
          </w:p>
        </w:tc>
      </w:tr>
      <w:tr>
        <w:tc>
          <w:tcPr>
            <w:tcW w:type="dxa" w:w="2400"/>
            <w:gridSpan w:val="1"/>
            <w:tcBorders>
              <w:top w:val="single" w:color="CCCCCC" w:sz="4"/>
              <w:left w:val="single" w:color="CCCCCC" w:sz="4"/>
              <w:bottom w:val="single" w:color="CCCCCC" w:sz="4"/>
              <w:right w:val="single" w:color="CCCCCC" w:sz="4"/>
            </w:tcBorders>
            <w:shd w:fill="F0F2F5"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000000"/>
                <w:sz w:val="20"/>
                <w:szCs w:val="20"/>
              </w:rPr>
              <w:t xml:space="preserve">Date of Agreement:</w:t>
            </w:r>
          </w:p>
        </w:tc>
        <w:tc>
          <w:tcPr>
            <w:tcW w:type="dxa" w:w="69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000000"/>
                <w:sz w:val="20"/>
                <w:szCs w:val="20"/>
              </w:rPr>
              <w:t xml:space="preserve">___________________________</w:t>
            </w:r>
          </w:p>
        </w:tc>
      </w:tr>
      <w:tr>
        <w:tc>
          <w:tcPr>
            <w:tcW w:type="dxa" w:w="2400"/>
            <w:gridSpan w:val="1"/>
            <w:tcBorders>
              <w:top w:val="single" w:color="CCCCCC" w:sz="4"/>
              <w:left w:val="single" w:color="CCCCCC" w:sz="4"/>
              <w:bottom w:val="single" w:color="CCCCCC" w:sz="4"/>
              <w:right w:val="single" w:color="CCCCCC" w:sz="4"/>
            </w:tcBorders>
            <w:shd w:fill="F0F2F5"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000000"/>
                <w:sz w:val="20"/>
                <w:szCs w:val="20"/>
              </w:rPr>
              <w:t xml:space="preserve">Contract Sum:</w:t>
            </w:r>
          </w:p>
        </w:tc>
        <w:tc>
          <w:tcPr>
            <w:tcW w:type="dxa" w:w="69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000000"/>
                <w:sz w:val="20"/>
                <w:szCs w:val="20"/>
              </w:rPr>
              <w:t xml:space="preserve">$1,392,618.00</w:t>
            </w:r>
          </w:p>
        </w:tc>
      </w:tr>
    </w:tbl>
    <w:p>
      <w:pPr>
        <w:spacing w:before="0" w:after="240"/>
        <w:jc w:val="left"/>
      </w:pPr>
    </w:p>
    <w:p>
      <w:pPr>
        <w:spacing w:before="0" w:after="100"/>
        <w:jc w:val="left"/>
      </w:pPr>
      <w:r>
        <w:rPr>
          <w:rFonts w:ascii="Arial" w:cs="Arial" w:eastAsia="Arial" w:hAnsi="Arial"/>
          <w:b w:val="false"/>
          <w:bCs w:val="false"/>
          <w:i w:val="false"/>
          <w:iCs w:val="false"/>
          <w:color w:val="000000"/>
          <w:sz w:val="20"/>
          <w:szCs w:val="20"/>
        </w:rPr>
        <w:t xml:space="preserve">THIS SUBCONTRACT AGREEMENT ("Agreement") is entered into as of the date set forth above between Barton Malow Company, a Michigan corporation authorized to do business in Maryland ("Contractor"), and Harborview Flooring, Inc., a Maryland corporation ("Subcontractor"). The parties agree as set forth herein.</w:t>
      </w:r>
    </w:p>
    <w:p>
      <w:pPr>
        <w:spacing w:before="0" w:after="24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000000"/>
                <w:sz w:val="20"/>
                <w:szCs w:val="20"/>
              </w:rPr>
              <w:t xml:space="preserve">CONTRACTOR:</w:t>
            </w:r>
          </w:p>
        </w:tc>
        <w:tc>
          <w:tcPr>
            <w:tcW w:type="dxa" w:w="48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000000"/>
                <w:sz w:val="20"/>
                <w:szCs w:val="20"/>
              </w:rPr>
              <w:t xml:space="preserve">SUBCONTRACTOR:</w:t>
            </w:r>
          </w:p>
        </w:tc>
      </w:tr>
      <w:tr>
        <w:tc>
          <w:tcPr>
            <w:tcW w:type="dxa" w:w="456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000000"/>
                <w:sz w:val="20"/>
                <w:szCs w:val="20"/>
              </w:rPr>
              <w:t xml:space="preserve">Barton Malow Company</w:t>
            </w:r>
          </w:p>
        </w:tc>
        <w:tc>
          <w:tcPr>
            <w:tcW w:type="dxa" w:w="48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000000"/>
                <w:sz w:val="20"/>
                <w:szCs w:val="20"/>
              </w:rPr>
              <w:t xml:space="preserve">Harborview Flooring, Inc.</w:t>
            </w:r>
          </w:p>
        </w:tc>
      </w:tr>
      <w:tr>
        <w:tc>
          <w:tcPr>
            <w:tcW w:type="dxa" w:w="456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000000"/>
                <w:sz w:val="20"/>
                <w:szCs w:val="20"/>
              </w:rPr>
              <w:t xml:space="preserve">By:  ___________________________________</w:t>
            </w:r>
          </w:p>
        </w:tc>
        <w:tc>
          <w:tcPr>
            <w:tcW w:type="dxa" w:w="48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000000"/>
                <w:sz w:val="20"/>
                <w:szCs w:val="20"/>
              </w:rPr>
              <w:t xml:space="preserve">By:  ___________________________________</w:t>
            </w:r>
          </w:p>
        </w:tc>
      </w:tr>
      <w:tr>
        <w:tc>
          <w:tcPr>
            <w:tcW w:type="dxa" w:w="456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000000"/>
                <w:sz w:val="20"/>
                <w:szCs w:val="20"/>
              </w:rPr>
              <w:t xml:space="preserve">Name: ______________________________</w:t>
            </w:r>
          </w:p>
        </w:tc>
        <w:tc>
          <w:tcPr>
            <w:tcW w:type="dxa" w:w="48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000000"/>
                <w:sz w:val="20"/>
                <w:szCs w:val="20"/>
              </w:rPr>
              <w:t xml:space="preserve">Name: ______________________________</w:t>
            </w:r>
          </w:p>
        </w:tc>
      </w:tr>
      <w:tr>
        <w:tc>
          <w:tcPr>
            <w:tcW w:type="dxa" w:w="456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000000"/>
                <w:sz w:val="20"/>
                <w:szCs w:val="20"/>
              </w:rPr>
              <w:t xml:space="preserve">Title:  ______________________________</w:t>
            </w:r>
          </w:p>
        </w:tc>
        <w:tc>
          <w:tcPr>
            <w:tcW w:type="dxa" w:w="48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000000"/>
                <w:sz w:val="20"/>
                <w:szCs w:val="20"/>
              </w:rPr>
              <w:t xml:space="preserve">Title:  ______________________________</w:t>
            </w:r>
          </w:p>
        </w:tc>
      </w:tr>
      <w:tr>
        <w:tc>
          <w:tcPr>
            <w:tcW w:type="dxa" w:w="456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000000"/>
                <w:sz w:val="20"/>
                <w:szCs w:val="20"/>
              </w:rPr>
              <w:t xml:space="preserve">Date:  ______________________________</w:t>
            </w:r>
          </w:p>
        </w:tc>
        <w:tc>
          <w:tcPr>
            <w:tcW w:type="dxa" w:w="48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000000"/>
                <w:sz w:val="20"/>
                <w:szCs w:val="20"/>
              </w:rPr>
              <w:t xml:space="preserve">Date:  ______________________________</w:t>
            </w:r>
          </w:p>
        </w:tc>
      </w:tr>
    </w:tbl>
    <w:p>
      <w:pPr>
        <w:pageBreakBefore/>
        <w:pBdr>
          <w:bottom w:val="single" w:color="1B3A6B" w:sz="8" w:space="1"/>
        </w:pBdr>
        <w:spacing w:before="280" w:after="80"/>
        <w:jc w:val="left"/>
      </w:pPr>
      <w:r>
        <w:rPr>
          <w:rFonts w:ascii="Arial" w:cs="Arial" w:eastAsia="Arial" w:hAnsi="Arial"/>
          <w:b/>
          <w:bCs/>
          <w:i w:val="false"/>
          <w:iCs w:val="false"/>
          <w:color w:val="1B3A6B"/>
          <w:sz w:val="24"/>
          <w:szCs w:val="24"/>
        </w:rPr>
        <w:t xml:space="preserve">ARTICLE 1 – THE SUBCONTRACT DOCUMENTS</w:t>
      </w:r>
    </w:p>
    <w:p>
      <w:pPr>
        <w:spacing w:before="160" w:after="60"/>
        <w:jc w:val="left"/>
      </w:pPr>
      <w:r>
        <w:rPr>
          <w:rFonts w:ascii="Arial" w:cs="Arial" w:eastAsia="Arial" w:hAnsi="Arial"/>
          <w:b/>
          <w:bCs/>
          <w:i w:val="false"/>
          <w:iCs w:val="false"/>
          <w:color w:val="000000"/>
          <w:sz w:val="20"/>
          <w:szCs w:val="20"/>
        </w:rPr>
        <w:t xml:space="preserve">1.1  Subcontract Documents</w:t>
      </w:r>
    </w:p>
    <w:p>
      <w:pPr>
        <w:spacing w:before="0" w:after="100"/>
        <w:jc w:val="left"/>
      </w:pPr>
      <w:r>
        <w:rPr>
          <w:rFonts w:ascii="Arial" w:cs="Arial" w:eastAsia="Arial" w:hAnsi="Arial"/>
          <w:b w:val="false"/>
          <w:bCs w:val="false"/>
          <w:i w:val="false"/>
          <w:iCs w:val="false"/>
          <w:color w:val="000000"/>
          <w:sz w:val="20"/>
          <w:szCs w:val="20"/>
        </w:rPr>
        <w:t xml:space="preserve">The Subcontract Documents consist of: (1) this Agreement; (2) the Prime Contract between Owner and Contractor dated January 10, 2026 (BCPS-2021-GC-0047), including all General Conditions, Supplementary Conditions, and Special Conditions; (3) the Contract Drawings and Specifications prepared by Grimm + Parker Architects, Project No. 21553.00, dated 02/12/2017, including all Addenda; and (4) all Modifications issued after execution of this Agreement. These documents form the Subcontract and are incorporated herein by reference.</w:t>
      </w:r>
    </w:p>
    <w:p>
      <w:pPr>
        <w:spacing w:before="160" w:after="60"/>
        <w:jc w:val="left"/>
      </w:pPr>
      <w:r>
        <w:rPr>
          <w:rFonts w:ascii="Arial" w:cs="Arial" w:eastAsia="Arial" w:hAnsi="Arial"/>
          <w:b/>
          <w:bCs/>
          <w:i w:val="false"/>
          <w:iCs w:val="false"/>
          <w:color w:val="000000"/>
          <w:sz w:val="20"/>
          <w:szCs w:val="20"/>
        </w:rPr>
        <w:t xml:space="preserve">1.2  Order of Precedence</w:t>
      </w:r>
    </w:p>
    <w:p>
      <w:pPr>
        <w:spacing w:before="0" w:after="100"/>
        <w:jc w:val="left"/>
      </w:pPr>
      <w:r>
        <w:rPr>
          <w:rFonts w:ascii="Arial" w:cs="Arial" w:eastAsia="Arial" w:hAnsi="Arial"/>
          <w:b w:val="false"/>
          <w:bCs w:val="false"/>
          <w:i w:val="false"/>
          <w:iCs w:val="false"/>
          <w:color w:val="000000"/>
          <w:sz w:val="20"/>
          <w:szCs w:val="20"/>
        </w:rPr>
        <w:t xml:space="preserve">In the event of any conflict or inconsistency among the Subcontract Documents, the order of precedence shall be: (1) this Agreement, (2) Modifications, (3) Prime Contract General Conditions, (4) Specifications, (5) Drawings.</w:t>
      </w:r>
    </w:p>
    <w:p>
      <w:pPr>
        <w:spacing w:before="160" w:after="60"/>
        <w:jc w:val="left"/>
      </w:pPr>
      <w:r>
        <w:rPr>
          <w:rFonts w:ascii="Arial" w:cs="Arial" w:eastAsia="Arial" w:hAnsi="Arial"/>
          <w:b/>
          <w:bCs/>
          <w:i w:val="false"/>
          <w:iCs w:val="false"/>
          <w:color w:val="000000"/>
          <w:sz w:val="20"/>
          <w:szCs w:val="20"/>
        </w:rPr>
        <w:t xml:space="preserve">1.3  Applicable Specification Sections</w:t>
      </w:r>
    </w:p>
    <w:p>
      <w:pPr>
        <w:spacing w:before="0" w:after="100"/>
        <w:jc w:val="left"/>
      </w:pPr>
      <w:r>
        <w:rPr>
          <w:rFonts w:ascii="Arial" w:cs="Arial" w:eastAsia="Arial" w:hAnsi="Arial"/>
          <w:b w:val="false"/>
          <w:bCs w:val="false"/>
          <w:i w:val="false"/>
          <w:iCs w:val="false"/>
          <w:color w:val="000000"/>
          <w:sz w:val="20"/>
          <w:szCs w:val="20"/>
        </w:rPr>
        <w:t xml:space="preserve">Spec. Sections 03 35 13, 09 30 00, 09 64 66, 09 65 00, 09 67 23, 09 68 13, and all related Division 01 sections including 01 30 00, 01 35 14, 01 35 15, 01 35 16, 01 40 00, 01 57 21, 01 60 00, 01 61 16.</w:t>
      </w:r>
    </w:p>
    <w:p>
      <w:pPr>
        <w:pageBreakBefore/>
        <w:pBdr>
          <w:bottom w:val="single" w:color="1B3A6B" w:sz="8" w:space="1"/>
        </w:pBdr>
        <w:spacing w:before="280" w:after="80"/>
        <w:jc w:val="left"/>
      </w:pPr>
      <w:r>
        <w:rPr>
          <w:rFonts w:ascii="Arial" w:cs="Arial" w:eastAsia="Arial" w:hAnsi="Arial"/>
          <w:b/>
          <w:bCs/>
          <w:i w:val="false"/>
          <w:iCs w:val="false"/>
          <w:color w:val="1B3A6B"/>
          <w:sz w:val="24"/>
          <w:szCs w:val="24"/>
        </w:rPr>
        <w:t xml:space="preserve">ARTICLE 2 – SCOPE OF WORK</w:t>
      </w:r>
    </w:p>
    <w:p>
      <w:pPr>
        <w:spacing w:before="160" w:after="60"/>
        <w:jc w:val="left"/>
      </w:pPr>
      <w:r>
        <w:rPr>
          <w:rFonts w:ascii="Arial" w:cs="Arial" w:eastAsia="Arial" w:hAnsi="Arial"/>
          <w:b/>
          <w:bCs/>
          <w:i w:val="false"/>
          <w:iCs w:val="false"/>
          <w:color w:val="000000"/>
          <w:sz w:val="20"/>
          <w:szCs w:val="20"/>
        </w:rPr>
        <w:t xml:space="preserve">2.1  Scope Description</w:t>
      </w:r>
    </w:p>
    <w:p>
      <w:pPr>
        <w:spacing w:before="0" w:after="100"/>
        <w:jc w:val="left"/>
      </w:pPr>
      <w:r>
        <w:rPr>
          <w:rFonts w:ascii="Arial" w:cs="Arial" w:eastAsia="Arial" w:hAnsi="Arial"/>
          <w:b w:val="false"/>
          <w:bCs w:val="false"/>
          <w:i w:val="false"/>
          <w:iCs w:val="false"/>
          <w:color w:val="000000"/>
          <w:sz w:val="20"/>
          <w:szCs w:val="20"/>
        </w:rPr>
        <w:t xml:space="preserve">Subcontractor shall furnish all labor, materials, equipment, tools, supervision, and incidentals necessary to complete the following Work in strict accordance with the Subcontract Documents:</w:t>
      </w:r>
    </w:p>
    <w:p>
      <w:pPr>
        <w:spacing w:before="0" w:after="12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80"/>
        <w:gridCol w:w="6480"/>
      </w:tblGrid>
      <w:tr>
        <w:tc>
          <w:tcPr>
            <w:tcW w:type="dxa" w:w="1200"/>
            <w:gridSpan w:val="1"/>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top"/>
          </w:tcPr>
          <w:p>
            <w:pPr>
              <w:spacing w:before="0" w:after="100"/>
              <w:jc w:val="center"/>
            </w:pPr>
            <w:r>
              <w:rPr>
                <w:rFonts w:ascii="Arial" w:cs="Arial" w:eastAsia="Arial" w:hAnsi="Arial"/>
                <w:b/>
                <w:bCs/>
                <w:i w:val="false"/>
                <w:iCs w:val="false"/>
                <w:color w:val="FFFFFF"/>
                <w:sz w:val="18"/>
                <w:szCs w:val="18"/>
              </w:rPr>
              <w:t xml:space="preserve">SPEC</w:t>
            </w:r>
          </w:p>
        </w:tc>
        <w:tc>
          <w:tcPr>
            <w:tcW w:type="dxa" w:w="1680"/>
            <w:gridSpan w:val="1"/>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SECTION TITLE</w:t>
            </w:r>
          </w:p>
        </w:tc>
        <w:tc>
          <w:tcPr>
            <w:tcW w:type="dxa" w:w="6480"/>
            <w:gridSpan w:val="1"/>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SCOPE DESCRIPTION</w:t>
            </w:r>
          </w:p>
        </w:tc>
      </w:tr>
      <w:tr>
        <w:tc>
          <w:tcPr>
            <w:tcW w:type="dxa" w:w="1200"/>
            <w:gridSpan w:val="1"/>
            <w:tcBorders>
              <w:top w:val="single" w:color="AAAAAA" w:sz="4"/>
              <w:left w:val="single" w:color="AAAAAA" w:sz="4"/>
              <w:bottom w:val="single" w:color="AAAAAA" w:sz="4"/>
              <w:right w:val="single" w:color="AAAAAA" w:sz="4"/>
            </w:tcBorders>
            <w:shd w:fill="F0F2F5" w:val="clear"/>
            <w:tcMar>
              <w:top w:type="dxa" w:w="80"/>
              <w:left w:type="dxa" w:w="120"/>
              <w:bottom w:type="dxa" w:w="80"/>
              <w:right w:type="dxa" w:w="120"/>
            </w:tcMar>
            <w:vAlign w:val="top"/>
          </w:tcPr>
          <w:p>
            <w:pPr>
              <w:spacing w:before="0" w:after="100"/>
              <w:jc w:val="center"/>
            </w:pPr>
            <w:r>
              <w:rPr>
                <w:rFonts w:ascii="Arial" w:cs="Arial" w:eastAsia="Arial" w:hAnsi="Arial"/>
                <w:b w:val="false"/>
                <w:bCs w:val="false"/>
                <w:i w:val="false"/>
                <w:iCs w:val="false"/>
                <w:color w:val="000000"/>
                <w:sz w:val="19"/>
                <w:szCs w:val="19"/>
              </w:rPr>
              <w:t xml:space="preserve">03 35 13</w:t>
            </w:r>
          </w:p>
        </w:tc>
        <w:tc>
          <w:tcPr>
            <w:tcW w:type="dxa" w:w="1680"/>
            <w:gridSpan w:val="1"/>
            <w:tcBorders>
              <w:top w:val="single" w:color="AAAAAA" w:sz="4"/>
              <w:left w:val="single" w:color="AAAAAA" w:sz="4"/>
              <w:bottom w:val="single" w:color="AAAAAA" w:sz="4"/>
              <w:right w:val="single" w:color="AAAAAA" w:sz="4"/>
            </w:tcBorders>
            <w:shd w:fill="F0F2F5"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000000"/>
                <w:sz w:val="19"/>
                <w:szCs w:val="19"/>
              </w:rPr>
              <w:t xml:space="preserve">CONCRETE FLOOR FINISHING</w:t>
            </w:r>
          </w:p>
        </w:tc>
        <w:tc>
          <w:tcPr>
            <w:tcW w:type="dxa" w:w="6480"/>
            <w:gridSpan w:val="1"/>
            <w:tcBorders>
              <w:top w:val="single" w:color="AAAAAA" w:sz="4"/>
              <w:left w:val="single" w:color="AAAAAA" w:sz="4"/>
              <w:bottom w:val="single" w:color="AAAAAA" w:sz="4"/>
              <w:right w:val="single" w:color="AAAAAA" w:sz="4"/>
            </w:tcBorders>
            <w:shd w:fill="F0F2F5"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000000"/>
                <w:sz w:val="19"/>
                <w:szCs w:val="19"/>
              </w:rPr>
              <w:t xml:space="preserve">Chemical hardener and sealer for all interior exposed concrete floor slabs (CONC-coded rooms per finish schedule); approx. 13,800 SF. ACI 301 compliant; VOC ≤200 g/L.</w:t>
            </w:r>
          </w:p>
        </w:tc>
      </w:tr>
      <w:tr>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0" w:after="100"/>
              <w:jc w:val="center"/>
            </w:pPr>
            <w:r>
              <w:rPr>
                <w:rFonts w:ascii="Arial" w:cs="Arial" w:eastAsia="Arial" w:hAnsi="Arial"/>
                <w:b w:val="false"/>
                <w:bCs w:val="false"/>
                <w:i w:val="false"/>
                <w:iCs w:val="false"/>
                <w:color w:val="000000"/>
                <w:sz w:val="19"/>
                <w:szCs w:val="19"/>
              </w:rPr>
              <w:t xml:space="preserve">09 30 00</w:t>
            </w:r>
          </w:p>
        </w:tc>
        <w:tc>
          <w:tcPr>
            <w:tcW w:type="dxa" w:w="16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000000"/>
                <w:sz w:val="19"/>
                <w:szCs w:val="19"/>
              </w:rPr>
              <w:t xml:space="preserve">TILING</w:t>
            </w:r>
          </w:p>
        </w:tc>
        <w:tc>
          <w:tcPr>
            <w:tcW w:type="dxa" w:w="64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000000"/>
                <w:sz w:val="19"/>
                <w:szCs w:val="19"/>
              </w:rPr>
              <w:t xml:space="preserve">Ceramic paver tile floors (12" sq matte glazed, ~9,200 SF); glazed wall tile 4-1/4" semi-gloss (~21,400 SF); waterproofing/crack isolation membrane (Mapelastic HPG, ANSI A118.10, ~9,200 SF, full coverage under ALL tile floors); cementitious backer board – wet walls (Durock 1/2", ~7,600 SF); marble thresholds gray honed 5"×5/8" (~92 EA); all setting materials, polymer-modified grout, trim, and accessories per Spec 09 30 00.</w:t>
            </w:r>
          </w:p>
        </w:tc>
      </w:tr>
      <w:tr>
        <w:tc>
          <w:tcPr>
            <w:tcW w:type="dxa" w:w="1200"/>
            <w:gridSpan w:val="1"/>
            <w:tcBorders>
              <w:top w:val="single" w:color="AAAAAA" w:sz="4"/>
              <w:left w:val="single" w:color="AAAAAA" w:sz="4"/>
              <w:bottom w:val="single" w:color="AAAAAA" w:sz="4"/>
              <w:right w:val="single" w:color="AAAAAA" w:sz="4"/>
            </w:tcBorders>
            <w:shd w:fill="F0F2F5" w:val="clear"/>
            <w:tcMar>
              <w:top w:type="dxa" w:w="80"/>
              <w:left w:type="dxa" w:w="120"/>
              <w:bottom w:type="dxa" w:w="80"/>
              <w:right w:type="dxa" w:w="120"/>
            </w:tcMar>
            <w:vAlign w:val="top"/>
          </w:tcPr>
          <w:p>
            <w:pPr>
              <w:spacing w:before="0" w:after="100"/>
              <w:jc w:val="center"/>
            </w:pPr>
            <w:r>
              <w:rPr>
                <w:rFonts w:ascii="Arial" w:cs="Arial" w:eastAsia="Arial" w:hAnsi="Arial"/>
                <w:b w:val="false"/>
                <w:bCs w:val="false"/>
                <w:i w:val="false"/>
                <w:iCs w:val="false"/>
                <w:color w:val="000000"/>
                <w:sz w:val="19"/>
                <w:szCs w:val="19"/>
              </w:rPr>
              <w:t xml:space="preserve">09 64 66</w:t>
            </w:r>
          </w:p>
        </w:tc>
        <w:tc>
          <w:tcPr>
            <w:tcW w:type="dxa" w:w="1680"/>
            <w:gridSpan w:val="1"/>
            <w:tcBorders>
              <w:top w:val="single" w:color="AAAAAA" w:sz="4"/>
              <w:left w:val="single" w:color="AAAAAA" w:sz="4"/>
              <w:bottom w:val="single" w:color="AAAAAA" w:sz="4"/>
              <w:right w:val="single" w:color="AAAAAA" w:sz="4"/>
            </w:tcBorders>
            <w:shd w:fill="F0F2F5"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000000"/>
                <w:sz w:val="19"/>
                <w:szCs w:val="19"/>
              </w:rPr>
              <w:t xml:space="preserve">WOOD ATHLETIC FLOORING</w:t>
            </w:r>
          </w:p>
        </w:tc>
        <w:tc>
          <w:tcPr>
            <w:tcW w:type="dxa" w:w="6480"/>
            <w:gridSpan w:val="1"/>
            <w:tcBorders>
              <w:top w:val="single" w:color="AAAAAA" w:sz="4"/>
              <w:left w:val="single" w:color="AAAAAA" w:sz="4"/>
              <w:bottom w:val="single" w:color="AAAAAA" w:sz="4"/>
              <w:right w:val="single" w:color="AAAAAA" w:sz="4"/>
            </w:tcBorders>
            <w:shd w:fill="F0F2F5"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000000"/>
                <w:sz w:val="19"/>
                <w:szCs w:val="19"/>
              </w:rPr>
              <w:t xml:space="preserve">Gymnasium: DIN 18032-2 certified complete system – Robbins Air Channel Star or approved equal; vapor retarder (6 mil poly), 4"×4" neoprene isolation pads @ 24" o.c., nominal 2×3 spruce sleepers, 15/32" Fir/SP plywood subfloor (no urea formaldehyde); 33/32" White Hard Maple strip flooring, Grade 2 &amp; Better, MC 7–9%, ~8,400 SF. Stage: 25/32" White Hard Maple over tempered hardboard (ANSI 135.4), ~1,200 SF. Polyurethane finish system: 1 sealer coat + 2 finish coats, oil-modified. Game line painting and center court logo per drawings; chalk layout approval by Architect and Owner required before painting. Ventilating rubber cove base at gymnasium perimeter (Vent-Cove by Johnsonite; 4" high; ~560 LF). FSC-certified wood required.</w:t>
            </w:r>
          </w:p>
        </w:tc>
      </w:tr>
      <w:tr>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0" w:after="100"/>
              <w:jc w:val="center"/>
            </w:pPr>
            <w:r>
              <w:rPr>
                <w:rFonts w:ascii="Arial" w:cs="Arial" w:eastAsia="Arial" w:hAnsi="Arial"/>
                <w:b w:val="false"/>
                <w:bCs w:val="false"/>
                <w:i w:val="false"/>
                <w:iCs w:val="false"/>
                <w:color w:val="000000"/>
                <w:sz w:val="19"/>
                <w:szCs w:val="19"/>
              </w:rPr>
              <w:t xml:space="preserve">09 65 00</w:t>
            </w:r>
          </w:p>
        </w:tc>
        <w:tc>
          <w:tcPr>
            <w:tcW w:type="dxa" w:w="16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000000"/>
                <w:sz w:val="19"/>
                <w:szCs w:val="19"/>
              </w:rPr>
              <w:t xml:space="preserve">RESILIENT FLOORING</w:t>
            </w:r>
          </w:p>
        </w:tc>
        <w:tc>
          <w:tcPr>
            <w:tcW w:type="dxa" w:w="64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000000"/>
                <w:sz w:val="19"/>
                <w:szCs w:val="19"/>
              </w:rPr>
              <w:t xml:space="preserve">Bio-based tile (BBT) – Armstrong Migrations/Striations or equal; 12"×12" × 1/8" thick; up to 12 colors (75% standard / 25% premium); ~52,400 SF. Rubber tile at stair landings; 24"×24" smooth; ASTM F1344; ~580 SF. Rubber stair treads – combined tread/riser; hammered texture; contrasting abrasive grit nosing; FS RR-T-650; ~108 EA. Resilient rubber base 4" cove; ASTM F1861 Type TS; roll; satin finish; ~14,600 LF. All rooms per finish schedule.</w:t>
            </w:r>
          </w:p>
        </w:tc>
      </w:tr>
      <w:tr>
        <w:tc>
          <w:tcPr>
            <w:tcW w:type="dxa" w:w="1200"/>
            <w:gridSpan w:val="1"/>
            <w:tcBorders>
              <w:top w:val="single" w:color="AAAAAA" w:sz="4"/>
              <w:left w:val="single" w:color="AAAAAA" w:sz="4"/>
              <w:bottom w:val="single" w:color="AAAAAA" w:sz="4"/>
              <w:right w:val="single" w:color="AAAAAA" w:sz="4"/>
            </w:tcBorders>
            <w:shd w:fill="F0F2F5" w:val="clear"/>
            <w:tcMar>
              <w:top w:type="dxa" w:w="80"/>
              <w:left w:type="dxa" w:w="120"/>
              <w:bottom w:type="dxa" w:w="80"/>
              <w:right w:type="dxa" w:w="120"/>
            </w:tcMar>
            <w:vAlign w:val="top"/>
          </w:tcPr>
          <w:p>
            <w:pPr>
              <w:spacing w:before="0" w:after="100"/>
              <w:jc w:val="center"/>
            </w:pPr>
            <w:r>
              <w:rPr>
                <w:rFonts w:ascii="Arial" w:cs="Arial" w:eastAsia="Arial" w:hAnsi="Arial"/>
                <w:b w:val="false"/>
                <w:bCs w:val="false"/>
                <w:i w:val="false"/>
                <w:iCs w:val="false"/>
                <w:color w:val="000000"/>
                <w:sz w:val="19"/>
                <w:szCs w:val="19"/>
              </w:rPr>
              <w:t xml:space="preserve">09 67 23</w:t>
            </w:r>
          </w:p>
        </w:tc>
        <w:tc>
          <w:tcPr>
            <w:tcW w:type="dxa" w:w="1680"/>
            <w:gridSpan w:val="1"/>
            <w:tcBorders>
              <w:top w:val="single" w:color="AAAAAA" w:sz="4"/>
              <w:left w:val="single" w:color="AAAAAA" w:sz="4"/>
              <w:bottom w:val="single" w:color="AAAAAA" w:sz="4"/>
              <w:right w:val="single" w:color="AAAAAA" w:sz="4"/>
            </w:tcBorders>
            <w:shd w:fill="F0F2F5"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000000"/>
                <w:sz w:val="19"/>
                <w:szCs w:val="19"/>
              </w:rPr>
              <w:t xml:space="preserve">RESINOUS FLOORING</w:t>
            </w:r>
          </w:p>
        </w:tc>
        <w:tc>
          <w:tcPr>
            <w:tcW w:type="dxa" w:w="6480"/>
            <w:gridSpan w:val="1"/>
            <w:tcBorders>
              <w:top w:val="single" w:color="AAAAAA" w:sz="4"/>
              <w:left w:val="single" w:color="AAAAAA" w:sz="4"/>
              <w:bottom w:val="single" w:color="AAAAAA" w:sz="4"/>
              <w:right w:val="single" w:color="AAAAAA" w:sz="4"/>
            </w:tcBorders>
            <w:shd w:fill="F0F2F5"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000000"/>
                <w:sz w:val="19"/>
                <w:szCs w:val="19"/>
              </w:rPr>
              <w:t xml:space="preserve">Urethane mortar flooring system – Stonhard Stonclad UT or approved equal; nominal 1/4" thick; light texture wearing surface; ~4,200 SF. Shot-blast substrate preparation. 6" integral cove base (Stonclad UR mortar). Stonclad UT urethane sealer topcoat (one coat). Metal cove caps at top of all cove base. Stonflex MP7 joint fill material at control joints. CT5 concrete crack treatment as required. Kitchen complex Rooms 1411–1419 and 1608. Installer must hold current manufacturer written certification. Pre-installation conference minimum 30 days before start. 48"×48" mockup with Architect and Owner sign-off on texture required before production.</w:t>
            </w:r>
          </w:p>
        </w:tc>
      </w:tr>
      <w:tr>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0" w:after="100"/>
              <w:jc w:val="center"/>
            </w:pPr>
            <w:r>
              <w:rPr>
                <w:rFonts w:ascii="Arial" w:cs="Arial" w:eastAsia="Arial" w:hAnsi="Arial"/>
                <w:b w:val="false"/>
                <w:bCs w:val="false"/>
                <w:i w:val="false"/>
                <w:iCs w:val="false"/>
                <w:color w:val="000000"/>
                <w:sz w:val="19"/>
                <w:szCs w:val="19"/>
              </w:rPr>
              <w:t xml:space="preserve">09 68 13</w:t>
            </w:r>
          </w:p>
        </w:tc>
        <w:tc>
          <w:tcPr>
            <w:tcW w:type="dxa" w:w="16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000000"/>
                <w:sz w:val="19"/>
                <w:szCs w:val="19"/>
              </w:rPr>
              <w:t xml:space="preserve">TILE CARPETING</w:t>
            </w:r>
          </w:p>
        </w:tc>
        <w:tc>
          <w:tcPr>
            <w:tcW w:type="dxa" w:w="64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000000"/>
                <w:sz w:val="19"/>
                <w:szCs w:val="19"/>
              </w:rPr>
              <w:t xml:space="preserve">Interface Quizbowl or approved equal; tufted textured loop; 20"×20" tile; GlasBac RE primary backing; ~7,850 SF; up to 4 colors; one dye lot per color. Fully adhered with CRI Green Label Plus certified adhesive (max VOC 50 g/L). Square pattern; pile direction parallel to adjacent tiles. All CPT-coded rooms per finish schedule.</w:t>
            </w:r>
          </w:p>
        </w:tc>
      </w:tr>
    </w:tbl>
    <w:p>
      <w:pPr>
        <w:spacing w:before="0" w:after="120"/>
        <w:jc w:val="left"/>
      </w:pPr>
    </w:p>
    <w:p>
      <w:pPr>
        <w:spacing w:before="160" w:after="60"/>
        <w:jc w:val="left"/>
      </w:pPr>
      <w:r>
        <w:rPr>
          <w:rFonts w:ascii="Arial" w:cs="Arial" w:eastAsia="Arial" w:hAnsi="Arial"/>
          <w:b/>
          <w:bCs/>
          <w:i w:val="false"/>
          <w:iCs w:val="false"/>
          <w:color w:val="000000"/>
          <w:sz w:val="20"/>
          <w:szCs w:val="20"/>
        </w:rPr>
        <w:t xml:space="preserve">2.2  Inclusions</w:t>
      </w:r>
    </w:p>
    <w:p>
      <w:pPr>
        <w:spacing w:before="0" w:after="100"/>
        <w:jc w:val="left"/>
      </w:pPr>
      <w:r>
        <w:rPr>
          <w:rFonts w:ascii="Arial" w:cs="Arial" w:eastAsia="Arial" w:hAnsi="Arial"/>
          <w:b w:val="false"/>
          <w:bCs w:val="false"/>
          <w:i w:val="false"/>
          <w:iCs w:val="false"/>
          <w:color w:val="000000"/>
          <w:sz w:val="20"/>
          <w:szCs w:val="20"/>
        </w:rPr>
        <w:t xml:space="preserve">The following are specifically included in this Subcontract:</w:t>
      </w:r>
    </w:p>
    <w:p>
      <w:pPr>
        <w:pStyle w:val="ListParagraph"/>
        <w:numPr>
          <w:ilvl w:val="0"/>
          <w:numId w:val="2"/>
        </w:numPr>
        <w:spacing w:before="40" w:after="40"/>
        <w:ind w:left="360" w:hanging="180"/>
      </w:pPr>
      <w:r>
        <w:rPr>
          <w:rFonts w:ascii="Arial" w:cs="Arial" w:eastAsia="Arial" w:hAnsi="Arial"/>
          <w:b w:val="false"/>
          <w:bCs w:val="false"/>
          <w:i w:val="false"/>
          <w:iCs w:val="false"/>
          <w:color w:val="000000"/>
          <w:sz w:val="20"/>
          <w:szCs w:val="20"/>
        </w:rPr>
        <w:t xml:space="preserve">All labor, materials, equipment, tools, and supervision for Spec. Sections 03 35 13, 09 30 00, 09 64 66, 09 65 00, 09 67 23, and 09 68 13</w:t>
      </w:r>
    </w:p>
    <w:p>
      <w:pPr>
        <w:pStyle w:val="ListParagraph"/>
        <w:numPr>
          <w:ilvl w:val="0"/>
          <w:numId w:val="2"/>
        </w:numPr>
        <w:spacing w:before="40" w:after="40"/>
        <w:ind w:left="360" w:hanging="180"/>
      </w:pPr>
      <w:r>
        <w:rPr>
          <w:rFonts w:ascii="Arial" w:cs="Arial" w:eastAsia="Arial" w:hAnsi="Arial"/>
          <w:b w:val="false"/>
          <w:bCs w:val="false"/>
          <w:i w:val="false"/>
          <w:iCs w:val="false"/>
          <w:color w:val="000000"/>
          <w:sz w:val="20"/>
          <w:szCs w:val="20"/>
        </w:rPr>
        <w:t xml:space="preserve">Substrate moisture testing (calcium chloride per ASTM F1869; RH probe per ASTM F2170 for resinous areas) and pH testing prior to all installations</w:t>
      </w:r>
    </w:p>
    <w:p>
      <w:pPr>
        <w:pStyle w:val="ListParagraph"/>
        <w:numPr>
          <w:ilvl w:val="0"/>
          <w:numId w:val="2"/>
        </w:numPr>
        <w:spacing w:before="40" w:after="40"/>
        <w:ind w:left="360" w:hanging="180"/>
      </w:pPr>
      <w:r>
        <w:rPr>
          <w:rFonts w:ascii="Arial" w:cs="Arial" w:eastAsia="Arial" w:hAnsi="Arial"/>
          <w:b w:val="false"/>
          <w:bCs w:val="false"/>
          <w:i w:val="false"/>
          <w:iCs w:val="false"/>
          <w:color w:val="000000"/>
          <w:sz w:val="20"/>
          <w:szCs w:val="20"/>
        </w:rPr>
        <w:t xml:space="preserve">Substrate patching and leveling with latex-modified cementitious filler</w:t>
      </w:r>
    </w:p>
    <w:p>
      <w:pPr>
        <w:pStyle w:val="ListParagraph"/>
        <w:numPr>
          <w:ilvl w:val="0"/>
          <w:numId w:val="2"/>
        </w:numPr>
        <w:spacing w:before="40" w:after="40"/>
        <w:ind w:left="360" w:hanging="180"/>
      </w:pPr>
      <w:r>
        <w:rPr>
          <w:rFonts w:ascii="Arial" w:cs="Arial" w:eastAsia="Arial" w:hAnsi="Arial"/>
          <w:b w:val="false"/>
          <w:bCs w:val="false"/>
          <w:i w:val="false"/>
          <w:iCs w:val="false"/>
          <w:color w:val="000000"/>
          <w:sz w:val="20"/>
          <w:szCs w:val="20"/>
        </w:rPr>
        <w:t xml:space="preserve">All VOC-compliant adhesives and coatings per Section 01 61 16</w:t>
      </w:r>
    </w:p>
    <w:p>
      <w:pPr>
        <w:pStyle w:val="ListParagraph"/>
        <w:numPr>
          <w:ilvl w:val="0"/>
          <w:numId w:val="2"/>
        </w:numPr>
        <w:spacing w:before="40" w:after="40"/>
        <w:ind w:left="360" w:hanging="180"/>
      </w:pPr>
      <w:r>
        <w:rPr>
          <w:rFonts w:ascii="Arial" w:cs="Arial" w:eastAsia="Arial" w:hAnsi="Arial"/>
          <w:b w:val="false"/>
          <w:bCs w:val="false"/>
          <w:i w:val="false"/>
          <w:iCs w:val="false"/>
          <w:color w:val="000000"/>
          <w:sz w:val="20"/>
          <w:szCs w:val="20"/>
        </w:rPr>
        <w:t xml:space="preserve">Coordination with Contractor for gymnasium slab depression depth prior to concrete placement</w:t>
      </w:r>
    </w:p>
    <w:p>
      <w:pPr>
        <w:pStyle w:val="ListParagraph"/>
        <w:numPr>
          <w:ilvl w:val="0"/>
          <w:numId w:val="2"/>
        </w:numPr>
        <w:spacing w:before="40" w:after="40"/>
        <w:ind w:left="360" w:hanging="180"/>
      </w:pPr>
      <w:r>
        <w:rPr>
          <w:rFonts w:ascii="Arial" w:cs="Arial" w:eastAsia="Arial" w:hAnsi="Arial"/>
          <w:b w:val="false"/>
          <w:bCs w:val="false"/>
          <w:i w:val="false"/>
          <w:iCs w:val="false"/>
          <w:color w:val="000000"/>
          <w:sz w:val="20"/>
          <w:szCs w:val="20"/>
        </w:rPr>
        <w:t xml:space="preserve">Verification that concrete has cured minimum 60 days before gymnasium wood floor installation</w:t>
      </w:r>
    </w:p>
    <w:p>
      <w:pPr>
        <w:pStyle w:val="ListParagraph"/>
        <w:numPr>
          <w:ilvl w:val="0"/>
          <w:numId w:val="2"/>
        </w:numPr>
        <w:spacing w:before="40" w:after="40"/>
        <w:ind w:left="360" w:hanging="180"/>
      </w:pPr>
      <w:r>
        <w:rPr>
          <w:rFonts w:ascii="Arial" w:cs="Arial" w:eastAsia="Arial" w:hAnsi="Arial"/>
          <w:b w:val="false"/>
          <w:bCs w:val="false"/>
          <w:i w:val="false"/>
          <w:iCs w:val="false"/>
          <w:color w:val="000000"/>
          <w:sz w:val="20"/>
          <w:szCs w:val="20"/>
        </w:rPr>
        <w:t xml:space="preserve">Pre-installation conferences per each specification section</w:t>
      </w:r>
    </w:p>
    <w:p>
      <w:pPr>
        <w:pStyle w:val="ListParagraph"/>
        <w:numPr>
          <w:ilvl w:val="0"/>
          <w:numId w:val="2"/>
        </w:numPr>
        <w:spacing w:before="40" w:after="40"/>
        <w:ind w:left="360" w:hanging="180"/>
      </w:pPr>
      <w:r>
        <w:rPr>
          <w:rFonts w:ascii="Arial" w:cs="Arial" w:eastAsia="Arial" w:hAnsi="Arial"/>
          <w:b w:val="false"/>
          <w:bCs w:val="false"/>
          <w:i w:val="false"/>
          <w:iCs w:val="false"/>
          <w:color w:val="000000"/>
          <w:sz w:val="20"/>
          <w:szCs w:val="20"/>
        </w:rPr>
        <w:t xml:space="preserve">All LEED submittals: FSC chain-of-custody (maple), VOC content data, recycled content, regional materials</w:t>
      </w:r>
    </w:p>
    <w:p>
      <w:pPr>
        <w:pStyle w:val="ListParagraph"/>
        <w:numPr>
          <w:ilvl w:val="0"/>
          <w:numId w:val="2"/>
        </w:numPr>
        <w:spacing w:before="40" w:after="40"/>
        <w:ind w:left="360" w:hanging="180"/>
      </w:pPr>
      <w:r>
        <w:rPr>
          <w:rFonts w:ascii="Arial" w:cs="Arial" w:eastAsia="Arial" w:hAnsi="Arial"/>
          <w:b w:val="false"/>
          <w:bCs w:val="false"/>
          <w:i w:val="false"/>
          <w:iCs w:val="false"/>
          <w:color w:val="000000"/>
          <w:sz w:val="20"/>
          <w:szCs w:val="20"/>
        </w:rPr>
        <w:t xml:space="preserve">Resinous flooring 48"×48" mockup; Architect and Owner written approval of texture before production commences</w:t>
      </w:r>
    </w:p>
    <w:p>
      <w:pPr>
        <w:pStyle w:val="ListParagraph"/>
        <w:numPr>
          <w:ilvl w:val="0"/>
          <w:numId w:val="2"/>
        </w:numPr>
        <w:spacing w:before="40" w:after="40"/>
        <w:ind w:left="360" w:hanging="180"/>
      </w:pPr>
      <w:r>
        <w:rPr>
          <w:rFonts w:ascii="Arial" w:cs="Arial" w:eastAsia="Arial" w:hAnsi="Arial"/>
          <w:b w:val="false"/>
          <w:bCs w:val="false"/>
          <w:i w:val="false"/>
          <w:iCs w:val="false"/>
          <w:color w:val="000000"/>
          <w:sz w:val="20"/>
          <w:szCs w:val="20"/>
        </w:rPr>
        <w:t xml:space="preserve">Manufacturer written certification for resinous flooring installer prior to start of 09 67 23 work</w:t>
      </w:r>
    </w:p>
    <w:p>
      <w:pPr>
        <w:pStyle w:val="ListParagraph"/>
        <w:numPr>
          <w:ilvl w:val="0"/>
          <w:numId w:val="2"/>
        </w:numPr>
        <w:spacing w:before="40" w:after="40"/>
        <w:ind w:left="360" w:hanging="180"/>
      </w:pPr>
      <w:r>
        <w:rPr>
          <w:rFonts w:ascii="Arial" w:cs="Arial" w:eastAsia="Arial" w:hAnsi="Arial"/>
          <w:b w:val="false"/>
          <w:bCs w:val="false"/>
          <w:i w:val="false"/>
          <w:iCs w:val="false"/>
          <w:color w:val="000000"/>
          <w:sz w:val="20"/>
          <w:szCs w:val="20"/>
        </w:rPr>
        <w:t xml:space="preserve">Attic stock: 5% bio-based tile, 5% carpet tile, 2% ceramic tile; minimum one full box per type and color</w:t>
      </w:r>
    </w:p>
    <w:p>
      <w:pPr>
        <w:pStyle w:val="ListParagraph"/>
        <w:numPr>
          <w:ilvl w:val="0"/>
          <w:numId w:val="2"/>
        </w:numPr>
        <w:spacing w:before="40" w:after="40"/>
        <w:ind w:left="360" w:hanging="180"/>
      </w:pPr>
      <w:r>
        <w:rPr>
          <w:rFonts w:ascii="Arial" w:cs="Arial" w:eastAsia="Arial" w:hAnsi="Arial"/>
          <w:b w:val="false"/>
          <w:bCs w:val="false"/>
          <w:i w:val="false"/>
          <w:iCs w:val="false"/>
          <w:color w:val="000000"/>
          <w:sz w:val="20"/>
          <w:szCs w:val="20"/>
        </w:rPr>
        <w:t xml:space="preserve">Protection of all installed work through Substantial Completion</w:t>
      </w:r>
    </w:p>
    <w:p>
      <w:pPr>
        <w:pStyle w:val="ListParagraph"/>
        <w:numPr>
          <w:ilvl w:val="0"/>
          <w:numId w:val="2"/>
        </w:numPr>
        <w:spacing w:before="40" w:after="40"/>
        <w:ind w:left="360" w:hanging="180"/>
      </w:pPr>
      <w:r>
        <w:rPr>
          <w:rFonts w:ascii="Arial" w:cs="Arial" w:eastAsia="Arial" w:hAnsi="Arial"/>
          <w:b w:val="false"/>
          <w:bCs w:val="false"/>
          <w:i w:val="false"/>
          <w:iCs w:val="false"/>
          <w:color w:val="000000"/>
          <w:sz w:val="20"/>
          <w:szCs w:val="20"/>
        </w:rPr>
        <w:t xml:space="preserve">Cleaning of all installed surfaces in accordance with each manufacturer's instructions</w:t>
      </w:r>
    </w:p>
    <w:p>
      <w:pPr>
        <w:pStyle w:val="ListParagraph"/>
        <w:numPr>
          <w:ilvl w:val="0"/>
          <w:numId w:val="2"/>
        </w:numPr>
        <w:spacing w:before="40" w:after="40"/>
        <w:ind w:left="360" w:hanging="180"/>
      </w:pPr>
      <w:r>
        <w:rPr>
          <w:rFonts w:ascii="Arial" w:cs="Arial" w:eastAsia="Arial" w:hAnsi="Arial"/>
          <w:b w:val="false"/>
          <w:bCs w:val="false"/>
          <w:i w:val="false"/>
          <w:iCs w:val="false"/>
          <w:color w:val="000000"/>
          <w:sz w:val="20"/>
          <w:szCs w:val="20"/>
        </w:rPr>
        <w:t xml:space="preserve">Metal cove caps at top of all resinous integral cove base</w:t>
      </w:r>
    </w:p>
    <w:p>
      <w:pPr>
        <w:pStyle w:val="ListParagraph"/>
        <w:numPr>
          <w:ilvl w:val="0"/>
          <w:numId w:val="2"/>
        </w:numPr>
        <w:spacing w:before="40" w:after="40"/>
        <w:ind w:left="360" w:hanging="180"/>
      </w:pPr>
      <w:r>
        <w:rPr>
          <w:rFonts w:ascii="Arial" w:cs="Arial" w:eastAsia="Arial" w:hAnsi="Arial"/>
          <w:b w:val="false"/>
          <w:bCs w:val="false"/>
          <w:i w:val="false"/>
          <w:iCs w:val="false"/>
          <w:color w:val="000000"/>
          <w:sz w:val="20"/>
          <w:szCs w:val="20"/>
        </w:rPr>
        <w:t xml:space="preserve">Stonflex MP7 joint fill material and CT5 crack treatment as required at resinous areas</w:t>
      </w:r>
    </w:p>
    <w:p>
      <w:pPr>
        <w:spacing w:before="0" w:after="120"/>
        <w:jc w:val="left"/>
      </w:pPr>
    </w:p>
    <w:p>
      <w:pPr>
        <w:spacing w:before="160" w:after="60"/>
        <w:jc w:val="left"/>
      </w:pPr>
      <w:r>
        <w:rPr>
          <w:rFonts w:ascii="Arial" w:cs="Arial" w:eastAsia="Arial" w:hAnsi="Arial"/>
          <w:b/>
          <w:bCs/>
          <w:i w:val="false"/>
          <w:iCs w:val="false"/>
          <w:color w:val="000000"/>
          <w:sz w:val="20"/>
          <w:szCs w:val="20"/>
        </w:rPr>
        <w:t xml:space="preserve">2.3  Exclusions</w:t>
      </w:r>
    </w:p>
    <w:p>
      <w:pPr>
        <w:spacing w:before="0" w:after="100"/>
        <w:jc w:val="left"/>
      </w:pPr>
      <w:r>
        <w:rPr>
          <w:rFonts w:ascii="Arial" w:cs="Arial" w:eastAsia="Arial" w:hAnsi="Arial"/>
          <w:b w:val="false"/>
          <w:bCs w:val="false"/>
          <w:i w:val="false"/>
          <w:iCs w:val="false"/>
          <w:color w:val="000000"/>
          <w:sz w:val="20"/>
          <w:szCs w:val="20"/>
        </w:rPr>
        <w:t xml:space="preserve">The following are specifically excluded:</w:t>
      </w:r>
    </w:p>
    <w:p>
      <w:pPr>
        <w:pStyle w:val="ListParagraph"/>
        <w:numPr>
          <w:ilvl w:val="0"/>
          <w:numId w:val="2"/>
        </w:numPr>
        <w:spacing w:before="40" w:after="40"/>
        <w:ind w:left="360" w:hanging="180"/>
      </w:pPr>
      <w:r>
        <w:rPr>
          <w:rFonts w:ascii="Arial" w:cs="Arial" w:eastAsia="Arial" w:hAnsi="Arial"/>
          <w:b w:val="false"/>
          <w:bCs w:val="false"/>
          <w:i w:val="false"/>
          <w:iCs w:val="false"/>
          <w:color w:val="8B1A1A"/>
          <w:sz w:val="20"/>
          <w:szCs w:val="20"/>
        </w:rPr>
        <w:t xml:space="preserve">Walk-in cooler flooring Room 1415 and walk-in freezer flooring Room 1416 (see project specifications)</w:t>
      </w:r>
    </w:p>
    <w:p>
      <w:pPr>
        <w:pStyle w:val="ListParagraph"/>
        <w:numPr>
          <w:ilvl w:val="0"/>
          <w:numId w:val="2"/>
        </w:numPr>
        <w:spacing w:before="40" w:after="40"/>
        <w:ind w:left="360" w:hanging="180"/>
      </w:pPr>
      <w:r>
        <w:rPr>
          <w:rFonts w:ascii="Arial" w:cs="Arial" w:eastAsia="Arial" w:hAnsi="Arial"/>
          <w:b w:val="false"/>
          <w:bCs w:val="false"/>
          <w:i w:val="false"/>
          <w:iCs w:val="false"/>
          <w:color w:val="8B1A1A"/>
          <w:sz w:val="20"/>
          <w:szCs w:val="20"/>
        </w:rPr>
        <w:t xml:space="preserve">Structural concrete slab repair, crack injection, or leveling topping slab</w:t>
      </w:r>
    </w:p>
    <w:p>
      <w:pPr>
        <w:pStyle w:val="ListParagraph"/>
        <w:numPr>
          <w:ilvl w:val="0"/>
          <w:numId w:val="2"/>
        </w:numPr>
        <w:spacing w:before="40" w:after="40"/>
        <w:ind w:left="360" w:hanging="180"/>
      </w:pPr>
      <w:r>
        <w:rPr>
          <w:rFonts w:ascii="Arial" w:cs="Arial" w:eastAsia="Arial" w:hAnsi="Arial"/>
          <w:b w:val="false"/>
          <w:bCs w:val="false"/>
          <w:i w:val="false"/>
          <w:iCs w:val="false"/>
          <w:color w:val="8B1A1A"/>
          <w:sz w:val="20"/>
          <w:szCs w:val="20"/>
        </w:rPr>
        <w:t xml:space="preserve">Temporary heat, power, or dehumidification equipment to achieve specification environmental conditions</w:t>
      </w:r>
    </w:p>
    <w:p>
      <w:pPr>
        <w:pStyle w:val="ListParagraph"/>
        <w:numPr>
          <w:ilvl w:val="0"/>
          <w:numId w:val="2"/>
        </w:numPr>
        <w:spacing w:before="40" w:after="40"/>
        <w:ind w:left="360" w:hanging="180"/>
      </w:pPr>
      <w:r>
        <w:rPr>
          <w:rFonts w:ascii="Arial" w:cs="Arial" w:eastAsia="Arial" w:hAnsi="Arial"/>
          <w:b w:val="false"/>
          <w:bCs w:val="false"/>
          <w:i w:val="false"/>
          <w:iCs w:val="false"/>
          <w:color w:val="8B1A1A"/>
          <w:sz w:val="20"/>
          <w:szCs w:val="20"/>
        </w:rPr>
        <w:t xml:space="preserve">Sales tax on materials (Baltimore City Public Schools is a tax-exempt governmental entity)</w:t>
      </w:r>
    </w:p>
    <w:p>
      <w:pPr>
        <w:pStyle w:val="ListParagraph"/>
        <w:numPr>
          <w:ilvl w:val="0"/>
          <w:numId w:val="2"/>
        </w:numPr>
        <w:spacing w:before="40" w:after="40"/>
        <w:ind w:left="360" w:hanging="180"/>
      </w:pPr>
      <w:r>
        <w:rPr>
          <w:rFonts w:ascii="Arial" w:cs="Arial" w:eastAsia="Arial" w:hAnsi="Arial"/>
          <w:b w:val="false"/>
          <w:bCs w:val="false"/>
          <w:i w:val="false"/>
          <w:iCs w:val="false"/>
          <w:color w:val="8B1A1A"/>
          <w:sz w:val="20"/>
          <w:szCs w:val="20"/>
        </w:rPr>
        <w:t xml:space="preserve">Bond premium beyond standard AIA performance and payment bond</w:t>
      </w:r>
    </w:p>
    <w:p>
      <w:pPr>
        <w:spacing w:before="0" w:after="120"/>
        <w:jc w:val="left"/>
      </w:pPr>
    </w:p>
    <w:p>
      <w:pPr>
        <w:spacing w:before="160" w:after="60"/>
        <w:jc w:val="left"/>
      </w:pPr>
      <w:r>
        <w:rPr>
          <w:rFonts w:ascii="Arial" w:cs="Arial" w:eastAsia="Arial" w:hAnsi="Arial"/>
          <w:b/>
          <w:bCs/>
          <w:i w:val="false"/>
          <w:iCs w:val="false"/>
          <w:color w:val="000000"/>
          <w:sz w:val="20"/>
          <w:szCs w:val="20"/>
        </w:rPr>
        <w:t xml:space="preserve">2.4  Value Engineering Alternates (Available but Not Accepted in Base Bid)</w:t>
      </w:r>
    </w:p>
    <w:p>
      <w:pPr>
        <w:spacing w:before="0" w:after="100"/>
        <w:jc w:val="left"/>
      </w:pPr>
      <w:r>
        <w:rPr>
          <w:rFonts w:ascii="Arial" w:cs="Arial" w:eastAsia="Arial" w:hAnsi="Arial"/>
          <w:b w:val="false"/>
          <w:bCs w:val="false"/>
          <w:i w:val="false"/>
          <w:iCs w:val="false"/>
          <w:color w:val="000000"/>
          <w:sz w:val="20"/>
          <w:szCs w:val="20"/>
        </w:rPr>
        <w:t xml:space="preserve">The following deductive alternates were submitted with Subcontractor's proposal and may be executed by Change Order at Owner's or Contractor's election during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c>
          <w:tcPr>
            <w:tcW w:type="dxa" w:w="900"/>
            <w:gridSpan w:val="1"/>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top"/>
          </w:tcPr>
          <w:p>
            <w:pPr>
              <w:spacing w:before="0" w:after="100"/>
              <w:jc w:val="center"/>
            </w:pPr>
            <w:r>
              <w:rPr>
                <w:rFonts w:ascii="Arial" w:cs="Arial" w:eastAsia="Arial" w:hAnsi="Arial"/>
                <w:b/>
                <w:bCs/>
                <w:i w:val="false"/>
                <w:iCs w:val="false"/>
                <w:color w:val="FFFFFF"/>
                <w:sz w:val="18"/>
                <w:szCs w:val="18"/>
              </w:rPr>
              <w:t xml:space="preserve">ALT</w:t>
            </w:r>
          </w:p>
        </w:tc>
        <w:tc>
          <w:tcPr>
            <w:tcW w:type="dxa" w:w="6660"/>
            <w:gridSpan w:val="1"/>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DESCRIPTION</w:t>
            </w:r>
          </w:p>
        </w:tc>
        <w:tc>
          <w:tcPr>
            <w:tcW w:type="dxa" w:w="1800"/>
            <w:gridSpan w:val="1"/>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top"/>
          </w:tcPr>
          <w:p>
            <w:pPr>
              <w:spacing w:before="0" w:after="100"/>
              <w:jc w:val="right"/>
            </w:pPr>
            <w:r>
              <w:rPr>
                <w:rFonts w:ascii="Arial" w:cs="Arial" w:eastAsia="Arial" w:hAnsi="Arial"/>
                <w:b/>
                <w:bCs/>
                <w:i w:val="false"/>
                <w:iCs w:val="false"/>
                <w:color w:val="FFFFFF"/>
                <w:sz w:val="18"/>
                <w:szCs w:val="18"/>
              </w:rPr>
              <w:t xml:space="preserve">ADD / DEDUCT</w:t>
            </w:r>
          </w:p>
        </w:tc>
      </w:tr>
      <w:tr>
        <w:tc>
          <w:tcPr>
            <w:tcW w:type="dxa" w:w="900"/>
            <w:gridSpan w:val="1"/>
            <w:tcBorders>
              <w:top w:val="single" w:color="AAAAAA" w:sz="4"/>
              <w:left w:val="single" w:color="AAAAAA" w:sz="4"/>
              <w:bottom w:val="single" w:color="AAAAAA" w:sz="4"/>
              <w:right w:val="single" w:color="AAAAAA" w:sz="4"/>
            </w:tcBorders>
            <w:shd w:fill="F0F2F5" w:val="clear"/>
            <w:tcMar>
              <w:top w:type="dxa" w:w="80"/>
              <w:left w:type="dxa" w:w="120"/>
              <w:bottom w:type="dxa" w:w="80"/>
              <w:right w:type="dxa" w:w="120"/>
            </w:tcMar>
            <w:vAlign w:val="top"/>
          </w:tcPr>
          <w:p>
            <w:pPr>
              <w:spacing w:before="0" w:after="100"/>
              <w:jc w:val="center"/>
            </w:pPr>
            <w:r>
              <w:rPr>
                <w:rFonts w:ascii="Arial" w:cs="Arial" w:eastAsia="Arial" w:hAnsi="Arial"/>
                <w:b w:val="false"/>
                <w:bCs w:val="false"/>
                <w:i w:val="false"/>
                <w:iCs w:val="false"/>
                <w:color w:val="000000"/>
                <w:sz w:val="19"/>
                <w:szCs w:val="19"/>
              </w:rPr>
              <w:t xml:space="preserve">VE-1</w:t>
            </w:r>
          </w:p>
        </w:tc>
        <w:tc>
          <w:tcPr>
            <w:tcW w:type="dxa" w:w="6660"/>
            <w:gridSpan w:val="1"/>
            <w:tcBorders>
              <w:top w:val="single" w:color="AAAAAA" w:sz="4"/>
              <w:left w:val="single" w:color="AAAAAA" w:sz="4"/>
              <w:bottom w:val="single" w:color="AAAAAA" w:sz="4"/>
              <w:right w:val="single" w:color="AAAAAA" w:sz="4"/>
            </w:tcBorders>
            <w:shd w:fill="F0F2F5"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000000"/>
                <w:sz w:val="19"/>
                <w:szCs w:val="19"/>
              </w:rPr>
              <w:t xml:space="preserve">Substitute Aacer Anchored Power Sleeper for Robbins Air Channel Star (equivalent DIN 18032-2 performance)</w:t>
            </w:r>
          </w:p>
        </w:tc>
        <w:tc>
          <w:tcPr>
            <w:tcW w:type="dxa" w:w="1800"/>
            <w:gridSpan w:val="1"/>
            <w:tcBorders>
              <w:top w:val="single" w:color="AAAAAA" w:sz="4"/>
              <w:left w:val="single" w:color="AAAAAA" w:sz="4"/>
              <w:bottom w:val="single" w:color="AAAAAA" w:sz="4"/>
              <w:right w:val="single" w:color="AAAAAA" w:sz="4"/>
            </w:tcBorders>
            <w:shd w:fill="F0F2F5" w:val="clear"/>
            <w:tcMar>
              <w:top w:type="dxa" w:w="80"/>
              <w:left w:type="dxa" w:w="120"/>
              <w:bottom w:type="dxa" w:w="80"/>
              <w:right w:type="dxa" w:w="120"/>
            </w:tcMar>
            <w:vAlign w:val="top"/>
          </w:tcPr>
          <w:p>
            <w:pPr>
              <w:spacing w:before="0" w:after="100"/>
              <w:jc w:val="right"/>
            </w:pPr>
            <w:r>
              <w:rPr>
                <w:rFonts w:ascii="Arial" w:cs="Arial" w:eastAsia="Arial" w:hAnsi="Arial"/>
                <w:b/>
                <w:bCs/>
                <w:i w:val="false"/>
                <w:iCs w:val="false"/>
                <w:color w:val="000000"/>
                <w:sz w:val="19"/>
                <w:szCs w:val="19"/>
              </w:rPr>
              <w:t xml:space="preserve">DEDUCT $14,200</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0" w:after="100"/>
              <w:jc w:val="center"/>
            </w:pPr>
            <w:r>
              <w:rPr>
                <w:rFonts w:ascii="Arial" w:cs="Arial" w:eastAsia="Arial" w:hAnsi="Arial"/>
                <w:b w:val="false"/>
                <w:bCs w:val="false"/>
                <w:i w:val="false"/>
                <w:iCs w:val="false"/>
                <w:color w:val="000000"/>
                <w:sz w:val="19"/>
                <w:szCs w:val="19"/>
              </w:rPr>
              <w:t xml:space="preserve">VE-2</w:t>
            </w:r>
          </w:p>
        </w:tc>
        <w:tc>
          <w:tcPr>
            <w:tcW w:type="dxa" w:w="66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000000"/>
                <w:sz w:val="19"/>
                <w:szCs w:val="19"/>
              </w:rPr>
              <w:t xml:space="preserve">Substitute Upofloor Mosaic Collection for Armstrong BBT tile (quartz-based; equivalent spec per 09 65 00-C)</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0" w:after="100"/>
              <w:jc w:val="right"/>
            </w:pPr>
            <w:r>
              <w:rPr>
                <w:rFonts w:ascii="Arial" w:cs="Arial" w:eastAsia="Arial" w:hAnsi="Arial"/>
                <w:b/>
                <w:bCs/>
                <w:i w:val="false"/>
                <w:iCs w:val="false"/>
                <w:color w:val="000000"/>
                <w:sz w:val="19"/>
                <w:szCs w:val="19"/>
              </w:rPr>
              <w:t xml:space="preserve">DEDUCT $8,700</w:t>
            </w:r>
          </w:p>
        </w:tc>
      </w:tr>
      <w:tr>
        <w:tc>
          <w:tcPr>
            <w:tcW w:type="dxa" w:w="900"/>
            <w:gridSpan w:val="1"/>
            <w:tcBorders>
              <w:top w:val="single" w:color="AAAAAA" w:sz="4"/>
              <w:left w:val="single" w:color="AAAAAA" w:sz="4"/>
              <w:bottom w:val="single" w:color="AAAAAA" w:sz="4"/>
              <w:right w:val="single" w:color="AAAAAA" w:sz="4"/>
            </w:tcBorders>
            <w:shd w:fill="F0F2F5" w:val="clear"/>
            <w:tcMar>
              <w:top w:type="dxa" w:w="80"/>
              <w:left w:type="dxa" w:w="120"/>
              <w:bottom w:type="dxa" w:w="80"/>
              <w:right w:type="dxa" w:w="120"/>
            </w:tcMar>
            <w:vAlign w:val="top"/>
          </w:tcPr>
          <w:p>
            <w:pPr>
              <w:spacing w:before="0" w:after="100"/>
              <w:jc w:val="center"/>
            </w:pPr>
            <w:r>
              <w:rPr>
                <w:rFonts w:ascii="Arial" w:cs="Arial" w:eastAsia="Arial" w:hAnsi="Arial"/>
                <w:b w:val="false"/>
                <w:bCs w:val="false"/>
                <w:i w:val="false"/>
                <w:iCs w:val="false"/>
                <w:color w:val="000000"/>
                <w:sz w:val="19"/>
                <w:szCs w:val="19"/>
              </w:rPr>
              <w:t xml:space="preserve">VE-3</w:t>
            </w:r>
          </w:p>
        </w:tc>
        <w:tc>
          <w:tcPr>
            <w:tcW w:type="dxa" w:w="6660"/>
            <w:gridSpan w:val="1"/>
            <w:tcBorders>
              <w:top w:val="single" w:color="AAAAAA" w:sz="4"/>
              <w:left w:val="single" w:color="AAAAAA" w:sz="4"/>
              <w:bottom w:val="single" w:color="AAAAAA" w:sz="4"/>
              <w:right w:val="single" w:color="AAAAAA" w:sz="4"/>
            </w:tcBorders>
            <w:shd w:fill="F0F2F5"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000000"/>
                <w:sz w:val="19"/>
                <w:szCs w:val="19"/>
              </w:rPr>
              <w:t xml:space="preserve">Omit sealer coat gymnasium – 2 finish coats only; Subcontractor warrants DIN 18032-2 performance unaffected</w:t>
            </w:r>
          </w:p>
        </w:tc>
        <w:tc>
          <w:tcPr>
            <w:tcW w:type="dxa" w:w="1800"/>
            <w:gridSpan w:val="1"/>
            <w:tcBorders>
              <w:top w:val="single" w:color="AAAAAA" w:sz="4"/>
              <w:left w:val="single" w:color="AAAAAA" w:sz="4"/>
              <w:bottom w:val="single" w:color="AAAAAA" w:sz="4"/>
              <w:right w:val="single" w:color="AAAAAA" w:sz="4"/>
            </w:tcBorders>
            <w:shd w:fill="F0F2F5" w:val="clear"/>
            <w:tcMar>
              <w:top w:type="dxa" w:w="80"/>
              <w:left w:type="dxa" w:w="120"/>
              <w:bottom w:type="dxa" w:w="80"/>
              <w:right w:type="dxa" w:w="120"/>
            </w:tcMar>
            <w:vAlign w:val="top"/>
          </w:tcPr>
          <w:p>
            <w:pPr>
              <w:spacing w:before="0" w:after="100"/>
              <w:jc w:val="right"/>
            </w:pPr>
            <w:r>
              <w:rPr>
                <w:rFonts w:ascii="Arial" w:cs="Arial" w:eastAsia="Arial" w:hAnsi="Arial"/>
                <w:b/>
                <w:bCs/>
                <w:i w:val="false"/>
                <w:iCs w:val="false"/>
                <w:color w:val="000000"/>
                <w:sz w:val="19"/>
                <w:szCs w:val="19"/>
              </w:rPr>
              <w:t xml:space="preserve">DEDUCT $3,900</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0" w:after="100"/>
              <w:jc w:val="center"/>
            </w:pPr>
            <w:r>
              <w:rPr>
                <w:rFonts w:ascii="Arial" w:cs="Arial" w:eastAsia="Arial" w:hAnsi="Arial"/>
                <w:b w:val="false"/>
                <w:bCs w:val="false"/>
                <w:i w:val="false"/>
                <w:iCs w:val="false"/>
                <w:color w:val="000000"/>
                <w:sz w:val="19"/>
                <w:szCs w:val="19"/>
              </w:rPr>
              <w:t xml:space="preserve">VE-4</w:t>
            </w:r>
          </w:p>
        </w:tc>
        <w:tc>
          <w:tcPr>
            <w:tcW w:type="dxa" w:w="66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000000"/>
                <w:sz w:val="19"/>
                <w:szCs w:val="19"/>
              </w:rPr>
              <w:t xml:space="preserve">Substitute Crossville Cross-Colors for Porcealto Dal-Tile paver tile (equivalent specification)</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0" w:after="100"/>
              <w:jc w:val="right"/>
            </w:pPr>
            <w:r>
              <w:rPr>
                <w:rFonts w:ascii="Arial" w:cs="Arial" w:eastAsia="Arial" w:hAnsi="Arial"/>
                <w:b/>
                <w:bCs/>
                <w:i w:val="false"/>
                <w:iCs w:val="false"/>
                <w:color w:val="000000"/>
                <w:sz w:val="19"/>
                <w:szCs w:val="19"/>
              </w:rPr>
              <w:t xml:space="preserve">DEDUCT $5,200</w:t>
            </w:r>
          </w:p>
        </w:tc>
      </w:tr>
    </w:tbl>
    <w:p>
      <w:pPr>
        <w:pageBreakBefore/>
        <w:pBdr>
          <w:bottom w:val="single" w:color="1B3A6B" w:sz="8" w:space="1"/>
        </w:pBdr>
        <w:spacing w:before="280" w:after="80"/>
        <w:jc w:val="left"/>
      </w:pPr>
      <w:r>
        <w:rPr>
          <w:rFonts w:ascii="Arial" w:cs="Arial" w:eastAsia="Arial" w:hAnsi="Arial"/>
          <w:b/>
          <w:bCs/>
          <w:i w:val="false"/>
          <w:iCs w:val="false"/>
          <w:color w:val="1B3A6B"/>
          <w:sz w:val="24"/>
          <w:szCs w:val="24"/>
        </w:rPr>
        <w:t xml:space="preserve">ARTICLE 3 – SCHEDULE</w:t>
      </w:r>
    </w:p>
    <w:p>
      <w:pPr>
        <w:spacing w:before="160" w:after="60"/>
        <w:jc w:val="left"/>
      </w:pPr>
      <w:r>
        <w:rPr>
          <w:rFonts w:ascii="Arial" w:cs="Arial" w:eastAsia="Arial" w:hAnsi="Arial"/>
          <w:b/>
          <w:bCs/>
          <w:i w:val="false"/>
          <w:iCs w:val="false"/>
          <w:color w:val="000000"/>
          <w:sz w:val="20"/>
          <w:szCs w:val="20"/>
        </w:rPr>
        <w:t xml:space="preserve">3.1  Commencement and Completion</w:t>
      </w:r>
    </w:p>
    <w:p>
      <w:pPr>
        <w:spacing w:before="0" w:after="100"/>
        <w:jc w:val="left"/>
      </w:pPr>
      <w:r>
        <w:rPr>
          <w:rFonts w:ascii="Arial" w:cs="Arial" w:eastAsia="Arial" w:hAnsi="Arial"/>
          <w:b w:val="false"/>
          <w:bCs w:val="false"/>
          <w:i w:val="false"/>
          <w:iCs w:val="false"/>
          <w:color w:val="000000"/>
          <w:sz w:val="20"/>
          <w:szCs w:val="20"/>
        </w:rPr>
        <w:t xml:space="preserve">Subcontractor shall commence Work within five (5) calendar days of written Notice to Proceed from Contractor and shall achieve Substantial Completion of all Subcontract Work on or before the date established in the Project Schedule, as updated by Contractor from time to time. Current scheduled Subcontractor Substantial Completion: March 15, 2027.</w:t>
      </w:r>
    </w:p>
    <w:p>
      <w:pPr>
        <w:spacing w:before="160" w:after="60"/>
        <w:jc w:val="left"/>
      </w:pPr>
      <w:r>
        <w:rPr>
          <w:rFonts w:ascii="Arial" w:cs="Arial" w:eastAsia="Arial" w:hAnsi="Arial"/>
          <w:b/>
          <w:bCs/>
          <w:i w:val="false"/>
          <w:iCs w:val="false"/>
          <w:color w:val="000000"/>
          <w:sz w:val="20"/>
          <w:szCs w:val="20"/>
        </w:rPr>
        <w:t xml:space="preserve">3.2  Time is of the Essence</w:t>
      </w:r>
    </w:p>
    <w:p>
      <w:pPr>
        <w:spacing w:before="0" w:after="100"/>
        <w:jc w:val="left"/>
      </w:pPr>
      <w:r>
        <w:rPr>
          <w:rFonts w:ascii="Arial" w:cs="Arial" w:eastAsia="Arial" w:hAnsi="Arial"/>
          <w:b w:val="false"/>
          <w:bCs w:val="false"/>
          <w:i w:val="false"/>
          <w:iCs w:val="false"/>
          <w:color w:val="000000"/>
          <w:sz w:val="20"/>
          <w:szCs w:val="20"/>
        </w:rPr>
        <w:t xml:space="preserve">Time is of the essence. Subcontractor shall coordinate and sequence its Work with all other trades and shall not delay, hinder, or interfere with the work of Contractor or other subcontractors. Gymnasium wood floor installation shall not commence until: (a) concrete has cured a minimum of sixty (60) days; (b) ambient temperature is stabilized between 65°F and 80°F; (c) relative humidity is stabilized between 35% and 50%; and (d) overhead mechanical and lighting work is complete, all per Spec 09 64 66 §1.7.</w:t>
      </w:r>
    </w:p>
    <w:p>
      <w:pPr>
        <w:spacing w:before="160" w:after="60"/>
        <w:jc w:val="left"/>
      </w:pPr>
      <w:r>
        <w:rPr>
          <w:rFonts w:ascii="Arial" w:cs="Arial" w:eastAsia="Arial" w:hAnsi="Arial"/>
          <w:b/>
          <w:bCs/>
          <w:i w:val="false"/>
          <w:iCs w:val="false"/>
          <w:color w:val="000000"/>
          <w:sz w:val="20"/>
          <w:szCs w:val="20"/>
        </w:rPr>
        <w:t xml:space="preserve">3.3  Liquidated Damages</w:t>
      </w:r>
    </w:p>
    <w:p>
      <w:pPr>
        <w:spacing w:before="0" w:after="100"/>
        <w:jc w:val="left"/>
      </w:pPr>
      <w:r>
        <w:rPr>
          <w:rFonts w:ascii="Arial" w:cs="Arial" w:eastAsia="Arial" w:hAnsi="Arial"/>
          <w:b w:val="false"/>
          <w:bCs w:val="false"/>
          <w:i w:val="false"/>
          <w:iCs w:val="false"/>
          <w:color w:val="000000"/>
          <w:sz w:val="20"/>
          <w:szCs w:val="20"/>
        </w:rPr>
        <w:t xml:space="preserve">Subcontractor acknowledges that the Prime Contract provides for liquidated damages of $1,500 per calendar day for delays in Substantial Completion. Such liquidated damages shall flow down to Subcontractor to the extent Subcontractor's acts or omissions caused the delay.</w:t>
      </w:r>
    </w:p>
    <w:p>
      <w:pPr>
        <w:pageBreakBefore/>
        <w:pBdr>
          <w:bottom w:val="single" w:color="1B3A6B" w:sz="8" w:space="1"/>
        </w:pBdr>
        <w:spacing w:before="280" w:after="80"/>
        <w:jc w:val="left"/>
      </w:pPr>
      <w:r>
        <w:rPr>
          <w:rFonts w:ascii="Arial" w:cs="Arial" w:eastAsia="Arial" w:hAnsi="Arial"/>
          <w:b/>
          <w:bCs/>
          <w:i w:val="false"/>
          <w:iCs w:val="false"/>
          <w:color w:val="1B3A6B"/>
          <w:sz w:val="24"/>
          <w:szCs w:val="24"/>
        </w:rPr>
        <w:t xml:space="preserve">ARTICLE 4 – CONTRACT SUM</w:t>
      </w:r>
    </w:p>
    <w:p>
      <w:pPr>
        <w:spacing w:before="160" w:after="60"/>
        <w:jc w:val="left"/>
      </w:pPr>
      <w:r>
        <w:rPr>
          <w:rFonts w:ascii="Arial" w:cs="Arial" w:eastAsia="Arial" w:hAnsi="Arial"/>
          <w:b/>
          <w:bCs/>
          <w:i w:val="false"/>
          <w:iCs w:val="false"/>
          <w:color w:val="000000"/>
          <w:sz w:val="20"/>
          <w:szCs w:val="20"/>
        </w:rPr>
        <w:t xml:space="preserve">4.1  Contract Sum</w:t>
      </w:r>
    </w:p>
    <w:p>
      <w:pPr>
        <w:spacing w:before="0" w:after="100"/>
        <w:jc w:val="left"/>
      </w:pPr>
      <w:r>
        <w:rPr>
          <w:rFonts w:ascii="Arial" w:cs="Arial" w:eastAsia="Arial" w:hAnsi="Arial"/>
          <w:b w:val="false"/>
          <w:bCs w:val="false"/>
          <w:i w:val="false"/>
          <w:iCs w:val="false"/>
          <w:color w:val="000000"/>
          <w:sz w:val="20"/>
          <w:szCs w:val="20"/>
        </w:rPr>
        <w:t xml:space="preserve">Contract Sum: $1,392,618.00 (One Million Three Hundred Ninety-Two Thousand Six Hundred Eighteen Dollars and No Cents). The Contract Sum is a lump sum inclusive of all labor, materials, equipment, overhead, and profit necessary to complete the Work in full. Sales tax on materials is excluded (Owner is tax-exempt).</w:t>
      </w:r>
    </w:p>
    <w:p>
      <w:pPr>
        <w:spacing w:before="160" w:after="60"/>
        <w:jc w:val="left"/>
      </w:pPr>
      <w:r>
        <w:rPr>
          <w:rFonts w:ascii="Arial" w:cs="Arial" w:eastAsia="Arial" w:hAnsi="Arial"/>
          <w:b/>
          <w:bCs/>
          <w:i w:val="false"/>
          <w:iCs w:val="false"/>
          <w:color w:val="000000"/>
          <w:sz w:val="20"/>
          <w:szCs w:val="20"/>
        </w:rPr>
        <w:t xml:space="preserve">4.2  Schedule of Values</w:t>
      </w:r>
    </w:p>
    <w:p>
      <w:pPr>
        <w:spacing w:before="0" w:after="100"/>
        <w:jc w:val="left"/>
      </w:pPr>
      <w:r>
        <w:rPr>
          <w:rFonts w:ascii="Arial" w:cs="Arial" w:eastAsia="Arial" w:hAnsi="Arial"/>
          <w:b w:val="false"/>
          <w:bCs w:val="false"/>
          <w:i w:val="false"/>
          <w:iCs w:val="false"/>
          <w:color w:val="000000"/>
          <w:sz w:val="20"/>
          <w:szCs w:val="20"/>
        </w:rPr>
        <w:t xml:space="preserve">Within ten (10) days of execution, Subcontractor shall submit a Schedule of Values on AIA Form G703 allocating the Contract Sum to the line items below:</w:t>
      </w:r>
    </w:p>
    <w:p>
      <w:pPr>
        <w:spacing w:before="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160"/>
        <w:gridCol w:w="1800"/>
      </w:tblGrid>
      <w:tr>
        <w:tc>
          <w:tcPr>
            <w:tcW w:type="dxa" w:w="1400"/>
            <w:gridSpan w:val="1"/>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top"/>
          </w:tcPr>
          <w:p>
            <w:pPr>
              <w:spacing w:before="0" w:after="100"/>
              <w:jc w:val="center"/>
            </w:pPr>
            <w:r>
              <w:rPr>
                <w:rFonts w:ascii="Arial" w:cs="Arial" w:eastAsia="Arial" w:hAnsi="Arial"/>
                <w:b/>
                <w:bCs/>
                <w:i w:val="false"/>
                <w:iCs w:val="false"/>
                <w:color w:val="FFFFFF"/>
                <w:sz w:val="18"/>
                <w:szCs w:val="18"/>
              </w:rPr>
              <w:t xml:space="preserve">SPEC</w:t>
            </w:r>
          </w:p>
        </w:tc>
        <w:tc>
          <w:tcPr>
            <w:tcW w:type="dxa" w:w="6160"/>
            <w:gridSpan w:val="1"/>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DESCRIPTION</w:t>
            </w:r>
          </w:p>
        </w:tc>
        <w:tc>
          <w:tcPr>
            <w:tcW w:type="dxa" w:w="1800"/>
            <w:gridSpan w:val="1"/>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top"/>
          </w:tcPr>
          <w:p>
            <w:pPr>
              <w:spacing w:before="0" w:after="100"/>
              <w:jc w:val="right"/>
            </w:pPr>
            <w:r>
              <w:rPr>
                <w:rFonts w:ascii="Arial" w:cs="Arial" w:eastAsia="Arial" w:hAnsi="Arial"/>
                <w:b/>
                <w:bCs/>
                <w:i w:val="false"/>
                <w:iCs w:val="false"/>
                <w:color w:val="FFFFFF"/>
                <w:sz w:val="18"/>
                <w:szCs w:val="18"/>
              </w:rPr>
              <w:t xml:space="preserve">VALUE</w:t>
            </w:r>
          </w:p>
        </w:tc>
      </w:tr>
      <w:tr>
        <w:tc>
          <w:tcPr>
            <w:tcW w:type="dxa" w:w="1400"/>
            <w:gridSpan w:val="1"/>
            <w:tcBorders>
              <w:top w:val="single" w:color="AAAAAA" w:sz="4"/>
              <w:left w:val="single" w:color="AAAAAA" w:sz="4"/>
              <w:bottom w:val="single" w:color="AAAAAA" w:sz="4"/>
              <w:right w:val="single" w:color="AAAAAA" w:sz="4"/>
            </w:tcBorders>
            <w:shd w:fill="F0F2F5" w:val="clear"/>
            <w:tcMar>
              <w:top w:type="dxa" w:w="80"/>
              <w:left w:type="dxa" w:w="120"/>
              <w:bottom w:type="dxa" w:w="80"/>
              <w:right w:type="dxa" w:w="120"/>
            </w:tcMar>
            <w:vAlign w:val="top"/>
          </w:tcPr>
          <w:p>
            <w:pPr>
              <w:spacing w:before="0" w:after="100"/>
              <w:jc w:val="center"/>
            </w:pPr>
            <w:r>
              <w:rPr>
                <w:rFonts w:ascii="Arial" w:cs="Arial" w:eastAsia="Arial" w:hAnsi="Arial"/>
                <w:b w:val="false"/>
                <w:bCs w:val="false"/>
                <w:i w:val="false"/>
                <w:iCs w:val="false"/>
                <w:color w:val="000000"/>
                <w:sz w:val="19"/>
                <w:szCs w:val="19"/>
              </w:rPr>
              <w:t xml:space="preserve">03 35 13</w:t>
            </w:r>
          </w:p>
        </w:tc>
        <w:tc>
          <w:tcPr>
            <w:tcW w:type="dxa" w:w="6160"/>
            <w:gridSpan w:val="1"/>
            <w:tcBorders>
              <w:top w:val="single" w:color="AAAAAA" w:sz="4"/>
              <w:left w:val="single" w:color="AAAAAA" w:sz="4"/>
              <w:bottom w:val="single" w:color="AAAAAA" w:sz="4"/>
              <w:right w:val="single" w:color="AAAAAA" w:sz="4"/>
            </w:tcBorders>
            <w:shd w:fill="F0F2F5"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000000"/>
                <w:sz w:val="19"/>
                <w:szCs w:val="19"/>
              </w:rPr>
              <w:t xml:space="preserve">Concrete Hardener/Sealer – Exposed Interior Slabs (13,800 SF @ $1.80)</w:t>
            </w:r>
          </w:p>
        </w:tc>
        <w:tc>
          <w:tcPr>
            <w:tcW w:type="dxa" w:w="1800"/>
            <w:gridSpan w:val="1"/>
            <w:tcBorders>
              <w:top w:val="single" w:color="AAAAAA" w:sz="4"/>
              <w:left w:val="single" w:color="AAAAAA" w:sz="4"/>
              <w:bottom w:val="single" w:color="AAAAAA" w:sz="4"/>
              <w:right w:val="single" w:color="AAAAAA" w:sz="4"/>
            </w:tcBorders>
            <w:shd w:fill="F0F2F5" w:val="clear"/>
            <w:tcMar>
              <w:top w:type="dxa" w:w="80"/>
              <w:left w:type="dxa" w:w="120"/>
              <w:bottom w:type="dxa" w:w="80"/>
              <w:right w:type="dxa" w:w="120"/>
            </w:tcMar>
            <w:vAlign w:val="top"/>
          </w:tcPr>
          <w:p>
            <w:pPr>
              <w:spacing w:before="0" w:after="100"/>
              <w:jc w:val="right"/>
            </w:pPr>
            <w:r>
              <w:rPr>
                <w:rFonts w:ascii="Arial" w:cs="Arial" w:eastAsia="Arial" w:hAnsi="Arial"/>
                <w:b w:val="false"/>
                <w:bCs w:val="false"/>
                <w:i w:val="false"/>
                <w:iCs w:val="false"/>
                <w:color w:val="000000"/>
                <w:sz w:val="19"/>
                <w:szCs w:val="19"/>
              </w:rPr>
              <w:t xml:space="preserve">$24,840</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0" w:after="100"/>
              <w:jc w:val="center"/>
            </w:pPr>
            <w:r>
              <w:rPr>
                <w:rFonts w:ascii="Arial" w:cs="Arial" w:eastAsia="Arial" w:hAnsi="Arial"/>
                <w:b w:val="false"/>
                <w:bCs w:val="false"/>
                <w:i w:val="false"/>
                <w:iCs w:val="false"/>
                <w:color w:val="000000"/>
                <w:sz w:val="19"/>
                <w:szCs w:val="19"/>
              </w:rPr>
              <w:t xml:space="preserve">09 30 00</w:t>
            </w:r>
          </w:p>
        </w:tc>
        <w:tc>
          <w:tcPr>
            <w:tcW w:type="dxa" w:w="6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000000"/>
                <w:sz w:val="19"/>
                <w:szCs w:val="19"/>
              </w:rPr>
              <w:t xml:space="preserve">Tiling – Floor Tile ($127,880) + Wall Tile ($267,500) + Membrane ($30,360) + Backer Board ($30,020) + Thresholds ($7,820)</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0" w:after="100"/>
              <w:jc w:val="right"/>
            </w:pPr>
            <w:r>
              <w:rPr>
                <w:rFonts w:ascii="Arial" w:cs="Arial" w:eastAsia="Arial" w:hAnsi="Arial"/>
                <w:b w:val="false"/>
                <w:bCs w:val="false"/>
                <w:i w:val="false"/>
                <w:iCs w:val="false"/>
                <w:color w:val="000000"/>
                <w:sz w:val="19"/>
                <w:szCs w:val="19"/>
              </w:rPr>
              <w:t xml:space="preserve">$463,580</w:t>
            </w:r>
          </w:p>
        </w:tc>
      </w:tr>
      <w:tr>
        <w:tc>
          <w:tcPr>
            <w:tcW w:type="dxa" w:w="1400"/>
            <w:gridSpan w:val="1"/>
            <w:tcBorders>
              <w:top w:val="single" w:color="AAAAAA" w:sz="4"/>
              <w:left w:val="single" w:color="AAAAAA" w:sz="4"/>
              <w:bottom w:val="single" w:color="AAAAAA" w:sz="4"/>
              <w:right w:val="single" w:color="AAAAAA" w:sz="4"/>
            </w:tcBorders>
            <w:shd w:fill="F0F2F5" w:val="clear"/>
            <w:tcMar>
              <w:top w:type="dxa" w:w="80"/>
              <w:left w:type="dxa" w:w="120"/>
              <w:bottom w:type="dxa" w:w="80"/>
              <w:right w:type="dxa" w:w="120"/>
            </w:tcMar>
            <w:vAlign w:val="top"/>
          </w:tcPr>
          <w:p>
            <w:pPr>
              <w:spacing w:before="0" w:after="100"/>
              <w:jc w:val="center"/>
            </w:pPr>
            <w:r>
              <w:rPr>
                <w:rFonts w:ascii="Arial" w:cs="Arial" w:eastAsia="Arial" w:hAnsi="Arial"/>
                <w:b w:val="false"/>
                <w:bCs w:val="false"/>
                <w:i w:val="false"/>
                <w:iCs w:val="false"/>
                <w:color w:val="000000"/>
                <w:sz w:val="19"/>
                <w:szCs w:val="19"/>
              </w:rPr>
              <w:t xml:space="preserve">09 64 66</w:t>
            </w:r>
          </w:p>
        </w:tc>
        <w:tc>
          <w:tcPr>
            <w:tcW w:type="dxa" w:w="6160"/>
            <w:gridSpan w:val="1"/>
            <w:tcBorders>
              <w:top w:val="single" w:color="AAAAAA" w:sz="4"/>
              <w:left w:val="single" w:color="AAAAAA" w:sz="4"/>
              <w:bottom w:val="single" w:color="AAAAAA" w:sz="4"/>
              <w:right w:val="single" w:color="AAAAAA" w:sz="4"/>
            </w:tcBorders>
            <w:shd w:fill="F0F2F5"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000000"/>
                <w:sz w:val="19"/>
                <w:szCs w:val="19"/>
              </w:rPr>
              <w:t xml:space="preserve">Wood Athletic Flooring – Gym rough ($158,760) + Stage ($20,880) + Poly Finish LS ($18,500) + Game Lines ($6,750) + Vent. Base ($4,704)</w:t>
            </w:r>
          </w:p>
        </w:tc>
        <w:tc>
          <w:tcPr>
            <w:tcW w:type="dxa" w:w="1800"/>
            <w:gridSpan w:val="1"/>
            <w:tcBorders>
              <w:top w:val="single" w:color="AAAAAA" w:sz="4"/>
              <w:left w:val="single" w:color="AAAAAA" w:sz="4"/>
              <w:bottom w:val="single" w:color="AAAAAA" w:sz="4"/>
              <w:right w:val="single" w:color="AAAAAA" w:sz="4"/>
            </w:tcBorders>
            <w:shd w:fill="F0F2F5" w:val="clear"/>
            <w:tcMar>
              <w:top w:type="dxa" w:w="80"/>
              <w:left w:type="dxa" w:w="120"/>
              <w:bottom w:type="dxa" w:w="80"/>
              <w:right w:type="dxa" w:w="120"/>
            </w:tcMar>
            <w:vAlign w:val="top"/>
          </w:tcPr>
          <w:p>
            <w:pPr>
              <w:spacing w:before="0" w:after="100"/>
              <w:jc w:val="right"/>
            </w:pPr>
            <w:r>
              <w:rPr>
                <w:rFonts w:ascii="Arial" w:cs="Arial" w:eastAsia="Arial" w:hAnsi="Arial"/>
                <w:b w:val="false"/>
                <w:bCs w:val="false"/>
                <w:i w:val="false"/>
                <w:iCs w:val="false"/>
                <w:color w:val="000000"/>
                <w:sz w:val="19"/>
                <w:szCs w:val="19"/>
              </w:rPr>
              <w:t xml:space="preserve">$209,594</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0" w:after="100"/>
              <w:jc w:val="center"/>
            </w:pPr>
            <w:r>
              <w:rPr>
                <w:rFonts w:ascii="Arial" w:cs="Arial" w:eastAsia="Arial" w:hAnsi="Arial"/>
                <w:b w:val="false"/>
                <w:bCs w:val="false"/>
                <w:i w:val="false"/>
                <w:iCs w:val="false"/>
                <w:color w:val="000000"/>
                <w:sz w:val="19"/>
                <w:szCs w:val="19"/>
              </w:rPr>
              <w:t xml:space="preserve">09 65 00</w:t>
            </w:r>
          </w:p>
        </w:tc>
        <w:tc>
          <w:tcPr>
            <w:tcW w:type="dxa" w:w="6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000000"/>
                <w:sz w:val="19"/>
                <w:szCs w:val="19"/>
              </w:rPr>
              <w:t xml:space="preserve">Resilient Flooring – BBT ($453,260) + Rubber Tile ($5,568) + Stair Treads ($10,368) + Rubber Base ($75,920)</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0" w:after="100"/>
              <w:jc w:val="right"/>
            </w:pPr>
            <w:r>
              <w:rPr>
                <w:rFonts w:ascii="Arial" w:cs="Arial" w:eastAsia="Arial" w:hAnsi="Arial"/>
                <w:b w:val="false"/>
                <w:bCs w:val="false"/>
                <w:i w:val="false"/>
                <w:iCs w:val="false"/>
                <w:color w:val="000000"/>
                <w:sz w:val="19"/>
                <w:szCs w:val="19"/>
              </w:rPr>
              <w:t xml:space="preserve">$545,116</w:t>
            </w:r>
          </w:p>
        </w:tc>
      </w:tr>
      <w:tr>
        <w:tc>
          <w:tcPr>
            <w:tcW w:type="dxa" w:w="1400"/>
            <w:gridSpan w:val="1"/>
            <w:tcBorders>
              <w:top w:val="single" w:color="AAAAAA" w:sz="4"/>
              <w:left w:val="single" w:color="AAAAAA" w:sz="4"/>
              <w:bottom w:val="single" w:color="AAAAAA" w:sz="4"/>
              <w:right w:val="single" w:color="AAAAAA" w:sz="4"/>
            </w:tcBorders>
            <w:shd w:fill="F0F2F5" w:val="clear"/>
            <w:tcMar>
              <w:top w:type="dxa" w:w="80"/>
              <w:left w:type="dxa" w:w="120"/>
              <w:bottom w:type="dxa" w:w="80"/>
              <w:right w:type="dxa" w:w="120"/>
            </w:tcMar>
            <w:vAlign w:val="top"/>
          </w:tcPr>
          <w:p>
            <w:pPr>
              <w:spacing w:before="0" w:after="100"/>
              <w:jc w:val="center"/>
            </w:pPr>
            <w:r>
              <w:rPr>
                <w:rFonts w:ascii="Arial" w:cs="Arial" w:eastAsia="Arial" w:hAnsi="Arial"/>
                <w:b w:val="false"/>
                <w:bCs w:val="false"/>
                <w:i w:val="false"/>
                <w:iCs w:val="false"/>
                <w:color w:val="000000"/>
                <w:sz w:val="19"/>
                <w:szCs w:val="19"/>
              </w:rPr>
              <w:t xml:space="preserve">09 67 23</w:t>
            </w:r>
          </w:p>
        </w:tc>
        <w:tc>
          <w:tcPr>
            <w:tcW w:type="dxa" w:w="6160"/>
            <w:gridSpan w:val="1"/>
            <w:tcBorders>
              <w:top w:val="single" w:color="AAAAAA" w:sz="4"/>
              <w:left w:val="single" w:color="AAAAAA" w:sz="4"/>
              <w:bottom w:val="single" w:color="AAAAAA" w:sz="4"/>
              <w:right w:val="single" w:color="AAAAAA" w:sz="4"/>
            </w:tcBorders>
            <w:shd w:fill="F0F2F5"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000000"/>
                <w:sz w:val="19"/>
                <w:szCs w:val="19"/>
              </w:rPr>
              <w:t xml:space="preserve">Resinous Urethane Mortar Flooring – Kitchen Complex (4,200 SF @ $15.50)</w:t>
            </w:r>
          </w:p>
        </w:tc>
        <w:tc>
          <w:tcPr>
            <w:tcW w:type="dxa" w:w="1800"/>
            <w:gridSpan w:val="1"/>
            <w:tcBorders>
              <w:top w:val="single" w:color="AAAAAA" w:sz="4"/>
              <w:left w:val="single" w:color="AAAAAA" w:sz="4"/>
              <w:bottom w:val="single" w:color="AAAAAA" w:sz="4"/>
              <w:right w:val="single" w:color="AAAAAA" w:sz="4"/>
            </w:tcBorders>
            <w:shd w:fill="F0F2F5" w:val="clear"/>
            <w:tcMar>
              <w:top w:type="dxa" w:w="80"/>
              <w:left w:type="dxa" w:w="120"/>
              <w:bottom w:type="dxa" w:w="80"/>
              <w:right w:type="dxa" w:w="120"/>
            </w:tcMar>
            <w:vAlign w:val="top"/>
          </w:tcPr>
          <w:p>
            <w:pPr>
              <w:spacing w:before="0" w:after="100"/>
              <w:jc w:val="right"/>
            </w:pPr>
            <w:r>
              <w:rPr>
                <w:rFonts w:ascii="Arial" w:cs="Arial" w:eastAsia="Arial" w:hAnsi="Arial"/>
                <w:b w:val="false"/>
                <w:bCs w:val="false"/>
                <w:i w:val="false"/>
                <w:iCs w:val="false"/>
                <w:color w:val="000000"/>
                <w:sz w:val="19"/>
                <w:szCs w:val="19"/>
              </w:rPr>
              <w:t xml:space="preserve">$65,100</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0" w:after="100"/>
              <w:jc w:val="center"/>
            </w:pPr>
            <w:r>
              <w:rPr>
                <w:rFonts w:ascii="Arial" w:cs="Arial" w:eastAsia="Arial" w:hAnsi="Arial"/>
                <w:b w:val="false"/>
                <w:bCs w:val="false"/>
                <w:i w:val="false"/>
                <w:iCs w:val="false"/>
                <w:color w:val="000000"/>
                <w:sz w:val="19"/>
                <w:szCs w:val="19"/>
              </w:rPr>
              <w:t xml:space="preserve">09 68 13</w:t>
            </w:r>
          </w:p>
        </w:tc>
        <w:tc>
          <w:tcPr>
            <w:tcW w:type="dxa" w:w="6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000000"/>
                <w:sz w:val="19"/>
                <w:szCs w:val="19"/>
              </w:rPr>
              <w:t xml:space="preserve">Carpet Tile – Fully Adhered (7,850 SF @ $10.75)</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0" w:after="100"/>
              <w:jc w:val="right"/>
            </w:pPr>
            <w:r>
              <w:rPr>
                <w:rFonts w:ascii="Arial" w:cs="Arial" w:eastAsia="Arial" w:hAnsi="Arial"/>
                <w:b w:val="false"/>
                <w:bCs w:val="false"/>
                <w:i w:val="false"/>
                <w:iCs w:val="false"/>
                <w:color w:val="000000"/>
                <w:sz w:val="19"/>
                <w:szCs w:val="19"/>
              </w:rPr>
              <w:t xml:space="preserve">$84,388</w:t>
            </w:r>
          </w:p>
        </w:tc>
      </w:tr>
      <w:tr>
        <w:tc>
          <w:tcPr>
            <w:tcW w:type="dxa" w:w="1400"/>
            <w:gridSpan w:val="1"/>
            <w:tcBorders>
              <w:top w:val="single" w:color="AAAAAA" w:sz="4"/>
              <w:left w:val="single" w:color="AAAAAA" w:sz="4"/>
              <w:bottom w:val="single" w:color="AAAAAA" w:sz="4"/>
              <w:right w:val="single" w:color="AAAAAA" w:sz="4"/>
            </w:tcBorders>
            <w:shd w:fill="F0F2F5" w:val="clear"/>
            <w:tcMar>
              <w:top w:type="dxa" w:w="80"/>
              <w:left w:type="dxa" w:w="120"/>
              <w:bottom w:type="dxa" w:w="80"/>
              <w:right w:type="dxa" w:w="120"/>
            </w:tcMar>
            <w:vAlign w:val="top"/>
          </w:tcPr>
          <w:p>
            <w:pPr>
              <w:spacing w:before="0" w:after="100"/>
              <w:jc w:val="left"/>
            </w:pPr>
          </w:p>
        </w:tc>
        <w:tc>
          <w:tcPr>
            <w:tcW w:type="dxa" w:w="6160"/>
            <w:gridSpan w:val="1"/>
            <w:tcBorders>
              <w:top w:val="single" w:color="AAAAAA" w:sz="4"/>
              <w:left w:val="single" w:color="AAAAAA" w:sz="4"/>
              <w:bottom w:val="single" w:color="AAAAAA" w:sz="4"/>
              <w:right w:val="single" w:color="AAAAAA" w:sz="4"/>
            </w:tcBorders>
            <w:shd w:fill="F0F2F5" w:val="clear"/>
            <w:tcMar>
              <w:top w:type="dxa" w:w="80"/>
              <w:left w:type="dxa" w:w="120"/>
              <w:bottom w:type="dxa" w:w="80"/>
              <w:right w:type="dxa" w:w="120"/>
            </w:tcMar>
            <w:vAlign w:val="top"/>
          </w:tcPr>
          <w:p>
            <w:pPr>
              <w:spacing w:before="0" w:after="100"/>
              <w:jc w:val="right"/>
            </w:pPr>
            <w:r>
              <w:rPr>
                <w:rFonts w:ascii="Arial" w:cs="Arial" w:eastAsia="Arial" w:hAnsi="Arial"/>
                <w:b/>
                <w:bCs/>
                <w:i w:val="false"/>
                <w:iCs w:val="false"/>
                <w:color w:val="000000"/>
                <w:sz w:val="20"/>
                <w:szCs w:val="20"/>
              </w:rPr>
              <w:t xml:space="preserve">TOTAL CONTRACT SUM</w:t>
            </w:r>
          </w:p>
        </w:tc>
        <w:tc>
          <w:tcPr>
            <w:tcW w:type="dxa" w:w="1800"/>
            <w:gridSpan w:val="1"/>
            <w:tcBorders>
              <w:top w:val="single" w:color="1B3A6B" w:sz="12"/>
              <w:left w:val="single" w:color="AAAAAA" w:sz="4"/>
              <w:bottom w:val="single" w:color="1B3A6B" w:sz="12"/>
              <w:right w:val="single" w:color="AAAAAA" w:sz="4"/>
            </w:tcBorders>
            <w:shd w:fill="F0F2F5" w:val="clear"/>
            <w:tcMar>
              <w:top w:type="dxa" w:w="80"/>
              <w:left w:type="dxa" w:w="120"/>
              <w:bottom w:type="dxa" w:w="80"/>
              <w:right w:type="dxa" w:w="120"/>
            </w:tcMar>
            <w:vAlign w:val="top"/>
          </w:tcPr>
          <w:p>
            <w:pPr>
              <w:spacing w:before="0" w:after="100"/>
              <w:jc w:val="right"/>
            </w:pPr>
            <w:r>
              <w:rPr>
                <w:rFonts w:ascii="Arial" w:cs="Arial" w:eastAsia="Arial" w:hAnsi="Arial"/>
                <w:b/>
                <w:bCs/>
                <w:i w:val="false"/>
                <w:iCs w:val="false"/>
                <w:color w:val="1B3A6B"/>
                <w:sz w:val="20"/>
                <w:szCs w:val="20"/>
              </w:rPr>
              <w:t xml:space="preserve">$1,392,618</w:t>
            </w:r>
          </w:p>
        </w:tc>
      </w:tr>
    </w:tbl>
    <w:p>
      <w:pPr>
        <w:spacing w:before="0" w:after="120"/>
        <w:jc w:val="left"/>
      </w:pPr>
    </w:p>
    <w:p>
      <w:pPr>
        <w:spacing w:before="160" w:after="60"/>
        <w:jc w:val="left"/>
      </w:pPr>
      <w:r>
        <w:rPr>
          <w:rFonts w:ascii="Arial" w:cs="Arial" w:eastAsia="Arial" w:hAnsi="Arial"/>
          <w:b/>
          <w:bCs/>
          <w:i w:val="false"/>
          <w:iCs w:val="false"/>
          <w:color w:val="000000"/>
          <w:sz w:val="20"/>
          <w:szCs w:val="20"/>
        </w:rPr>
        <w:t xml:space="preserve">4.3  Unit Price Schedule</w:t>
      </w:r>
    </w:p>
    <w:p>
      <w:pPr>
        <w:spacing w:before="0" w:after="100"/>
        <w:jc w:val="left"/>
      </w:pPr>
      <w:r>
        <w:rPr>
          <w:rFonts w:ascii="Arial" w:cs="Arial" w:eastAsia="Arial" w:hAnsi="Arial"/>
          <w:b w:val="false"/>
          <w:bCs w:val="false"/>
          <w:i w:val="false"/>
          <w:iCs w:val="false"/>
          <w:color w:val="000000"/>
          <w:sz w:val="20"/>
          <w:szCs w:val="20"/>
        </w:rPr>
        <w:t xml:space="preserve">Unit prices for change order valuation are set forth in Exhibit A. For the gymnasium wood floor, the polyurethane finish system ($18,500 LS) and game line painting ($6,750 LS) are separately identified and shall be treated as discrete line items for change order and closeout purposes.</w:t>
      </w:r>
    </w:p>
    <w:p>
      <w:pPr>
        <w:pageBreakBefore/>
        <w:pBdr>
          <w:bottom w:val="single" w:color="1B3A6B" w:sz="8" w:space="1"/>
        </w:pBdr>
        <w:spacing w:before="280" w:after="80"/>
        <w:jc w:val="left"/>
      </w:pPr>
      <w:r>
        <w:rPr>
          <w:rFonts w:ascii="Arial" w:cs="Arial" w:eastAsia="Arial" w:hAnsi="Arial"/>
          <w:b/>
          <w:bCs/>
          <w:i w:val="false"/>
          <w:iCs w:val="false"/>
          <w:color w:val="1B3A6B"/>
          <w:sz w:val="24"/>
          <w:szCs w:val="24"/>
        </w:rPr>
        <w:t xml:space="preserve">ARTICLE 5 – PROGRESS PAYMENTS</w:t>
      </w:r>
    </w:p>
    <w:p>
      <w:pPr>
        <w:spacing w:before="160" w:after="60"/>
        <w:jc w:val="left"/>
      </w:pPr>
      <w:r>
        <w:rPr>
          <w:rFonts w:ascii="Arial" w:cs="Arial" w:eastAsia="Arial" w:hAnsi="Arial"/>
          <w:b/>
          <w:bCs/>
          <w:i w:val="false"/>
          <w:iCs w:val="false"/>
          <w:color w:val="000000"/>
          <w:sz w:val="20"/>
          <w:szCs w:val="20"/>
        </w:rPr>
        <w:t xml:space="preserve">5.1  Applications for Payment</w:t>
      </w:r>
    </w:p>
    <w:p>
      <w:pPr>
        <w:spacing w:before="0" w:after="100"/>
        <w:jc w:val="left"/>
      </w:pPr>
      <w:r>
        <w:rPr>
          <w:rFonts w:ascii="Arial" w:cs="Arial" w:eastAsia="Arial" w:hAnsi="Arial"/>
          <w:b w:val="false"/>
          <w:bCs w:val="false"/>
          <w:i w:val="false"/>
          <w:iCs w:val="false"/>
          <w:color w:val="000000"/>
          <w:sz w:val="20"/>
          <w:szCs w:val="20"/>
        </w:rPr>
        <w:t xml:space="preserve">Subcontractor shall submit monthly Applications for Payment to Contractor no later than the 20th of each month on AIA Form G703 (Continuation Sheet), supported by the approved Schedule of Values, certified payrolls, conditional lien waiver for the current pay period, unconditional lien waivers for all prior periods, and all required backup documentation.</w:t>
      </w:r>
    </w:p>
    <w:p>
      <w:pPr>
        <w:spacing w:before="160" w:after="60"/>
        <w:jc w:val="left"/>
      </w:pPr>
      <w:r>
        <w:rPr>
          <w:rFonts w:ascii="Arial" w:cs="Arial" w:eastAsia="Arial" w:hAnsi="Arial"/>
          <w:b/>
          <w:bCs/>
          <w:i w:val="false"/>
          <w:iCs w:val="false"/>
          <w:color w:val="000000"/>
          <w:sz w:val="20"/>
          <w:szCs w:val="20"/>
        </w:rPr>
        <w:t xml:space="preserve">5.2  Retainage</w:t>
      </w:r>
    </w:p>
    <w:p>
      <w:pPr>
        <w:spacing w:before="0" w:after="100"/>
        <w:jc w:val="left"/>
      </w:pPr>
      <w:r>
        <w:rPr>
          <w:rFonts w:ascii="Arial" w:cs="Arial" w:eastAsia="Arial" w:hAnsi="Arial"/>
          <w:b w:val="false"/>
          <w:bCs w:val="false"/>
          <w:i w:val="false"/>
          <w:iCs w:val="false"/>
          <w:color w:val="000000"/>
          <w:sz w:val="20"/>
          <w:szCs w:val="20"/>
        </w:rPr>
        <w:t xml:space="preserve">Contractor shall retain ten percent (10%) of each progress payment until the Subcontract Work is fifty percent (50%) complete, after which retainage shall be reduced to five percent (5%), provided Subcontractor is not in default and Contractor has obtained retainage reduction from Owner on the Prime Contract.</w:t>
      </w:r>
    </w:p>
    <w:p>
      <w:pPr>
        <w:spacing w:before="160" w:after="60"/>
        <w:jc w:val="left"/>
      </w:pPr>
      <w:r>
        <w:rPr>
          <w:rFonts w:ascii="Arial" w:cs="Arial" w:eastAsia="Arial" w:hAnsi="Arial"/>
          <w:b/>
          <w:bCs/>
          <w:i w:val="false"/>
          <w:iCs w:val="false"/>
          <w:color w:val="000000"/>
          <w:sz w:val="20"/>
          <w:szCs w:val="20"/>
        </w:rPr>
        <w:t xml:space="preserve">5.3  Pay-When-Paid</w:t>
      </w:r>
    </w:p>
    <w:p>
      <w:pPr>
        <w:spacing w:before="0" w:after="100"/>
        <w:jc w:val="left"/>
      </w:pPr>
      <w:r>
        <w:rPr>
          <w:rFonts w:ascii="Arial" w:cs="Arial" w:eastAsia="Arial" w:hAnsi="Arial"/>
          <w:b w:val="false"/>
          <w:bCs w:val="false"/>
          <w:i w:val="false"/>
          <w:iCs w:val="false"/>
          <w:color w:val="000000"/>
          <w:sz w:val="20"/>
          <w:szCs w:val="20"/>
        </w:rPr>
        <w:t xml:space="preserve">Payment to Subcontractor is conditioned upon Contractor's receipt of payment from Owner for the Work covered by Subcontractor's Application. If Owner fails to pay Contractor within sixty (60) days of the due date, Contractor shall pay Subcontractor within seventy-five (75) days of Subcontractor's Application, regardless of Owner payment status.</w:t>
      </w:r>
    </w:p>
    <w:p>
      <w:pPr>
        <w:spacing w:before="160" w:after="60"/>
        <w:jc w:val="left"/>
      </w:pPr>
      <w:r>
        <w:rPr>
          <w:rFonts w:ascii="Arial" w:cs="Arial" w:eastAsia="Arial" w:hAnsi="Arial"/>
          <w:b/>
          <w:bCs/>
          <w:i w:val="false"/>
          <w:iCs w:val="false"/>
          <w:color w:val="000000"/>
          <w:sz w:val="20"/>
          <w:szCs w:val="20"/>
        </w:rPr>
        <w:t xml:space="preserve">5.4  Final Payment</w:t>
      </w:r>
    </w:p>
    <w:p>
      <w:pPr>
        <w:spacing w:before="0" w:after="100"/>
        <w:jc w:val="left"/>
      </w:pPr>
      <w:r>
        <w:rPr>
          <w:rFonts w:ascii="Arial" w:cs="Arial" w:eastAsia="Arial" w:hAnsi="Arial"/>
          <w:b w:val="false"/>
          <w:bCs w:val="false"/>
          <w:i w:val="false"/>
          <w:iCs w:val="false"/>
          <w:color w:val="000000"/>
          <w:sz w:val="20"/>
          <w:szCs w:val="20"/>
        </w:rPr>
        <w:t xml:space="preserve">Final payment, including all retained amounts, shall be due within thirty (30) days of: (a) complete performance of all punch list items; (b) submission of final unconditional lien waiver; (c) delivery of all closeout documents per Section 15; and (d) Contractor's receipt of final payment from Owner attributable to Subcontractor's Work.</w:t>
      </w:r>
    </w:p>
    <w:p>
      <w:pPr>
        <w:pageBreakBefore/>
        <w:pBdr>
          <w:bottom w:val="single" w:color="1B3A6B" w:sz="8" w:space="1"/>
        </w:pBdr>
        <w:spacing w:before="280" w:after="80"/>
        <w:jc w:val="left"/>
      </w:pPr>
      <w:r>
        <w:rPr>
          <w:rFonts w:ascii="Arial" w:cs="Arial" w:eastAsia="Arial" w:hAnsi="Arial"/>
          <w:b/>
          <w:bCs/>
          <w:i w:val="false"/>
          <w:iCs w:val="false"/>
          <w:color w:val="1B3A6B"/>
          <w:sz w:val="24"/>
          <w:szCs w:val="24"/>
        </w:rPr>
        <w:t xml:space="preserve">ARTICLE 6 – CHANGES IN THE WORK</w:t>
      </w:r>
    </w:p>
    <w:p>
      <w:pPr>
        <w:spacing w:before="160" w:after="60"/>
        <w:jc w:val="left"/>
      </w:pPr>
      <w:r>
        <w:rPr>
          <w:rFonts w:ascii="Arial" w:cs="Arial" w:eastAsia="Arial" w:hAnsi="Arial"/>
          <w:b/>
          <w:bCs/>
          <w:i w:val="false"/>
          <w:iCs w:val="false"/>
          <w:color w:val="000000"/>
          <w:sz w:val="20"/>
          <w:szCs w:val="20"/>
        </w:rPr>
        <w:t xml:space="preserve">6.1  Change Orders</w:t>
      </w:r>
    </w:p>
    <w:p>
      <w:pPr>
        <w:spacing w:before="0" w:after="100"/>
        <w:jc w:val="left"/>
      </w:pPr>
      <w:r>
        <w:rPr>
          <w:rFonts w:ascii="Arial" w:cs="Arial" w:eastAsia="Arial" w:hAnsi="Arial"/>
          <w:b w:val="false"/>
          <w:bCs w:val="false"/>
          <w:i w:val="false"/>
          <w:iCs w:val="false"/>
          <w:color w:val="000000"/>
          <w:sz w:val="20"/>
          <w:szCs w:val="20"/>
        </w:rPr>
        <w:t xml:space="preserve">Contractor may order changes in the Work by written Change Order. No change shall be valid unless authorized in writing by Contractor prior to commencing changed Work, except in cases of emergency or upon Contractor's written direction to proceed pending pricing.</w:t>
      </w:r>
    </w:p>
    <w:p>
      <w:pPr>
        <w:spacing w:before="160" w:after="60"/>
        <w:jc w:val="left"/>
      </w:pPr>
      <w:r>
        <w:rPr>
          <w:rFonts w:ascii="Arial" w:cs="Arial" w:eastAsia="Arial" w:hAnsi="Arial"/>
          <w:b/>
          <w:bCs/>
          <w:i w:val="false"/>
          <w:iCs w:val="false"/>
          <w:color w:val="000000"/>
          <w:sz w:val="20"/>
          <w:szCs w:val="20"/>
        </w:rPr>
        <w:t xml:space="preserve">6.2  Markup on Changes</w:t>
      </w:r>
    </w:p>
    <w:p>
      <w:pPr>
        <w:spacing w:before="0" w:after="100"/>
        <w:jc w:val="left"/>
      </w:pPr>
      <w:r>
        <w:rPr>
          <w:rFonts w:ascii="Arial" w:cs="Arial" w:eastAsia="Arial" w:hAnsi="Arial"/>
          <w:b w:val="false"/>
          <w:bCs w:val="false"/>
          <w:i w:val="false"/>
          <w:iCs w:val="false"/>
          <w:color w:val="000000"/>
          <w:sz w:val="20"/>
          <w:szCs w:val="20"/>
        </w:rPr>
        <w:t xml:space="preserve">For additive changes, Subcontractor's all-inclusive markup shall not exceed: (a) 10% overhead + 10% profit on Subcontractor's direct labor and material costs for self-performed work; (b) 5% overhead + 5% profit on lower-tier subcontractor or supplier costs; (c) 10% on equipment rental. For deductive changes, Contractor shall receive a credit equal to direct cost savings plus 5%.</w:t>
      </w:r>
    </w:p>
    <w:p>
      <w:pPr>
        <w:spacing w:before="160" w:after="60"/>
        <w:jc w:val="left"/>
      </w:pPr>
      <w:r>
        <w:rPr>
          <w:rFonts w:ascii="Arial" w:cs="Arial" w:eastAsia="Arial" w:hAnsi="Arial"/>
          <w:b/>
          <w:bCs/>
          <w:i w:val="false"/>
          <w:iCs w:val="false"/>
          <w:color w:val="000000"/>
          <w:sz w:val="20"/>
          <w:szCs w:val="20"/>
        </w:rPr>
        <w:t xml:space="preserve">6.3  Unit Prices</w:t>
      </w:r>
    </w:p>
    <w:p>
      <w:pPr>
        <w:spacing w:before="0" w:after="100"/>
        <w:jc w:val="left"/>
      </w:pPr>
      <w:r>
        <w:rPr>
          <w:rFonts w:ascii="Arial" w:cs="Arial" w:eastAsia="Arial" w:hAnsi="Arial"/>
          <w:b w:val="false"/>
          <w:bCs w:val="false"/>
          <w:i w:val="false"/>
          <w:iCs w:val="false"/>
          <w:color w:val="000000"/>
          <w:sz w:val="20"/>
          <w:szCs w:val="20"/>
        </w:rPr>
        <w:t xml:space="preserve">Unit prices for additions and deletions are as set forth in Exhibit A. These prices apply to quantity adjustments within ±10% of the original Contract quantities.</w:t>
      </w:r>
    </w:p>
    <w:p>
      <w:pPr>
        <w:spacing w:before="160" w:after="60"/>
        <w:jc w:val="left"/>
      </w:pPr>
      <w:r>
        <w:rPr>
          <w:rFonts w:ascii="Arial" w:cs="Arial" w:eastAsia="Arial" w:hAnsi="Arial"/>
          <w:b/>
          <w:bCs/>
          <w:i w:val="false"/>
          <w:iCs w:val="false"/>
          <w:color w:val="000000"/>
          <w:sz w:val="20"/>
          <w:szCs w:val="20"/>
        </w:rPr>
        <w:t xml:space="preserve">6.4  Notice of Claims</w:t>
      </w:r>
    </w:p>
    <w:p>
      <w:pPr>
        <w:spacing w:before="0" w:after="100"/>
        <w:jc w:val="left"/>
      </w:pPr>
      <w:r>
        <w:rPr>
          <w:rFonts w:ascii="Arial" w:cs="Arial" w:eastAsia="Arial" w:hAnsi="Arial"/>
          <w:b w:val="false"/>
          <w:bCs w:val="false"/>
          <w:i w:val="false"/>
          <w:iCs w:val="false"/>
          <w:color w:val="000000"/>
          <w:sz w:val="20"/>
          <w:szCs w:val="20"/>
        </w:rPr>
        <w:t xml:space="preserve">Subcontractor must assert any claim for additional compensation or time in writing within ten (10) calendar days of the event giving rise to the claim. Failure to provide timely written notice waives the claim.</w:t>
      </w:r>
    </w:p>
    <w:p>
      <w:pPr>
        <w:pageBreakBefore/>
        <w:pBdr>
          <w:bottom w:val="single" w:color="1B3A6B" w:sz="8" w:space="1"/>
        </w:pBdr>
        <w:spacing w:before="280" w:after="80"/>
        <w:jc w:val="left"/>
      </w:pPr>
      <w:r>
        <w:rPr>
          <w:rFonts w:ascii="Arial" w:cs="Arial" w:eastAsia="Arial" w:hAnsi="Arial"/>
          <w:b/>
          <w:bCs/>
          <w:i w:val="false"/>
          <w:iCs w:val="false"/>
          <w:color w:val="1B3A6B"/>
          <w:sz w:val="24"/>
          <w:szCs w:val="24"/>
        </w:rPr>
        <w:t xml:space="preserve">ARTICLE 7 – INSURANCE AND BONDS</w:t>
      </w:r>
    </w:p>
    <w:p>
      <w:pPr>
        <w:spacing w:before="160" w:after="60"/>
        <w:jc w:val="left"/>
      </w:pPr>
      <w:r>
        <w:rPr>
          <w:rFonts w:ascii="Arial" w:cs="Arial" w:eastAsia="Arial" w:hAnsi="Arial"/>
          <w:b/>
          <w:bCs/>
          <w:i w:val="false"/>
          <w:iCs w:val="false"/>
          <w:color w:val="000000"/>
          <w:sz w:val="20"/>
          <w:szCs w:val="20"/>
        </w:rPr>
        <w:t xml:space="preserve">7.1  Insurance Requirements</w:t>
      </w:r>
    </w:p>
    <w:p>
      <w:pPr>
        <w:spacing w:before="0" w:after="100"/>
        <w:jc w:val="left"/>
      </w:pPr>
      <w:r>
        <w:rPr>
          <w:rFonts w:ascii="Arial" w:cs="Arial" w:eastAsia="Arial" w:hAnsi="Arial"/>
          <w:b w:val="false"/>
          <w:bCs w:val="false"/>
          <w:i w:val="false"/>
          <w:iCs w:val="false"/>
          <w:color w:val="000000"/>
          <w:sz w:val="20"/>
          <w:szCs w:val="20"/>
        </w:rPr>
        <w:t xml:space="preserve">Prior to commencing Work, Subcontractor shall procure and maintain the following coverages, naming Barton Malow Company and Baltimore City Public Schools as Additional Insureds on CGL and Umbrella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gridSpan w:val="1"/>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COVERAGE</w:t>
            </w:r>
          </w:p>
        </w:tc>
        <w:tc>
          <w:tcPr>
            <w:tcW w:type="dxa" w:w="6720"/>
            <w:gridSpan w:val="1"/>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LIMITS / REQUIREMENTS</w:t>
            </w:r>
          </w:p>
        </w:tc>
      </w:tr>
      <w:tr>
        <w:tc>
          <w:tcPr>
            <w:tcW w:type="dxa" w:w="2640"/>
            <w:gridSpan w:val="1"/>
            <w:tcBorders>
              <w:top w:val="single" w:color="AAAAAA" w:sz="4"/>
              <w:left w:val="single" w:color="AAAAAA" w:sz="4"/>
              <w:bottom w:val="single" w:color="AAAAAA" w:sz="4"/>
              <w:right w:val="single" w:color="AAAAAA" w:sz="4"/>
            </w:tcBorders>
            <w:shd w:fill="F0F2F5"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000000"/>
                <w:sz w:val="19"/>
                <w:szCs w:val="19"/>
              </w:rPr>
              <w:t xml:space="preserve">Commercial General Liability</w:t>
            </w:r>
          </w:p>
        </w:tc>
        <w:tc>
          <w:tcPr>
            <w:tcW w:type="dxa" w:w="6720"/>
            <w:gridSpan w:val="1"/>
            <w:tcBorders>
              <w:top w:val="single" w:color="AAAAAA" w:sz="4"/>
              <w:left w:val="single" w:color="AAAAAA" w:sz="4"/>
              <w:bottom w:val="single" w:color="AAAAAA" w:sz="4"/>
              <w:right w:val="single" w:color="AAAAAA" w:sz="4"/>
            </w:tcBorders>
            <w:shd w:fill="F0F2F5"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000000"/>
                <w:sz w:val="19"/>
                <w:szCs w:val="19"/>
              </w:rPr>
              <w:t xml:space="preserve">Each Occurrence $1,000,000 / General Aggregate $2,000,000 / Products-Completed Operations $2,000,000 / Personal &amp; Advertising Injury $1,000,000. Occurrence basis. Additional Insured endorsement (CG 20 10 + CG 20 37). Products-Completed Ops maintained 2 years post-Substantial Completion.</w:t>
            </w:r>
          </w:p>
        </w:tc>
      </w:tr>
      <w:tr>
        <w:tc>
          <w:tcPr>
            <w:tcW w:type="dxa" w:w="26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000000"/>
                <w:sz w:val="19"/>
                <w:szCs w:val="19"/>
              </w:rPr>
              <w:t xml:space="preserve">Automobile Liability</w:t>
            </w:r>
          </w:p>
        </w:tc>
        <w:tc>
          <w:tcPr>
            <w:tcW w:type="dxa" w:w="672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000000"/>
                <w:sz w:val="19"/>
                <w:szCs w:val="19"/>
              </w:rPr>
              <w:t xml:space="preserve">Combined Single Limit $1,000,000 per occurrence. Owned, non-owned, and hired vehicles.</w:t>
            </w:r>
          </w:p>
        </w:tc>
      </w:tr>
      <w:tr>
        <w:tc>
          <w:tcPr>
            <w:tcW w:type="dxa" w:w="2640"/>
            <w:gridSpan w:val="1"/>
            <w:tcBorders>
              <w:top w:val="single" w:color="AAAAAA" w:sz="4"/>
              <w:left w:val="single" w:color="AAAAAA" w:sz="4"/>
              <w:bottom w:val="single" w:color="AAAAAA" w:sz="4"/>
              <w:right w:val="single" w:color="AAAAAA" w:sz="4"/>
            </w:tcBorders>
            <w:shd w:fill="F0F2F5"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000000"/>
                <w:sz w:val="19"/>
                <w:szCs w:val="19"/>
              </w:rPr>
              <w:t xml:space="preserve">Workers' Compensation</w:t>
            </w:r>
          </w:p>
        </w:tc>
        <w:tc>
          <w:tcPr>
            <w:tcW w:type="dxa" w:w="6720"/>
            <w:gridSpan w:val="1"/>
            <w:tcBorders>
              <w:top w:val="single" w:color="AAAAAA" w:sz="4"/>
              <w:left w:val="single" w:color="AAAAAA" w:sz="4"/>
              <w:bottom w:val="single" w:color="AAAAAA" w:sz="4"/>
              <w:right w:val="single" w:color="AAAAAA" w:sz="4"/>
            </w:tcBorders>
            <w:shd w:fill="F0F2F5"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000000"/>
                <w:sz w:val="19"/>
                <w:szCs w:val="19"/>
              </w:rPr>
              <w:t xml:space="preserve">Statutory limits per Maryland law. Employers Liability: $500,000 / $500,000 / $500,000.</w:t>
            </w:r>
          </w:p>
        </w:tc>
      </w:tr>
      <w:tr>
        <w:tc>
          <w:tcPr>
            <w:tcW w:type="dxa" w:w="26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000000"/>
                <w:sz w:val="19"/>
                <w:szCs w:val="19"/>
              </w:rPr>
              <w:t xml:space="preserve">Umbrella / Excess Liability</w:t>
            </w:r>
          </w:p>
        </w:tc>
        <w:tc>
          <w:tcPr>
            <w:tcW w:type="dxa" w:w="672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000000"/>
                <w:sz w:val="19"/>
                <w:szCs w:val="19"/>
              </w:rPr>
              <w:t xml:space="preserve">$5,000,000 per occurrence / $5,000,000 aggregate. Following form over CGL, Auto, Employers Liability.</w:t>
            </w:r>
          </w:p>
        </w:tc>
      </w:tr>
    </w:tbl>
    <w:p>
      <w:pPr>
        <w:spacing w:before="0" w:after="120"/>
        <w:jc w:val="left"/>
      </w:pPr>
    </w:p>
    <w:p>
      <w:pPr>
        <w:spacing w:before="160" w:after="60"/>
        <w:jc w:val="left"/>
      </w:pPr>
      <w:r>
        <w:rPr>
          <w:rFonts w:ascii="Arial" w:cs="Arial" w:eastAsia="Arial" w:hAnsi="Arial"/>
          <w:b/>
          <w:bCs/>
          <w:i w:val="false"/>
          <w:iCs w:val="false"/>
          <w:color w:val="000000"/>
          <w:sz w:val="20"/>
          <w:szCs w:val="20"/>
        </w:rPr>
        <w:t xml:space="preserve">7.2  Performance and Payment Bond</w:t>
      </w:r>
    </w:p>
    <w:p>
      <w:pPr>
        <w:spacing w:before="0" w:after="100"/>
        <w:jc w:val="left"/>
      </w:pPr>
      <w:r>
        <w:rPr>
          <w:rFonts w:ascii="Arial" w:cs="Arial" w:eastAsia="Arial" w:hAnsi="Arial"/>
          <w:b w:val="false"/>
          <w:bCs w:val="false"/>
          <w:i w:val="false"/>
          <w:iCs w:val="false"/>
          <w:color w:val="000000"/>
          <w:sz w:val="20"/>
          <w:szCs w:val="20"/>
        </w:rPr>
        <w:t xml:space="preserve">Because this is a public works project and the Contract Sum exceeds $100,000, Subcontractor shall furnish a Performance Bond and a Payment Bond each equal to 100% of the Contract Sum ($1,392,618.00 each), on AIA A312 forms, executed by a surety licensed in Maryland with an A.M. Best rating of A- VII or better, within ten (10) days of execution of this Agreement. Bond premium is included in the Contract Sum.</w:t>
      </w:r>
    </w:p>
    <w:p>
      <w:pPr>
        <w:spacing w:before="160" w:after="60"/>
        <w:jc w:val="left"/>
      </w:pPr>
      <w:r>
        <w:rPr>
          <w:rFonts w:ascii="Arial" w:cs="Arial" w:eastAsia="Arial" w:hAnsi="Arial"/>
          <w:b/>
          <w:bCs/>
          <w:i w:val="false"/>
          <w:iCs w:val="false"/>
          <w:color w:val="000000"/>
          <w:sz w:val="20"/>
          <w:szCs w:val="20"/>
        </w:rPr>
        <w:t xml:space="preserve">7.3  Certificate of Insurance</w:t>
      </w:r>
    </w:p>
    <w:p>
      <w:pPr>
        <w:spacing w:before="0" w:after="100"/>
        <w:jc w:val="left"/>
      </w:pPr>
      <w:r>
        <w:rPr>
          <w:rFonts w:ascii="Arial" w:cs="Arial" w:eastAsia="Arial" w:hAnsi="Arial"/>
          <w:b w:val="false"/>
          <w:bCs w:val="false"/>
          <w:i w:val="false"/>
          <w:iCs w:val="false"/>
          <w:color w:val="000000"/>
          <w:sz w:val="20"/>
          <w:szCs w:val="20"/>
        </w:rPr>
        <w:t xml:space="preserve">Subcontractor shall deliver a certificate of insurance on ACORD 25 form, with additional insured endorsements, waiver of subrogation in favor of Owner and Contractor, and 30-day cancellation notice, before commencing Work and at each policy renewal.</w:t>
      </w:r>
    </w:p>
    <w:p>
      <w:pPr>
        <w:pageBreakBefore/>
        <w:pBdr>
          <w:bottom w:val="single" w:color="1B3A6B" w:sz="8" w:space="1"/>
        </w:pBdr>
        <w:spacing w:before="280" w:after="80"/>
        <w:jc w:val="left"/>
      </w:pPr>
      <w:r>
        <w:rPr>
          <w:rFonts w:ascii="Arial" w:cs="Arial" w:eastAsia="Arial" w:hAnsi="Arial"/>
          <w:b/>
          <w:bCs/>
          <w:i w:val="false"/>
          <w:iCs w:val="false"/>
          <w:color w:val="1B3A6B"/>
          <w:sz w:val="24"/>
          <w:szCs w:val="24"/>
        </w:rPr>
        <w:t xml:space="preserve">ARTICLE 8 – SUBMITTALS</w:t>
      </w:r>
    </w:p>
    <w:p>
      <w:pPr>
        <w:spacing w:before="160" w:after="60"/>
        <w:jc w:val="left"/>
      </w:pPr>
      <w:r>
        <w:rPr>
          <w:rFonts w:ascii="Arial" w:cs="Arial" w:eastAsia="Arial" w:hAnsi="Arial"/>
          <w:b/>
          <w:bCs/>
          <w:i w:val="false"/>
          <w:iCs w:val="false"/>
          <w:color w:val="000000"/>
          <w:sz w:val="20"/>
          <w:szCs w:val="20"/>
        </w:rPr>
        <w:t xml:space="preserve">8.1  Submittal Schedule</w:t>
      </w:r>
    </w:p>
    <w:p>
      <w:pPr>
        <w:spacing w:before="0" w:after="100"/>
        <w:jc w:val="left"/>
      </w:pPr>
      <w:r>
        <w:rPr>
          <w:rFonts w:ascii="Arial" w:cs="Arial" w:eastAsia="Arial" w:hAnsi="Arial"/>
          <w:b w:val="false"/>
          <w:bCs w:val="false"/>
          <w:i w:val="false"/>
          <w:iCs w:val="false"/>
          <w:color w:val="000000"/>
          <w:sz w:val="20"/>
          <w:szCs w:val="20"/>
        </w:rPr>
        <w:t xml:space="preserve">Subcontractor shall submit a Submittal Schedule within fifteen (15) days of execution identifying all required shop drawings, product data, samples, and certifications for each Specification Section.</w:t>
      </w:r>
    </w:p>
    <w:p>
      <w:pPr>
        <w:spacing w:before="160" w:after="60"/>
        <w:jc w:val="left"/>
      </w:pPr>
      <w:r>
        <w:rPr>
          <w:rFonts w:ascii="Arial" w:cs="Arial" w:eastAsia="Arial" w:hAnsi="Arial"/>
          <w:b/>
          <w:bCs/>
          <w:i w:val="false"/>
          <w:iCs w:val="false"/>
          <w:color w:val="000000"/>
          <w:sz w:val="20"/>
          <w:szCs w:val="20"/>
        </w:rPr>
        <w:t xml:space="preserve">8.2  Required Submittals</w:t>
      </w:r>
    </w:p>
    <w:p>
      <w:pPr>
        <w:spacing w:before="0" w:after="100"/>
        <w:jc w:val="left"/>
      </w:pPr>
      <w:r>
        <w:rPr>
          <w:rFonts w:ascii="Arial" w:cs="Arial" w:eastAsia="Arial" w:hAnsi="Arial"/>
          <w:b w:val="false"/>
          <w:bCs w:val="false"/>
          <w:i w:val="false"/>
          <w:iCs w:val="false"/>
          <w:color w:val="000000"/>
          <w:sz w:val="20"/>
          <w:szCs w:val="20"/>
        </w:rPr>
        <w:t xml:space="preserve">Required submittals include but are not limited to:</w:t>
      </w:r>
    </w:p>
    <w:p>
      <w:pPr>
        <w:pStyle w:val="ListParagraph"/>
        <w:numPr>
          <w:ilvl w:val="0"/>
          <w:numId w:val="2"/>
        </w:numPr>
        <w:spacing w:before="40" w:after="40"/>
        <w:ind w:left="360" w:hanging="180"/>
      </w:pPr>
      <w:r>
        <w:rPr>
          <w:rFonts w:ascii="Arial" w:cs="Arial" w:eastAsia="Arial" w:hAnsi="Arial"/>
          <w:b w:val="false"/>
          <w:bCs w:val="false"/>
          <w:i w:val="false"/>
          <w:iCs w:val="false"/>
          <w:color w:val="000000"/>
          <w:sz w:val="20"/>
          <w:szCs w:val="20"/>
        </w:rPr>
        <w:t xml:space="preserve">Shop drawings: floor termination details (09 64 66); game line layout and logo (09 64 66); tile layout patterns, control joints, threshold locations (09 30 00); carpet tile joint layout (09 68 13)</w:t>
      </w:r>
    </w:p>
    <w:p>
      <w:pPr>
        <w:pStyle w:val="ListParagraph"/>
        <w:numPr>
          <w:ilvl w:val="0"/>
          <w:numId w:val="2"/>
        </w:numPr>
        <w:spacing w:before="40" w:after="40"/>
        <w:ind w:left="360" w:hanging="180"/>
      </w:pPr>
      <w:r>
        <w:rPr>
          <w:rFonts w:ascii="Arial" w:cs="Arial" w:eastAsia="Arial" w:hAnsi="Arial"/>
          <w:b w:val="false"/>
          <w:bCs w:val="false"/>
          <w:i w:val="false"/>
          <w:iCs w:val="false"/>
          <w:color w:val="000000"/>
          <w:sz w:val="20"/>
          <w:szCs w:val="20"/>
        </w:rPr>
        <w:t xml:space="preserve">Product data: all flooring products, adhesives, setting materials, coatings, and waterproofing membrane</w:t>
      </w:r>
    </w:p>
    <w:p>
      <w:pPr>
        <w:pStyle w:val="ListParagraph"/>
        <w:numPr>
          <w:ilvl w:val="0"/>
          <w:numId w:val="2"/>
        </w:numPr>
        <w:spacing w:before="40" w:after="40"/>
        <w:ind w:left="360" w:hanging="180"/>
      </w:pPr>
      <w:r>
        <w:rPr>
          <w:rFonts w:ascii="Arial" w:cs="Arial" w:eastAsia="Arial" w:hAnsi="Arial"/>
          <w:b w:val="false"/>
          <w:bCs w:val="false"/>
          <w:i w:val="false"/>
          <w:iCs w:val="false"/>
          <w:color w:val="000000"/>
          <w:sz w:val="20"/>
          <w:szCs w:val="20"/>
        </w:rPr>
        <w:t xml:space="preserve">Two (2) samples of each flooring material illustrating color, pattern, and sheen</w:t>
      </w:r>
    </w:p>
    <w:p>
      <w:pPr>
        <w:pStyle w:val="ListParagraph"/>
        <w:numPr>
          <w:ilvl w:val="0"/>
          <w:numId w:val="2"/>
        </w:numPr>
        <w:spacing w:before="40" w:after="40"/>
        <w:ind w:left="360" w:hanging="180"/>
      </w:pPr>
      <w:r>
        <w:rPr>
          <w:rFonts w:ascii="Arial" w:cs="Arial" w:eastAsia="Arial" w:hAnsi="Arial"/>
          <w:b w:val="false"/>
          <w:bCs w:val="false"/>
          <w:i w:val="false"/>
          <w:iCs w:val="false"/>
          <w:color w:val="000000"/>
          <w:sz w:val="20"/>
          <w:szCs w:val="20"/>
        </w:rPr>
        <w:t xml:space="preserve">Resinous flooring: 6" sq applied sample on rigid backing by the actual installer (09 67 23)</w:t>
      </w:r>
    </w:p>
    <w:p>
      <w:pPr>
        <w:pStyle w:val="ListParagraph"/>
        <w:numPr>
          <w:ilvl w:val="0"/>
          <w:numId w:val="2"/>
        </w:numPr>
        <w:spacing w:before="40" w:after="40"/>
        <w:ind w:left="360" w:hanging="180"/>
      </w:pPr>
      <w:r>
        <w:rPr>
          <w:rFonts w:ascii="Arial" w:cs="Arial" w:eastAsia="Arial" w:hAnsi="Arial"/>
          <w:b w:val="false"/>
          <w:bCs w:val="false"/>
          <w:i w:val="false"/>
          <w:iCs w:val="false"/>
          <w:color w:val="000000"/>
          <w:sz w:val="20"/>
          <w:szCs w:val="20"/>
        </w:rPr>
        <w:t xml:space="preserve">Tile grout samples on 18"×18" plywood panels with grout joint</w:t>
      </w:r>
    </w:p>
    <w:p>
      <w:pPr>
        <w:pStyle w:val="ListParagraph"/>
        <w:numPr>
          <w:ilvl w:val="0"/>
          <w:numId w:val="2"/>
        </w:numPr>
        <w:spacing w:before="40" w:after="40"/>
        <w:ind w:left="360" w:hanging="180"/>
      </w:pPr>
      <w:r>
        <w:rPr>
          <w:rFonts w:ascii="Arial" w:cs="Arial" w:eastAsia="Arial" w:hAnsi="Arial"/>
          <w:b w:val="false"/>
          <w:bCs w:val="false"/>
          <w:i w:val="false"/>
          <w:iCs w:val="false"/>
          <w:color w:val="000000"/>
          <w:sz w:val="20"/>
          <w:szCs w:val="20"/>
        </w:rPr>
        <w:t xml:space="preserve">LEED documentation: FSC chain-of-custody certificates (maple wood); VOC content in g/L for all adhesives, sealants, and coatings; recycled content data; regional material data</w:t>
      </w:r>
    </w:p>
    <w:p>
      <w:pPr>
        <w:pStyle w:val="ListParagraph"/>
        <w:numPr>
          <w:ilvl w:val="0"/>
          <w:numId w:val="2"/>
        </w:numPr>
        <w:spacing w:before="40" w:after="40"/>
        <w:ind w:left="360" w:hanging="180"/>
      </w:pPr>
      <w:r>
        <w:rPr>
          <w:rFonts w:ascii="Arial" w:cs="Arial" w:eastAsia="Arial" w:hAnsi="Arial"/>
          <w:b w:val="false"/>
          <w:bCs w:val="false"/>
          <w:i w:val="false"/>
          <w:iCs w:val="false"/>
          <w:color w:val="000000"/>
          <w:sz w:val="20"/>
          <w:szCs w:val="20"/>
        </w:rPr>
        <w:t xml:space="preserve">Installer qualifications: Stonhard-certified installer certificate (09 67 23); MFMA-approved installer references (09 64 66); CRI/FCIB certified carpet installer (09 68 13)</w:t>
      </w:r>
    </w:p>
    <w:p>
      <w:pPr>
        <w:pStyle w:val="ListParagraph"/>
        <w:numPr>
          <w:ilvl w:val="0"/>
          <w:numId w:val="2"/>
        </w:numPr>
        <w:spacing w:before="40" w:after="40"/>
        <w:ind w:left="360" w:hanging="180"/>
      </w:pPr>
      <w:r>
        <w:rPr>
          <w:rFonts w:ascii="Arial" w:cs="Arial" w:eastAsia="Arial" w:hAnsi="Arial"/>
          <w:b w:val="false"/>
          <w:bCs w:val="false"/>
          <w:i w:val="false"/>
          <w:iCs w:val="false"/>
          <w:color w:val="000000"/>
          <w:sz w:val="20"/>
          <w:szCs w:val="20"/>
        </w:rPr>
        <w:t xml:space="preserve">DIN 18032-2 compliance documentation for gymnasium floor system</w:t>
      </w:r>
    </w:p>
    <w:p>
      <w:pPr>
        <w:pStyle w:val="ListParagraph"/>
        <w:numPr>
          <w:ilvl w:val="0"/>
          <w:numId w:val="2"/>
        </w:numPr>
        <w:spacing w:before="40" w:after="40"/>
        <w:ind w:left="360" w:hanging="180"/>
      </w:pPr>
      <w:r>
        <w:rPr>
          <w:rFonts w:ascii="Arial" w:cs="Arial" w:eastAsia="Arial" w:hAnsi="Arial"/>
          <w:b w:val="false"/>
          <w:bCs w:val="false"/>
          <w:i w:val="false"/>
          <w:iCs w:val="false"/>
          <w:color w:val="000000"/>
          <w:sz w:val="20"/>
          <w:szCs w:val="20"/>
        </w:rPr>
        <w:t xml:space="preserve">Manufacturer asbestos-free certification for resilient flooring products</w:t>
      </w:r>
    </w:p>
    <w:p>
      <w:pPr>
        <w:pStyle w:val="ListParagraph"/>
        <w:numPr>
          <w:ilvl w:val="0"/>
          <w:numId w:val="2"/>
        </w:numPr>
        <w:spacing w:before="40" w:after="40"/>
        <w:ind w:left="360" w:hanging="180"/>
      </w:pPr>
      <w:r>
        <w:rPr>
          <w:rFonts w:ascii="Arial" w:cs="Arial" w:eastAsia="Arial" w:hAnsi="Arial"/>
          <w:b w:val="false"/>
          <w:bCs w:val="false"/>
          <w:i w:val="false"/>
          <w:iCs w:val="false"/>
          <w:color w:val="000000"/>
          <w:sz w:val="20"/>
          <w:szCs w:val="20"/>
        </w:rPr>
        <w:t xml:space="preserve">Maintenance data and three (3) copies AMFMA Care and Preservation of Your Wood Floors</w:t>
      </w:r>
    </w:p>
    <w:p>
      <w:pPr>
        <w:pageBreakBefore/>
        <w:pBdr>
          <w:bottom w:val="single" w:color="1B3A6B" w:sz="8" w:space="1"/>
        </w:pBdr>
        <w:spacing w:before="280" w:after="80"/>
        <w:jc w:val="left"/>
      </w:pPr>
      <w:r>
        <w:rPr>
          <w:rFonts w:ascii="Arial" w:cs="Arial" w:eastAsia="Arial" w:hAnsi="Arial"/>
          <w:b/>
          <w:bCs/>
          <w:i w:val="false"/>
          <w:iCs w:val="false"/>
          <w:color w:val="1B3A6B"/>
          <w:sz w:val="24"/>
          <w:szCs w:val="24"/>
        </w:rPr>
        <w:t xml:space="preserve">ARTICLE 9 – PREVAILING WAGES AND LABOR REQUIREMENTS</w:t>
      </w:r>
    </w:p>
    <w:p>
      <w:pPr>
        <w:spacing w:before="160" w:after="60"/>
        <w:jc w:val="left"/>
      </w:pPr>
      <w:r>
        <w:rPr>
          <w:rFonts w:ascii="Arial" w:cs="Arial" w:eastAsia="Arial" w:hAnsi="Arial"/>
          <w:b/>
          <w:bCs/>
          <w:i w:val="false"/>
          <w:iCs w:val="false"/>
          <w:color w:val="000000"/>
          <w:sz w:val="20"/>
          <w:szCs w:val="20"/>
        </w:rPr>
        <w:t xml:space="preserve">9.1  Maryland Prevailing Wage Law</w:t>
      </w:r>
    </w:p>
    <w:p>
      <w:pPr>
        <w:spacing w:before="0" w:after="100"/>
        <w:jc w:val="left"/>
      </w:pPr>
      <w:r>
        <w:rPr>
          <w:rFonts w:ascii="Arial" w:cs="Arial" w:eastAsia="Arial" w:hAnsi="Arial"/>
          <w:b w:val="false"/>
          <w:bCs w:val="false"/>
          <w:i w:val="false"/>
          <w:iCs w:val="false"/>
          <w:color w:val="000000"/>
          <w:sz w:val="20"/>
          <w:szCs w:val="20"/>
        </w:rPr>
        <w:t xml:space="preserve">This Project is a public works project subject to the Maryland Prevailing Wage Law, Labor and Employment Article §17-201 et seq. Subcontractor shall pay all workers employed on the Project not less than the applicable prevailing wage rates as determined by the Maryland Department of Labor for Baltimore City. The prevailing wage rate schedule is attached as Exhibit F.</w:t>
      </w:r>
    </w:p>
    <w:p>
      <w:pPr>
        <w:spacing w:before="160" w:after="60"/>
        <w:jc w:val="left"/>
      </w:pPr>
      <w:r>
        <w:rPr>
          <w:rFonts w:ascii="Arial" w:cs="Arial" w:eastAsia="Arial" w:hAnsi="Arial"/>
          <w:b/>
          <w:bCs/>
          <w:i w:val="false"/>
          <w:iCs w:val="false"/>
          <w:color w:val="000000"/>
          <w:sz w:val="20"/>
          <w:szCs w:val="20"/>
        </w:rPr>
        <w:t xml:space="preserve">9.2  Certified Payrolls</w:t>
      </w:r>
    </w:p>
    <w:p>
      <w:pPr>
        <w:spacing w:before="0" w:after="100"/>
        <w:jc w:val="left"/>
      </w:pPr>
      <w:r>
        <w:rPr>
          <w:rFonts w:ascii="Arial" w:cs="Arial" w:eastAsia="Arial" w:hAnsi="Arial"/>
          <w:b w:val="false"/>
          <w:bCs w:val="false"/>
          <w:i w:val="false"/>
          <w:iCs w:val="false"/>
          <w:color w:val="000000"/>
          <w:sz w:val="20"/>
          <w:szCs w:val="20"/>
        </w:rPr>
        <w:t xml:space="preserve">Subcontractor shall submit weekly certified payroll reports on WH-347 or equivalent format, accompanied by a Statement of Compliance, to Contractor no later than seven (7) days after the close of each payroll period. Records shall be retained three (3) years.</w:t>
      </w:r>
    </w:p>
    <w:p>
      <w:pPr>
        <w:spacing w:before="160" w:after="60"/>
        <w:jc w:val="left"/>
      </w:pPr>
      <w:r>
        <w:rPr>
          <w:rFonts w:ascii="Arial" w:cs="Arial" w:eastAsia="Arial" w:hAnsi="Arial"/>
          <w:b/>
          <w:bCs/>
          <w:i w:val="false"/>
          <w:iCs w:val="false"/>
          <w:color w:val="000000"/>
          <w:sz w:val="20"/>
          <w:szCs w:val="20"/>
        </w:rPr>
        <w:t xml:space="preserve">9.3  MBE/WBE Participation</w:t>
      </w:r>
    </w:p>
    <w:p>
      <w:pPr>
        <w:spacing w:before="0" w:after="100"/>
        <w:jc w:val="left"/>
      </w:pPr>
      <w:r>
        <w:rPr>
          <w:rFonts w:ascii="Arial" w:cs="Arial" w:eastAsia="Arial" w:hAnsi="Arial"/>
          <w:b w:val="false"/>
          <w:bCs w:val="false"/>
          <w:i w:val="false"/>
          <w:iCs w:val="false"/>
          <w:color w:val="000000"/>
          <w:sz w:val="20"/>
          <w:szCs w:val="20"/>
        </w:rPr>
        <w:t xml:space="preserve">This Project has a Minority Business Enterprise (MBE) participation goal of 30% and a Women's Business Enterprise (WBE) goal of 7% of the total Contract Sum, consistent with Baltimore City Public Schools requirements. Subcontractor's MBE/WBE participation plan is set forth in Exhibit B. Subcontractor shall submit monthly MBE/WBE utilization reports with each Application for Payment.</w:t>
      </w:r>
    </w:p>
    <w:p>
      <w:pPr>
        <w:spacing w:before="160" w:after="60"/>
        <w:jc w:val="left"/>
      </w:pPr>
      <w:r>
        <w:rPr>
          <w:rFonts w:ascii="Arial" w:cs="Arial" w:eastAsia="Arial" w:hAnsi="Arial"/>
          <w:b/>
          <w:bCs/>
          <w:i w:val="false"/>
          <w:iCs w:val="false"/>
          <w:color w:val="000000"/>
          <w:sz w:val="20"/>
          <w:szCs w:val="20"/>
        </w:rPr>
        <w:t xml:space="preserve">9.4  E-Verify</w:t>
      </w:r>
    </w:p>
    <w:p>
      <w:pPr>
        <w:spacing w:before="0" w:after="100"/>
        <w:jc w:val="left"/>
      </w:pPr>
      <w:r>
        <w:rPr>
          <w:rFonts w:ascii="Arial" w:cs="Arial" w:eastAsia="Arial" w:hAnsi="Arial"/>
          <w:b w:val="false"/>
          <w:bCs w:val="false"/>
          <w:i w:val="false"/>
          <w:iCs w:val="false"/>
          <w:color w:val="000000"/>
          <w:sz w:val="20"/>
          <w:szCs w:val="20"/>
        </w:rPr>
        <w:t xml:space="preserve">Subcontractor shall use E-Verify for all new hires assigned to this Project and shall maintain records of E-Verify compliance for inspection upon request.</w:t>
      </w:r>
    </w:p>
    <w:p>
      <w:pPr>
        <w:pageBreakBefore/>
        <w:pBdr>
          <w:bottom w:val="single" w:color="1B3A6B" w:sz="8" w:space="1"/>
        </w:pBdr>
        <w:spacing w:before="280" w:after="80"/>
        <w:jc w:val="left"/>
      </w:pPr>
      <w:r>
        <w:rPr>
          <w:rFonts w:ascii="Arial" w:cs="Arial" w:eastAsia="Arial" w:hAnsi="Arial"/>
          <w:b/>
          <w:bCs/>
          <w:i w:val="false"/>
          <w:iCs w:val="false"/>
          <w:color w:val="1B3A6B"/>
          <w:sz w:val="24"/>
          <w:szCs w:val="24"/>
        </w:rPr>
        <w:t xml:space="preserve">ARTICLE 10 – INDEMNIFICATION</w:t>
      </w:r>
    </w:p>
    <w:p>
      <w:pPr>
        <w:spacing w:before="160" w:after="60"/>
        <w:jc w:val="left"/>
      </w:pPr>
      <w:r>
        <w:rPr>
          <w:rFonts w:ascii="Arial" w:cs="Arial" w:eastAsia="Arial" w:hAnsi="Arial"/>
          <w:b/>
          <w:bCs/>
          <w:i w:val="false"/>
          <w:iCs w:val="false"/>
          <w:color w:val="000000"/>
          <w:sz w:val="20"/>
          <w:szCs w:val="20"/>
        </w:rPr>
        <w:t xml:space="preserve">10.1  Intermediate-Form Indemnity</w:t>
      </w:r>
    </w:p>
    <w:p>
      <w:pPr>
        <w:spacing w:before="0" w:after="100"/>
        <w:jc w:val="left"/>
      </w:pPr>
      <w:r>
        <w:rPr>
          <w:rFonts w:ascii="Arial" w:cs="Arial" w:eastAsia="Arial" w:hAnsi="Arial"/>
          <w:b w:val="false"/>
          <w:bCs w:val="false"/>
          <w:i w:val="false"/>
          <w:iCs w:val="false"/>
          <w:color w:val="000000"/>
          <w:sz w:val="20"/>
          <w:szCs w:val="20"/>
        </w:rPr>
        <w:t xml:space="preserve">To the fullest extent permitted by Maryland law, Subcontractor shall indemnify, defend, and hold harmless Contractor, Owner, Architect, and their respective officers, directors, agents, and employees from and against any and all claims, damages, losses, and expenses, including reasonable attorneys' fees, arising out of or resulting from Subcontractor's performance of the Subcontract Work, but only to the extent caused by the negligent acts or omissions of Subcontractor, its sub-subcontractors, or their respective agents or employees. Subcontractor's indemnity obligation shall not apply to the extent claims arise from the sole negligence or willful misconduct of an indemnified party.</w:t>
      </w:r>
    </w:p>
    <w:p>
      <w:pPr>
        <w:spacing w:before="160" w:after="60"/>
        <w:jc w:val="left"/>
      </w:pPr>
      <w:r>
        <w:rPr>
          <w:rFonts w:ascii="Arial" w:cs="Arial" w:eastAsia="Arial" w:hAnsi="Arial"/>
          <w:b/>
          <w:bCs/>
          <w:i w:val="false"/>
          <w:iCs w:val="false"/>
          <w:color w:val="000000"/>
          <w:sz w:val="20"/>
          <w:szCs w:val="20"/>
        </w:rPr>
        <w:t xml:space="preserve">10.2  Insurance Relationship</w:t>
      </w:r>
    </w:p>
    <w:p>
      <w:pPr>
        <w:spacing w:before="0" w:after="100"/>
        <w:jc w:val="left"/>
      </w:pPr>
      <w:r>
        <w:rPr>
          <w:rFonts w:ascii="Arial" w:cs="Arial" w:eastAsia="Arial" w:hAnsi="Arial"/>
          <w:b w:val="false"/>
          <w:bCs w:val="false"/>
          <w:i w:val="false"/>
          <w:iCs w:val="false"/>
          <w:color w:val="000000"/>
          <w:sz w:val="20"/>
          <w:szCs w:val="20"/>
        </w:rPr>
        <w:t xml:space="preserve">The indemnity obligation in Section 10.1 is in addition to, and not a substitute for, the insurance requirements in Article 7.</w:t>
      </w:r>
    </w:p>
    <w:p>
      <w:pPr>
        <w:pageBreakBefore/>
        <w:pBdr>
          <w:bottom w:val="single" w:color="1B3A6B" w:sz="8" w:space="1"/>
        </w:pBdr>
        <w:spacing w:before="280" w:after="80"/>
        <w:jc w:val="left"/>
      </w:pPr>
      <w:r>
        <w:rPr>
          <w:rFonts w:ascii="Arial" w:cs="Arial" w:eastAsia="Arial" w:hAnsi="Arial"/>
          <w:b/>
          <w:bCs/>
          <w:i w:val="false"/>
          <w:iCs w:val="false"/>
          <w:color w:val="1B3A6B"/>
          <w:sz w:val="24"/>
          <w:szCs w:val="24"/>
        </w:rPr>
        <w:t xml:space="preserve">ARTICLE 11 – WARRANTY</w:t>
      </w:r>
    </w:p>
    <w:p>
      <w:pPr>
        <w:spacing w:before="160" w:after="60"/>
        <w:jc w:val="left"/>
      </w:pPr>
      <w:r>
        <w:rPr>
          <w:rFonts w:ascii="Arial" w:cs="Arial" w:eastAsia="Arial" w:hAnsi="Arial"/>
          <w:b/>
          <w:bCs/>
          <w:i w:val="false"/>
          <w:iCs w:val="false"/>
          <w:color w:val="000000"/>
          <w:sz w:val="20"/>
          <w:szCs w:val="20"/>
        </w:rPr>
        <w:t xml:space="preserve">11.1  General Warranty</w:t>
      </w:r>
    </w:p>
    <w:p>
      <w:pPr>
        <w:spacing w:before="0" w:after="100"/>
        <w:jc w:val="left"/>
      </w:pPr>
      <w:r>
        <w:rPr>
          <w:rFonts w:ascii="Arial" w:cs="Arial" w:eastAsia="Arial" w:hAnsi="Arial"/>
          <w:b w:val="false"/>
          <w:bCs w:val="false"/>
          <w:i w:val="false"/>
          <w:iCs w:val="false"/>
          <w:color w:val="000000"/>
          <w:sz w:val="20"/>
          <w:szCs w:val="20"/>
        </w:rPr>
        <w:t xml:space="preserve">Subcontractor warrants that all Work shall be free from defects in materials and workmanship for a period of one (1) year from the date of Substantial Completion of the Project, or such longer period as required by the Specifications, whichever is greater.</w:t>
      </w:r>
    </w:p>
    <w:p>
      <w:pPr>
        <w:spacing w:before="160" w:after="60"/>
        <w:jc w:val="left"/>
      </w:pPr>
      <w:r>
        <w:rPr>
          <w:rFonts w:ascii="Arial" w:cs="Arial" w:eastAsia="Arial" w:hAnsi="Arial"/>
          <w:b/>
          <w:bCs/>
          <w:i w:val="false"/>
          <w:iCs w:val="false"/>
          <w:color w:val="000000"/>
          <w:sz w:val="20"/>
          <w:szCs w:val="20"/>
        </w:rPr>
        <w:t xml:space="preserve">11.2  Extended Warranties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gridSpan w:val="1"/>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top"/>
          </w:tcPr>
          <w:p>
            <w:pPr>
              <w:spacing w:before="0" w:after="100"/>
              <w:jc w:val="center"/>
            </w:pPr>
            <w:r>
              <w:rPr>
                <w:rFonts w:ascii="Arial" w:cs="Arial" w:eastAsia="Arial" w:hAnsi="Arial"/>
                <w:b/>
                <w:bCs/>
                <w:i w:val="false"/>
                <w:iCs w:val="false"/>
                <w:color w:val="FFFFFF"/>
                <w:sz w:val="18"/>
                <w:szCs w:val="18"/>
              </w:rPr>
              <w:t xml:space="preserve">SPEC</w:t>
            </w:r>
          </w:p>
        </w:tc>
        <w:tc>
          <w:tcPr>
            <w:tcW w:type="dxa" w:w="4000"/>
            <w:gridSpan w:val="1"/>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SCOPE</w:t>
            </w:r>
          </w:p>
        </w:tc>
        <w:tc>
          <w:tcPr>
            <w:tcW w:type="dxa" w:w="3960"/>
            <w:gridSpan w:val="1"/>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WARRANTY REQUIREMENT</w:t>
            </w:r>
          </w:p>
        </w:tc>
      </w:tr>
      <w:tr>
        <w:tc>
          <w:tcPr>
            <w:tcW w:type="dxa" w:w="1400"/>
            <w:gridSpan w:val="1"/>
            <w:tcBorders>
              <w:top w:val="single" w:color="AAAAAA" w:sz="4"/>
              <w:left w:val="single" w:color="AAAAAA" w:sz="4"/>
              <w:bottom w:val="single" w:color="AAAAAA" w:sz="4"/>
              <w:right w:val="single" w:color="AAAAAA" w:sz="4"/>
            </w:tcBorders>
            <w:shd w:fill="F0F2F5" w:val="clear"/>
            <w:tcMar>
              <w:top w:type="dxa" w:w="80"/>
              <w:left w:type="dxa" w:w="120"/>
              <w:bottom w:type="dxa" w:w="80"/>
              <w:right w:type="dxa" w:w="120"/>
            </w:tcMar>
            <w:vAlign w:val="top"/>
          </w:tcPr>
          <w:p>
            <w:pPr>
              <w:spacing w:before="0" w:after="100"/>
              <w:jc w:val="center"/>
            </w:pPr>
            <w:r>
              <w:rPr>
                <w:rFonts w:ascii="Arial" w:cs="Arial" w:eastAsia="Arial" w:hAnsi="Arial"/>
                <w:b w:val="false"/>
                <w:bCs w:val="false"/>
                <w:i w:val="false"/>
                <w:iCs w:val="false"/>
                <w:color w:val="000000"/>
                <w:sz w:val="19"/>
                <w:szCs w:val="19"/>
              </w:rPr>
              <w:t xml:space="preserve">09 64 66</w:t>
            </w:r>
          </w:p>
        </w:tc>
        <w:tc>
          <w:tcPr>
            <w:tcW w:type="dxa" w:w="4000"/>
            <w:gridSpan w:val="1"/>
            <w:tcBorders>
              <w:top w:val="single" w:color="AAAAAA" w:sz="4"/>
              <w:left w:val="single" w:color="AAAAAA" w:sz="4"/>
              <w:bottom w:val="single" w:color="AAAAAA" w:sz="4"/>
              <w:right w:val="single" w:color="AAAAAA" w:sz="4"/>
            </w:tcBorders>
            <w:shd w:fill="F0F2F5"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000000"/>
                <w:sz w:val="19"/>
                <w:szCs w:val="19"/>
              </w:rPr>
              <w:t xml:space="preserve">Wood Athletic Flooring Field Finish System</w:t>
            </w:r>
          </w:p>
        </w:tc>
        <w:tc>
          <w:tcPr>
            <w:tcW w:type="dxa" w:w="3960"/>
            <w:gridSpan w:val="1"/>
            <w:tcBorders>
              <w:top w:val="single" w:color="AAAAAA" w:sz="4"/>
              <w:left w:val="single" w:color="AAAAAA" w:sz="4"/>
              <w:bottom w:val="single" w:color="AAAAAA" w:sz="4"/>
              <w:right w:val="single" w:color="AAAAAA" w:sz="4"/>
            </w:tcBorders>
            <w:shd w:fill="F0F2F5"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000000"/>
                <w:sz w:val="19"/>
                <w:szCs w:val="19"/>
              </w:rPr>
              <w:t xml:space="preserve">Two (2) years from Substantial Completion per Spec 09 64 66 §1.8</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0" w:after="100"/>
              <w:jc w:val="center"/>
            </w:pPr>
            <w:r>
              <w:rPr>
                <w:rFonts w:ascii="Arial" w:cs="Arial" w:eastAsia="Arial" w:hAnsi="Arial"/>
                <w:b w:val="false"/>
                <w:bCs w:val="false"/>
                <w:i w:val="false"/>
                <w:iCs w:val="false"/>
                <w:color w:val="000000"/>
                <w:sz w:val="19"/>
                <w:szCs w:val="19"/>
              </w:rPr>
              <w:t xml:space="preserve">09 67 23</w:t>
            </w:r>
          </w:p>
        </w:tc>
        <w:tc>
          <w:tcPr>
            <w:tcW w:type="dxa" w:w="4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000000"/>
                <w:sz w:val="19"/>
                <w:szCs w:val="19"/>
              </w:rPr>
              <w:t xml:space="preserve">Resinous Flooring System – materials and workmanship</w:t>
            </w:r>
          </w:p>
        </w:tc>
        <w:tc>
          <w:tcPr>
            <w:tcW w:type="dxa" w:w="39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000000"/>
                <w:sz w:val="19"/>
                <w:szCs w:val="19"/>
              </w:rPr>
              <w:t xml:space="preserve">One (1) year joint manufacturer/installer warranty on single document per Spec 09 67 23 §1.6. Sample warranty letter required.</w:t>
            </w:r>
          </w:p>
        </w:tc>
      </w:tr>
    </w:tbl>
    <w:p>
      <w:pPr>
        <w:spacing w:before="0" w:after="100"/>
        <w:jc w:val="left"/>
      </w:pPr>
    </w:p>
    <w:p>
      <w:pPr>
        <w:spacing w:before="160" w:after="60"/>
        <w:jc w:val="left"/>
      </w:pPr>
      <w:r>
        <w:rPr>
          <w:rFonts w:ascii="Arial" w:cs="Arial" w:eastAsia="Arial" w:hAnsi="Arial"/>
          <w:b/>
          <w:bCs/>
          <w:i w:val="false"/>
          <w:iCs w:val="false"/>
          <w:color w:val="000000"/>
          <w:sz w:val="20"/>
          <w:szCs w:val="20"/>
        </w:rPr>
        <w:t xml:space="preserve">11.3  Warranty Obligations</w:t>
      </w:r>
    </w:p>
    <w:p>
      <w:pPr>
        <w:spacing w:before="0" w:after="100"/>
        <w:jc w:val="left"/>
      </w:pPr>
      <w:r>
        <w:rPr>
          <w:rFonts w:ascii="Arial" w:cs="Arial" w:eastAsia="Arial" w:hAnsi="Arial"/>
          <w:b w:val="false"/>
          <w:bCs w:val="false"/>
          <w:i w:val="false"/>
          <w:iCs w:val="false"/>
          <w:color w:val="000000"/>
          <w:sz w:val="20"/>
          <w:szCs w:val="20"/>
        </w:rPr>
        <w:t xml:space="preserve">Upon written notice of any defect, Subcontractor shall commence corrective work within forty-eight (48) hours. Subcontractor bears all costs to remove, replace, and restore any work disturbed to access defective work. If Subcontractor fails to commence repairs within the notice period, Contractor may perform corrective work at Subcontractor's expense after five (5) days' written notice.</w:t>
      </w:r>
    </w:p>
    <w:p>
      <w:pPr>
        <w:pageBreakBefore/>
        <w:pBdr>
          <w:bottom w:val="single" w:color="1B3A6B" w:sz="8" w:space="1"/>
        </w:pBdr>
        <w:spacing w:before="280" w:after="80"/>
        <w:jc w:val="left"/>
      </w:pPr>
      <w:r>
        <w:rPr>
          <w:rFonts w:ascii="Arial" w:cs="Arial" w:eastAsia="Arial" w:hAnsi="Arial"/>
          <w:b/>
          <w:bCs/>
          <w:i w:val="false"/>
          <w:iCs w:val="false"/>
          <w:color w:val="1B3A6B"/>
          <w:sz w:val="24"/>
          <w:szCs w:val="24"/>
        </w:rPr>
        <w:t xml:space="preserve">ARTICLE 12 – SAFETY</w:t>
      </w:r>
    </w:p>
    <w:p>
      <w:pPr>
        <w:spacing w:before="160" w:after="60"/>
        <w:jc w:val="left"/>
      </w:pPr>
      <w:r>
        <w:rPr>
          <w:rFonts w:ascii="Arial" w:cs="Arial" w:eastAsia="Arial" w:hAnsi="Arial"/>
          <w:b/>
          <w:bCs/>
          <w:i w:val="false"/>
          <w:iCs w:val="false"/>
          <w:color w:val="000000"/>
          <w:sz w:val="20"/>
          <w:szCs w:val="20"/>
        </w:rPr>
        <w:t xml:space="preserve">12.1  Compliance</w:t>
      </w:r>
    </w:p>
    <w:p>
      <w:pPr>
        <w:spacing w:before="0" w:after="100"/>
        <w:jc w:val="left"/>
      </w:pPr>
      <w:r>
        <w:rPr>
          <w:rFonts w:ascii="Arial" w:cs="Arial" w:eastAsia="Arial" w:hAnsi="Arial"/>
          <w:b w:val="false"/>
          <w:bCs w:val="false"/>
          <w:i w:val="false"/>
          <w:iCs w:val="false"/>
          <w:color w:val="000000"/>
          <w:sz w:val="20"/>
          <w:szCs w:val="20"/>
        </w:rPr>
        <w:t xml:space="preserve">Subcontractor shall comply with all applicable federal, state, and local safety laws and regulations, including OSHA 29 CFR Parts 1910 and 1926, Contractor's Site-Specific Safety Plan, and Owner's safety requirements. Subcontractor shall conduct daily toolbox safety talks and submit weekly safety reports to Contractor.</w:t>
      </w:r>
    </w:p>
    <w:p>
      <w:pPr>
        <w:spacing w:before="160" w:after="60"/>
        <w:jc w:val="left"/>
      </w:pPr>
      <w:r>
        <w:rPr>
          <w:rFonts w:ascii="Arial" w:cs="Arial" w:eastAsia="Arial" w:hAnsi="Arial"/>
          <w:b/>
          <w:bCs/>
          <w:i w:val="false"/>
          <w:iCs w:val="false"/>
          <w:color w:val="000000"/>
          <w:sz w:val="20"/>
          <w:szCs w:val="20"/>
        </w:rPr>
        <w:t xml:space="preserve">12.2  Dust Containment – Gymnasium Floor Sanding</w:t>
      </w:r>
    </w:p>
    <w:p>
      <w:pPr>
        <w:spacing w:before="0" w:after="100"/>
        <w:jc w:val="left"/>
      </w:pPr>
      <w:r>
        <w:rPr>
          <w:rFonts w:ascii="Arial" w:cs="Arial" w:eastAsia="Arial" w:hAnsi="Arial"/>
          <w:b w:val="false"/>
          <w:bCs w:val="false"/>
          <w:i w:val="false"/>
          <w:iCs w:val="false"/>
          <w:color w:val="000000"/>
          <w:sz w:val="20"/>
          <w:szCs w:val="20"/>
        </w:rPr>
        <w:t xml:space="preserve">Subcontractor shall take all precautions necessary to contain sanding dust during gymnasium floor operations per Spec 09 64 66 §3.2-C-2. All dust shall be removed by vacuum before applying finish coats.</w:t>
      </w:r>
    </w:p>
    <w:p>
      <w:pPr>
        <w:spacing w:before="160" w:after="60"/>
        <w:jc w:val="left"/>
      </w:pPr>
      <w:r>
        <w:rPr>
          <w:rFonts w:ascii="Arial" w:cs="Arial" w:eastAsia="Arial" w:hAnsi="Arial"/>
          <w:b/>
          <w:bCs/>
          <w:i w:val="false"/>
          <w:iCs w:val="false"/>
          <w:color w:val="000000"/>
          <w:sz w:val="20"/>
          <w:szCs w:val="20"/>
        </w:rPr>
        <w:t xml:space="preserve">12.3  Hazardous Materials</w:t>
      </w:r>
    </w:p>
    <w:p>
      <w:pPr>
        <w:spacing w:before="0" w:after="100"/>
        <w:jc w:val="left"/>
      </w:pPr>
      <w:r>
        <w:rPr>
          <w:rFonts w:ascii="Arial" w:cs="Arial" w:eastAsia="Arial" w:hAnsi="Arial"/>
          <w:b w:val="false"/>
          <w:bCs w:val="false"/>
          <w:i w:val="false"/>
          <w:iCs w:val="false"/>
          <w:color w:val="000000"/>
          <w:sz w:val="20"/>
          <w:szCs w:val="20"/>
        </w:rPr>
        <w:t xml:space="preserve">Subcontractor shall provide Safety Data Sheets (SDS) for all adhesives, coatings, and solvents and comply with OSHA Hazard Communication Standard 29 CFR 1910.1200.</w:t>
      </w:r>
    </w:p>
    <w:p>
      <w:pPr>
        <w:pageBreakBefore/>
        <w:pBdr>
          <w:bottom w:val="single" w:color="1B3A6B" w:sz="8" w:space="1"/>
        </w:pBdr>
        <w:spacing w:before="280" w:after="80"/>
        <w:jc w:val="left"/>
      </w:pPr>
      <w:r>
        <w:rPr>
          <w:rFonts w:ascii="Arial" w:cs="Arial" w:eastAsia="Arial" w:hAnsi="Arial"/>
          <w:b/>
          <w:bCs/>
          <w:i w:val="false"/>
          <w:iCs w:val="false"/>
          <w:color w:val="1B3A6B"/>
          <w:sz w:val="24"/>
          <w:szCs w:val="24"/>
        </w:rPr>
        <w:t xml:space="preserve">ARTICLE 13 – DEFAULT AND TERMINATION</w:t>
      </w:r>
    </w:p>
    <w:p>
      <w:pPr>
        <w:spacing w:before="160" w:after="60"/>
        <w:jc w:val="left"/>
      </w:pPr>
      <w:r>
        <w:rPr>
          <w:rFonts w:ascii="Arial" w:cs="Arial" w:eastAsia="Arial" w:hAnsi="Arial"/>
          <w:b/>
          <w:bCs/>
          <w:i w:val="false"/>
          <w:iCs w:val="false"/>
          <w:color w:val="000000"/>
          <w:sz w:val="20"/>
          <w:szCs w:val="20"/>
        </w:rPr>
        <w:t xml:space="preserve">13.1  Default by Subcontractor</w:t>
      </w:r>
    </w:p>
    <w:p>
      <w:pPr>
        <w:spacing w:before="0" w:after="100"/>
        <w:jc w:val="left"/>
      </w:pPr>
      <w:r>
        <w:rPr>
          <w:rFonts w:ascii="Arial" w:cs="Arial" w:eastAsia="Arial" w:hAnsi="Arial"/>
          <w:b w:val="false"/>
          <w:bCs w:val="false"/>
          <w:i w:val="false"/>
          <w:iCs w:val="false"/>
          <w:color w:val="000000"/>
          <w:sz w:val="20"/>
          <w:szCs w:val="20"/>
        </w:rPr>
        <w:t xml:space="preserve">If Subcontractor fails to perform any obligation under this Agreement and fails to cure such default within seven (7) calendar days of written notice from Contractor (twenty-four hours for safety violations), Contractor may terminate this Agreement for cause, complete the Work by other means, and charge all excess costs and damages to Subcontractor.</w:t>
      </w:r>
    </w:p>
    <w:p>
      <w:pPr>
        <w:spacing w:before="160" w:after="60"/>
        <w:jc w:val="left"/>
      </w:pPr>
      <w:r>
        <w:rPr>
          <w:rFonts w:ascii="Arial" w:cs="Arial" w:eastAsia="Arial" w:hAnsi="Arial"/>
          <w:b/>
          <w:bCs/>
          <w:i w:val="false"/>
          <w:iCs w:val="false"/>
          <w:color w:val="000000"/>
          <w:sz w:val="20"/>
          <w:szCs w:val="20"/>
        </w:rPr>
        <w:t xml:space="preserve">13.2  Termination for Convenience</w:t>
      </w:r>
    </w:p>
    <w:p>
      <w:pPr>
        <w:spacing w:before="0" w:after="100"/>
        <w:jc w:val="left"/>
      </w:pPr>
      <w:r>
        <w:rPr>
          <w:rFonts w:ascii="Arial" w:cs="Arial" w:eastAsia="Arial" w:hAnsi="Arial"/>
          <w:b w:val="false"/>
          <w:bCs w:val="false"/>
          <w:i w:val="false"/>
          <w:iCs w:val="false"/>
          <w:color w:val="000000"/>
          <w:sz w:val="20"/>
          <w:szCs w:val="20"/>
        </w:rPr>
        <w:t xml:space="preserve">Contractor may terminate this Agreement for convenience upon seven (7) days written notice. Subcontractor shall be entitled to payment for Work properly performed to date plus a termination fee of five percent (5%) of the unearned Contract Sum, not to exceed $50,000, as full and final compensation.</w:t>
      </w:r>
    </w:p>
    <w:p>
      <w:pPr>
        <w:spacing w:before="160" w:after="60"/>
        <w:jc w:val="left"/>
      </w:pPr>
      <w:r>
        <w:rPr>
          <w:rFonts w:ascii="Arial" w:cs="Arial" w:eastAsia="Arial" w:hAnsi="Arial"/>
          <w:b/>
          <w:bCs/>
          <w:i w:val="false"/>
          <w:iCs w:val="false"/>
          <w:color w:val="000000"/>
          <w:sz w:val="20"/>
          <w:szCs w:val="20"/>
        </w:rPr>
        <w:t xml:space="preserve">13.3  Suspension</w:t>
      </w:r>
    </w:p>
    <w:p>
      <w:pPr>
        <w:spacing w:before="0" w:after="100"/>
        <w:jc w:val="left"/>
      </w:pPr>
      <w:r>
        <w:rPr>
          <w:rFonts w:ascii="Arial" w:cs="Arial" w:eastAsia="Arial" w:hAnsi="Arial"/>
          <w:b w:val="false"/>
          <w:bCs w:val="false"/>
          <w:i w:val="false"/>
          <w:iCs w:val="false"/>
          <w:color w:val="000000"/>
          <w:sz w:val="20"/>
          <w:szCs w:val="20"/>
        </w:rPr>
        <w:t xml:space="preserve">If Owner suspends the Prime Contract, Contractor may suspend this Subcontract. Subcontractor shall be entitled to an equitable adjustment for documented, direct costs of suspension exceeding fourteen (14) days.</w:t>
      </w:r>
    </w:p>
    <w:p>
      <w:pPr>
        <w:pageBreakBefore/>
        <w:pBdr>
          <w:bottom w:val="single" w:color="1B3A6B" w:sz="8" w:space="1"/>
        </w:pBdr>
        <w:spacing w:before="280" w:after="80"/>
        <w:jc w:val="left"/>
      </w:pPr>
      <w:r>
        <w:rPr>
          <w:rFonts w:ascii="Arial" w:cs="Arial" w:eastAsia="Arial" w:hAnsi="Arial"/>
          <w:b/>
          <w:bCs/>
          <w:i w:val="false"/>
          <w:iCs w:val="false"/>
          <w:color w:val="1B3A6B"/>
          <w:sz w:val="24"/>
          <w:szCs w:val="24"/>
        </w:rPr>
        <w:t xml:space="preserve">ARTICLE 14 – DISPUTE RESOLUTION</w:t>
      </w:r>
    </w:p>
    <w:p>
      <w:pPr>
        <w:spacing w:before="160" w:after="60"/>
        <w:jc w:val="left"/>
      </w:pPr>
      <w:r>
        <w:rPr>
          <w:rFonts w:ascii="Arial" w:cs="Arial" w:eastAsia="Arial" w:hAnsi="Arial"/>
          <w:b/>
          <w:bCs/>
          <w:i w:val="false"/>
          <w:iCs w:val="false"/>
          <w:color w:val="000000"/>
          <w:sz w:val="20"/>
          <w:szCs w:val="20"/>
        </w:rPr>
        <w:t xml:space="preserve">14.1  Negotiation</w:t>
      </w:r>
    </w:p>
    <w:p>
      <w:pPr>
        <w:spacing w:before="0" w:after="100"/>
        <w:jc w:val="left"/>
      </w:pPr>
      <w:r>
        <w:rPr>
          <w:rFonts w:ascii="Arial" w:cs="Arial" w:eastAsia="Arial" w:hAnsi="Arial"/>
          <w:b w:val="false"/>
          <w:bCs w:val="false"/>
          <w:i w:val="false"/>
          <w:iCs w:val="false"/>
          <w:color w:val="000000"/>
          <w:sz w:val="20"/>
          <w:szCs w:val="20"/>
        </w:rPr>
        <w:t xml:space="preserve">The parties shall attempt to resolve all disputes through direct negotiation within fifteen (15) days of written notice of the dispute.</w:t>
      </w:r>
    </w:p>
    <w:p>
      <w:pPr>
        <w:spacing w:before="160" w:after="60"/>
        <w:jc w:val="left"/>
      </w:pPr>
      <w:r>
        <w:rPr>
          <w:rFonts w:ascii="Arial" w:cs="Arial" w:eastAsia="Arial" w:hAnsi="Arial"/>
          <w:b/>
          <w:bCs/>
          <w:i w:val="false"/>
          <w:iCs w:val="false"/>
          <w:color w:val="000000"/>
          <w:sz w:val="20"/>
          <w:szCs w:val="20"/>
        </w:rPr>
        <w:t xml:space="preserve">14.2  Mediation</w:t>
      </w:r>
    </w:p>
    <w:p>
      <w:pPr>
        <w:spacing w:before="0" w:after="100"/>
        <w:jc w:val="left"/>
      </w:pPr>
      <w:r>
        <w:rPr>
          <w:rFonts w:ascii="Arial" w:cs="Arial" w:eastAsia="Arial" w:hAnsi="Arial"/>
          <w:b w:val="false"/>
          <w:bCs w:val="false"/>
          <w:i w:val="false"/>
          <w:iCs w:val="false"/>
          <w:color w:val="000000"/>
          <w:sz w:val="20"/>
          <w:szCs w:val="20"/>
        </w:rPr>
        <w:t xml:space="preserve">If direct negotiation fails, either party may demand non-binding mediation before JAMS or AAA, with costs shared equally.</w:t>
      </w:r>
    </w:p>
    <w:p>
      <w:pPr>
        <w:spacing w:before="160" w:after="60"/>
        <w:jc w:val="left"/>
      </w:pPr>
      <w:r>
        <w:rPr>
          <w:rFonts w:ascii="Arial" w:cs="Arial" w:eastAsia="Arial" w:hAnsi="Arial"/>
          <w:b/>
          <w:bCs/>
          <w:i w:val="false"/>
          <w:iCs w:val="false"/>
          <w:color w:val="000000"/>
          <w:sz w:val="20"/>
          <w:szCs w:val="20"/>
        </w:rPr>
        <w:t xml:space="preserve">14.3  Arbitration</w:t>
      </w:r>
    </w:p>
    <w:p>
      <w:pPr>
        <w:spacing w:before="0" w:after="100"/>
        <w:jc w:val="left"/>
      </w:pPr>
      <w:r>
        <w:rPr>
          <w:rFonts w:ascii="Arial" w:cs="Arial" w:eastAsia="Arial" w:hAnsi="Arial"/>
          <w:b w:val="false"/>
          <w:bCs w:val="false"/>
          <w:i w:val="false"/>
          <w:iCs w:val="false"/>
          <w:color w:val="000000"/>
          <w:sz w:val="20"/>
          <w:szCs w:val="20"/>
        </w:rPr>
        <w:t xml:space="preserve">If mediation fails, disputes shall be resolved by binding arbitration under AAA Construction Industry Arbitration Rules, with venue in Baltimore, Maryland. One arbitrator for disputes under $500,000; three arbitrators for disputes $500,000 and over. Awards shall be final and binding and may be entered as judgment in any court of competent jurisdiction.</w:t>
      </w:r>
    </w:p>
    <w:p>
      <w:pPr>
        <w:spacing w:before="160" w:after="60"/>
        <w:jc w:val="left"/>
      </w:pPr>
      <w:r>
        <w:rPr>
          <w:rFonts w:ascii="Arial" w:cs="Arial" w:eastAsia="Arial" w:hAnsi="Arial"/>
          <w:b/>
          <w:bCs/>
          <w:i w:val="false"/>
          <w:iCs w:val="false"/>
          <w:color w:val="000000"/>
          <w:sz w:val="20"/>
          <w:szCs w:val="20"/>
        </w:rPr>
        <w:t xml:space="preserve">14.4  Governing Law</w:t>
      </w:r>
    </w:p>
    <w:p>
      <w:pPr>
        <w:spacing w:before="0" w:after="100"/>
        <w:jc w:val="left"/>
      </w:pPr>
      <w:r>
        <w:rPr>
          <w:rFonts w:ascii="Arial" w:cs="Arial" w:eastAsia="Arial" w:hAnsi="Arial"/>
          <w:b w:val="false"/>
          <w:bCs w:val="false"/>
          <w:i w:val="false"/>
          <w:iCs w:val="false"/>
          <w:color w:val="000000"/>
          <w:sz w:val="20"/>
          <w:szCs w:val="20"/>
        </w:rPr>
        <w:t xml:space="preserve">This Agreement shall be governed by the laws of the State of Maryland without regard to conflict of laws principles.</w:t>
      </w:r>
    </w:p>
    <w:p>
      <w:pPr>
        <w:pageBreakBefore/>
        <w:pBdr>
          <w:bottom w:val="single" w:color="1B3A6B" w:sz="8" w:space="1"/>
        </w:pBdr>
        <w:spacing w:before="280" w:after="80"/>
        <w:jc w:val="left"/>
      </w:pPr>
      <w:r>
        <w:rPr>
          <w:rFonts w:ascii="Arial" w:cs="Arial" w:eastAsia="Arial" w:hAnsi="Arial"/>
          <w:b/>
          <w:bCs/>
          <w:i w:val="false"/>
          <w:iCs w:val="false"/>
          <w:color w:val="1B3A6B"/>
          <w:sz w:val="24"/>
          <w:szCs w:val="24"/>
        </w:rPr>
        <w:t xml:space="preserve">ARTICLE 15 – GENERAL PROVISIONS</w:t>
      </w:r>
    </w:p>
    <w:p>
      <w:pPr>
        <w:spacing w:before="160" w:after="60"/>
        <w:jc w:val="left"/>
      </w:pPr>
      <w:r>
        <w:rPr>
          <w:rFonts w:ascii="Arial" w:cs="Arial" w:eastAsia="Arial" w:hAnsi="Arial"/>
          <w:b/>
          <w:bCs/>
          <w:i w:val="false"/>
          <w:iCs w:val="false"/>
          <w:color w:val="000000"/>
          <w:sz w:val="20"/>
          <w:szCs w:val="20"/>
        </w:rPr>
        <w:t xml:space="preserve">15.1  Flow-Down</w:t>
      </w:r>
    </w:p>
    <w:p>
      <w:pPr>
        <w:spacing w:before="0" w:after="100"/>
        <w:jc w:val="left"/>
      </w:pPr>
      <w:r>
        <w:rPr>
          <w:rFonts w:ascii="Arial" w:cs="Arial" w:eastAsia="Arial" w:hAnsi="Arial"/>
          <w:b w:val="false"/>
          <w:bCs w:val="false"/>
          <w:i w:val="false"/>
          <w:iCs w:val="false"/>
          <w:color w:val="000000"/>
          <w:sz w:val="20"/>
          <w:szCs w:val="20"/>
        </w:rPr>
        <w:t xml:space="preserve">All applicable terms and conditions of the Prime Contract are incorporated herein by reference and flow down to Subcontractor to the same extent they bind Contractor, including LEED requirements, equal opportunity provisions, drug-free workplace policy, E-Verify, and non-discrimination requirements.</w:t>
      </w:r>
    </w:p>
    <w:p>
      <w:pPr>
        <w:spacing w:before="160" w:after="60"/>
        <w:jc w:val="left"/>
      </w:pPr>
      <w:r>
        <w:rPr>
          <w:rFonts w:ascii="Arial" w:cs="Arial" w:eastAsia="Arial" w:hAnsi="Arial"/>
          <w:b/>
          <w:bCs/>
          <w:i w:val="false"/>
          <w:iCs w:val="false"/>
          <w:color w:val="000000"/>
          <w:sz w:val="20"/>
          <w:szCs w:val="20"/>
        </w:rPr>
        <w:t xml:space="preserve">15.2  Lien Waivers</w:t>
      </w:r>
    </w:p>
    <w:p>
      <w:pPr>
        <w:spacing w:before="0" w:after="100"/>
        <w:jc w:val="left"/>
      </w:pPr>
      <w:r>
        <w:rPr>
          <w:rFonts w:ascii="Arial" w:cs="Arial" w:eastAsia="Arial" w:hAnsi="Arial"/>
          <w:b w:val="false"/>
          <w:bCs w:val="false"/>
          <w:i w:val="false"/>
          <w:iCs w:val="false"/>
          <w:color w:val="000000"/>
          <w:sz w:val="20"/>
          <w:szCs w:val="20"/>
        </w:rPr>
        <w:t xml:space="preserve">As a condition of each progress payment, Subcontractor shall execute and deliver a conditional lien waiver for the current billing period and an unconditional lien waiver for all prior periods. Final payment is conditioned upon delivery of a final unconditional lien waiver. Subcontractor shall obtain comparable lien waivers from all sub-subcontractors and material suppliers.</w:t>
      </w:r>
    </w:p>
    <w:p>
      <w:pPr>
        <w:spacing w:before="160" w:after="60"/>
        <w:jc w:val="left"/>
      </w:pPr>
      <w:r>
        <w:rPr>
          <w:rFonts w:ascii="Arial" w:cs="Arial" w:eastAsia="Arial" w:hAnsi="Arial"/>
          <w:b/>
          <w:bCs/>
          <w:i w:val="false"/>
          <w:iCs w:val="false"/>
          <w:color w:val="000000"/>
          <w:sz w:val="20"/>
          <w:szCs w:val="20"/>
        </w:rPr>
        <w:t xml:space="preserve">15.3  Closeout Documents</w:t>
      </w:r>
    </w:p>
    <w:p>
      <w:pPr>
        <w:spacing w:before="0" w:after="100"/>
        <w:jc w:val="left"/>
      </w:pPr>
      <w:r>
        <w:rPr>
          <w:rFonts w:ascii="Arial" w:cs="Arial" w:eastAsia="Arial" w:hAnsi="Arial"/>
          <w:b w:val="false"/>
          <w:bCs w:val="false"/>
          <w:i w:val="false"/>
          <w:iCs w:val="false"/>
          <w:color w:val="000000"/>
          <w:sz w:val="20"/>
          <w:szCs w:val="20"/>
        </w:rPr>
        <w:t xml:space="preserve">Prior to final payment, Subcontractor shall deliver: all required warranties (general and extended); operation and maintenance manuals for all installed systems; three (3) copies AMFMA Care and Preservation of Your Wood Floors; attic stock with signed delivery receipt; as-built markup drawings; and all LEED documentation not previously submitted.</w:t>
      </w:r>
    </w:p>
    <w:p>
      <w:pPr>
        <w:spacing w:before="160" w:after="60"/>
        <w:jc w:val="left"/>
      </w:pPr>
      <w:r>
        <w:rPr>
          <w:rFonts w:ascii="Arial" w:cs="Arial" w:eastAsia="Arial" w:hAnsi="Arial"/>
          <w:b/>
          <w:bCs/>
          <w:i w:val="false"/>
          <w:iCs w:val="false"/>
          <w:color w:val="000000"/>
          <w:sz w:val="20"/>
          <w:szCs w:val="20"/>
        </w:rPr>
        <w:t xml:space="preserve">15.4  Subcontracting</w:t>
      </w:r>
    </w:p>
    <w:p>
      <w:pPr>
        <w:spacing w:before="0" w:after="100"/>
        <w:jc w:val="left"/>
      </w:pPr>
      <w:r>
        <w:rPr>
          <w:rFonts w:ascii="Arial" w:cs="Arial" w:eastAsia="Arial" w:hAnsi="Arial"/>
          <w:b w:val="false"/>
          <w:bCs w:val="false"/>
          <w:i w:val="false"/>
          <w:iCs w:val="false"/>
          <w:color w:val="000000"/>
          <w:sz w:val="20"/>
          <w:szCs w:val="20"/>
        </w:rPr>
        <w:t xml:space="preserve">Subcontractor shall not sub-subcontract any portion of the Work without Contractor's prior written approval. All sub-subcontracts shall flow down all applicable provisions of this Agreement. Subcontractor confirms its resinous flooring installer is currently certified in writing by Stonhard, Inc. and shall provide such certification as a pre-award submittal.</w:t>
      </w:r>
    </w:p>
    <w:p>
      <w:pPr>
        <w:spacing w:before="160" w:after="60"/>
        <w:jc w:val="left"/>
      </w:pPr>
      <w:r>
        <w:rPr>
          <w:rFonts w:ascii="Arial" w:cs="Arial" w:eastAsia="Arial" w:hAnsi="Arial"/>
          <w:b/>
          <w:bCs/>
          <w:i w:val="false"/>
          <w:iCs w:val="false"/>
          <w:color w:val="000000"/>
          <w:sz w:val="20"/>
          <w:szCs w:val="20"/>
        </w:rPr>
        <w:t xml:space="preserve">15.5  Entire Agreement / Modification</w:t>
      </w:r>
    </w:p>
    <w:p>
      <w:pPr>
        <w:spacing w:before="0" w:after="100"/>
        <w:jc w:val="left"/>
      </w:pPr>
      <w:r>
        <w:rPr>
          <w:rFonts w:ascii="Arial" w:cs="Arial" w:eastAsia="Arial" w:hAnsi="Arial"/>
          <w:b w:val="false"/>
          <w:bCs w:val="false"/>
          <w:i w:val="false"/>
          <w:iCs w:val="false"/>
          <w:color w:val="000000"/>
          <w:sz w:val="20"/>
          <w:szCs w:val="20"/>
        </w:rPr>
        <w:t xml:space="preserve">This Agreement constitutes the entire agreement between the parties with respect to the Subcontract Work and supersedes all prior negotiations, representations, and agreements, including Subcontractor's Proposal No. HFI-2026-0847 (which is attached as Exhibit E for reference only and does not govern scope). No modification shall be valid unless in writing and signed by both parties.</w:t>
      </w:r>
    </w:p>
    <w:p>
      <w:pPr>
        <w:spacing w:before="160" w:after="60"/>
        <w:jc w:val="left"/>
      </w:pPr>
      <w:r>
        <w:rPr>
          <w:rFonts w:ascii="Arial" w:cs="Arial" w:eastAsia="Arial" w:hAnsi="Arial"/>
          <w:b/>
          <w:bCs/>
          <w:i w:val="false"/>
          <w:iCs w:val="false"/>
          <w:color w:val="000000"/>
          <w:sz w:val="20"/>
          <w:szCs w:val="20"/>
        </w:rPr>
        <w:t xml:space="preserve">15.6  Severability / Sales Tax</w:t>
      </w:r>
    </w:p>
    <w:p>
      <w:pPr>
        <w:spacing w:before="0" w:after="100"/>
        <w:jc w:val="left"/>
      </w:pPr>
      <w:r>
        <w:rPr>
          <w:rFonts w:ascii="Arial" w:cs="Arial" w:eastAsia="Arial" w:hAnsi="Arial"/>
          <w:b w:val="false"/>
          <w:bCs w:val="false"/>
          <w:i w:val="false"/>
          <w:iCs w:val="false"/>
          <w:color w:val="000000"/>
          <w:sz w:val="20"/>
          <w:szCs w:val="20"/>
        </w:rPr>
        <w:t xml:space="preserve">If any provision of this Agreement is held unenforceable, the remaining provisions shall remain in full force. Contractor will provide a Sales and Use Tax Exemption Certificate. Subcontractor is responsible for obtaining tax exemption for its own purchases.</w:t>
      </w:r>
    </w:p>
    <w:p>
      <w:pPr>
        <w:pageBreakBefore/>
        <w:pBdr>
          <w:bottom w:val="single" w:color="1B3A6B" w:sz="8" w:space="1"/>
        </w:pBdr>
        <w:spacing w:before="280" w:after="80"/>
        <w:jc w:val="left"/>
      </w:pPr>
      <w:r>
        <w:rPr>
          <w:rFonts w:ascii="Arial" w:cs="Arial" w:eastAsia="Arial" w:hAnsi="Arial"/>
          <w:b/>
          <w:bCs/>
          <w:i w:val="false"/>
          <w:iCs w:val="false"/>
          <w:color w:val="1B3A6B"/>
          <w:sz w:val="24"/>
          <w:szCs w:val="24"/>
        </w:rPr>
        <w:t xml:space="preserve">EXHIBITS</w:t>
      </w:r>
    </w:p>
    <w:p>
      <w:pPr>
        <w:spacing w:before="80" w:after="80"/>
        <w:ind w:left="360"/>
        <w:jc w:val="left"/>
      </w:pPr>
      <w:r>
        <w:rPr>
          <w:rFonts w:ascii="Arial" w:cs="Arial" w:eastAsia="Arial" w:hAnsi="Arial"/>
          <w:b w:val="false"/>
          <w:bCs w:val="false"/>
          <w:i w:val="false"/>
          <w:iCs w:val="false"/>
          <w:color w:val="000000"/>
          <w:sz w:val="20"/>
          <w:szCs w:val="20"/>
        </w:rPr>
        <w:t xml:space="preserve">Exhibit A  –  Unit Price Schedule (from Proposal HFI-2026-0847)</w:t>
      </w:r>
    </w:p>
    <w:p>
      <w:pPr>
        <w:spacing w:before="80" w:after="80"/>
        <w:ind w:left="360"/>
        <w:jc w:val="left"/>
      </w:pPr>
      <w:r>
        <w:rPr>
          <w:rFonts w:ascii="Arial" w:cs="Arial" w:eastAsia="Arial" w:hAnsi="Arial"/>
          <w:b w:val="false"/>
          <w:bCs w:val="false"/>
          <w:i w:val="false"/>
          <w:iCs w:val="false"/>
          <w:color w:val="000000"/>
          <w:sz w:val="20"/>
          <w:szCs w:val="20"/>
        </w:rPr>
        <w:t xml:space="preserve">Exhibit B  –  MBE/WBE Participation Plan</w:t>
      </w:r>
    </w:p>
    <w:p>
      <w:pPr>
        <w:spacing w:before="80" w:after="80"/>
        <w:ind w:left="360"/>
        <w:jc w:val="left"/>
      </w:pPr>
      <w:r>
        <w:rPr>
          <w:rFonts w:ascii="Arial" w:cs="Arial" w:eastAsia="Arial" w:hAnsi="Arial"/>
          <w:b w:val="false"/>
          <w:bCs w:val="false"/>
          <w:i w:val="false"/>
          <w:iCs w:val="false"/>
          <w:color w:val="000000"/>
          <w:sz w:val="20"/>
          <w:szCs w:val="20"/>
        </w:rPr>
        <w:t xml:space="preserve">Exhibit C  –  Schedule of Values (to be submitted within 10 days of execution)</w:t>
      </w:r>
    </w:p>
    <w:p>
      <w:pPr>
        <w:spacing w:before="80" w:after="80"/>
        <w:ind w:left="360"/>
        <w:jc w:val="left"/>
      </w:pPr>
      <w:r>
        <w:rPr>
          <w:rFonts w:ascii="Arial" w:cs="Arial" w:eastAsia="Arial" w:hAnsi="Arial"/>
          <w:b w:val="false"/>
          <w:bCs w:val="false"/>
          <w:i w:val="false"/>
          <w:iCs w:val="false"/>
          <w:color w:val="000000"/>
          <w:sz w:val="20"/>
          <w:szCs w:val="20"/>
        </w:rPr>
        <w:t xml:space="preserve">Exhibit D  –  Project Schedule (Barton Malow Master CPM Schedule, current revision)</w:t>
      </w:r>
    </w:p>
    <w:p>
      <w:pPr>
        <w:spacing w:before="80" w:after="80"/>
        <w:ind w:left="360"/>
        <w:jc w:val="left"/>
      </w:pPr>
      <w:r>
        <w:rPr>
          <w:rFonts w:ascii="Arial" w:cs="Arial" w:eastAsia="Arial" w:hAnsi="Arial"/>
          <w:b w:val="false"/>
          <w:bCs w:val="false"/>
          <w:i w:val="false"/>
          <w:iCs w:val="false"/>
          <w:color w:val="000000"/>
          <w:sz w:val="20"/>
          <w:szCs w:val="20"/>
        </w:rPr>
        <w:t xml:space="preserve">Exhibit E  –  Subcontractor's Proposal HFI-2026-0847 dated March 21, 2026 (informational only – does not govern scope)</w:t>
      </w:r>
    </w:p>
    <w:p>
      <w:pPr>
        <w:spacing w:before="80" w:after="80"/>
        <w:ind w:left="360"/>
        <w:jc w:val="left"/>
      </w:pPr>
      <w:r>
        <w:rPr>
          <w:rFonts w:ascii="Arial" w:cs="Arial" w:eastAsia="Arial" w:hAnsi="Arial"/>
          <w:b w:val="false"/>
          <w:bCs w:val="false"/>
          <w:i w:val="false"/>
          <w:iCs w:val="false"/>
          <w:color w:val="000000"/>
          <w:sz w:val="20"/>
          <w:szCs w:val="20"/>
        </w:rPr>
        <w:t xml:space="preserve">Exhibit F  –  Maryland Department of Labor Prevailing Wage Rate Schedule – Baltimore City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999999"/>
        <w:sz w:val="14"/>
        <w:szCs w:val="14"/>
      </w:rPr>
      <w:t xml:space="preserve">Holabird Elementary / Middle School  ·  CONFIDENTIAL</w:t>
    </w:r>
    <w:r>
      <w:rPr>
        <w:rFonts w:ascii="Arial" w:cs="Arial" w:eastAsia="Arial" w:hAnsi="Arial"/>
        <w:color w:val="999999"/>
        <w:sz w:val="14"/>
        <w:szCs w:val="14"/>
      </w:rPr>
      <w:t xml:space="preserve">	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1"/>
      </w:pBdr>
      <w:tabs>
        <w:tab w:val="right" w:pos="9026"/>
      </w:tabs>
      <w:spacing w:after="0"/>
    </w:pPr>
    <w:r>
      <w:rPr>
        <w:rFonts w:ascii="Arial" w:cs="Arial" w:eastAsia="Arial" w:hAnsi="Arial"/>
        <w:b/>
        <w:bCs/>
        <w:color w:val="1B3A6B"/>
        <w:sz w:val="16"/>
        <w:szCs w:val="16"/>
      </w:rPr>
      <w:t xml:space="preserve">BARTON MALOW COMPANY</w:t>
    </w:r>
    <w:r>
      <w:rPr>
        <w:rFonts w:ascii="Arial" w:cs="Arial" w:eastAsia="Arial" w:hAnsi="Arial"/>
        <w:color w:val="666666"/>
        <w:sz w:val="16"/>
        <w:szCs w:val="16"/>
      </w:rPr>
      <w:t xml:space="preserve">	Subcontract No. BM-21553-FLR-07  ·  Harborview Flooring, Inc.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2026-03-29T23:08:51.682Z</dcterms:created>
  <dcterms:modified xsi:type="dcterms:W3CDTF">2026-03-29T23:08:51.683Z</dcterms:modified>
</cp:coreProperties>
</file>

<file path=docProps/custom.xml><?xml version="1.0" encoding="utf-8"?>
<Properties xmlns="http://schemas.openxmlformats.org/officeDocument/2006/custom-properties" xmlns:vt="http://schemas.openxmlformats.org/officeDocument/2006/docPropsVTypes"/>
</file>