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color w:val="555555"/>
          <w:sz w:val="20"/>
        </w:rPr>
        <w:t>[ ЛОГОТИП ]</w:t>
      </w:r>
    </w:p>
    <w:p/>
    <w:p/>
    <w:p>
      <w:pPr>
        <w:jc w:val="center"/>
      </w:pPr>
      <w:r>
        <w:rPr>
          <w:rFonts w:ascii="Arial" w:hAnsi="Arial"/>
          <w:b/>
          <w:color w:val="1B3A5C"/>
          <w:sz w:val="56"/>
        </w:rPr>
        <w:t>АНАЛИТИЧЕСКИЙ ОТЧЁТ</w:t>
      </w:r>
    </w:p>
    <w:p>
      <w:pPr>
        <w:jc w:val="center"/>
      </w:pPr>
      <w:r>
        <w:rPr>
          <w:rFonts w:ascii="Arial" w:hAnsi="Arial"/>
          <w:color w:val="1B3A5C"/>
          <w:sz w:val="28"/>
        </w:rPr>
        <w:t>Какие мировые тренды 2025–2030 повлияют на жилое строительство в России — технологические, демографические, экономические, культурные, экологические</w:t>
      </w:r>
    </w:p>
    <w:p/>
    <w:p/>
    <w:p/>
    <w:p/>
    <w:p>
      <w:pPr>
        <w:jc w:val="center"/>
      </w:pPr>
      <w:r>
        <w:rPr>
          <w:color w:val="1B3A5C"/>
        </w:rPr>
        <w:t>————————————————————</w:t>
      </w:r>
    </w:p>
    <w:p>
      <w:pPr>
        <w:jc w:val="center"/>
      </w:pPr>
      <w:r>
        <w:rPr>
          <w:rFonts w:ascii="Arial" w:hAnsi="Arial"/>
          <w:color w:val="555555"/>
          <w:sz w:val="24"/>
        </w:rPr>
        <w:t>15.04.2026</w:t>
      </w:r>
    </w:p>
    <w:p>
      <w:pPr>
        <w:jc w:val="center"/>
      </w:pPr>
      <w:r>
        <w:rPr>
          <w:rFonts w:ascii="Arial" w:hAnsi="Arial"/>
          <w:color w:val="555555"/>
          <w:sz w:val="22"/>
        </w:rPr>
        <w:t>5 доменов · 15 блоков · 10 кросс-доменных связей</w:t>
      </w:r>
    </w:p>
    <w:p>
      <w:r>
        <w:br w:type="page"/>
      </w:r>
    </w:p>
    <w:p>
      <w:pPr>
        <w:pStyle w:val="Heading1"/>
      </w:pPr>
      <w:r>
        <w:rPr>
          <w:rFonts w:ascii="Arial" w:hAnsi="Arial"/>
          <w:color w:val="1B3A5C"/>
        </w:rPr>
        <w:t>Оглавление</w:t>
      </w:r>
    </w:p>
    <w:p>
      <w:r>
        <w:fldChar w:fldCharType="begin"/>
        <w:instrText xml:space="preserve">TOC \o "1-3" \h \z \u</w:instrText>
        <w:fldChar w:fldCharType="separate"/>
        <w:t>Оглавление — обновите через F9 в Word</w:t>
        <w:fldChar w:fldCharType="end"/>
      </w:r>
    </w:p>
    <w:p>
      <w:r>
        <w:br w:type="page"/>
      </w:r>
    </w:p>
    <w:p>
      <w:pPr>
        <w:pStyle w:val="Heading1"/>
      </w:pPr>
      <w:r>
        <w:rPr>
          <w:rFonts w:ascii="Arial" w:hAnsi="Arial"/>
          <w:color w:val="1B3A5C"/>
        </w:rPr>
        <w:t>Executive Summary</w:t>
      </w:r>
    </w:p>
    <w:p>
      <w:pPr>
        <w:pBdr>
          <w:left w:val="single" w:sz="24" w:space="6" w:color="1B3A5C"/>
        </w:pBdr>
      </w:pPr>
      <w:r>
        <w:rPr>
          <w:rFonts w:ascii="Arial" w:hAnsi="Arial"/>
          <w:b/>
          <w:color w:val="1B3A5C"/>
        </w:rPr>
        <w:t xml:space="preserve">Цель: </w:t>
      </w:r>
      <w:r>
        <w:rPr>
          <w:rFonts w:ascii="Arial" w:hAnsi="Arial"/>
        </w:rPr>
        <w:t>Отчёт выявляет ключевые технологические, демографические, макроэкономические, социокультурные и экологические тренды 2025–2030 гг., определяющие трансформацию российского жилого строительства.</w:t>
      </w:r>
    </w:p>
    <w:p>
      <w:pPr>
        <w:pStyle w:val="Heading2"/>
      </w:pPr>
      <w:r>
        <w:rPr>
          <w:rFonts w:ascii="Arial" w:hAnsi="Arial"/>
          <w:color w:val="1B3A5C"/>
        </w:rPr>
        <w:t>Матрица доменов</w:t>
      </w:r>
    </w:p>
    <w:tbl>
      <w:tblPr>
        <w:tblW w:type="auto" w:w="0"/>
        <w:jc w:val="center"/>
        <w:tblLayout w:type="autofit"/>
        <w:tblLook w:firstColumn="1" w:firstRow="1" w:lastColumn="0" w:lastRow="0" w:noHBand="0" w:noVBand="1" w:val="04A0"/>
      </w:tblPr>
      <w:tblGrid>
        <w:gridCol w:w="4702"/>
        <w:gridCol w:w="4702"/>
      </w:tblGrid>
      <w:tr>
        <w:tc>
          <w:tcPr>
            <w:tcW w:type="dxa" w:w="4702"/>
            <w:shd w:val="clear" w:color="auto" w:fill="1B3A5C"/>
            <w:tcBorders>
              <w:top w:val="single" w:sz="4" w:color="BBBBBB"/>
              <w:left w:val="single" w:sz="4" w:color="BBBBBB"/>
              <w:bottom w:val="single" w:sz="4" w:color="BBBBBB"/>
              <w:right w:val="single" w:sz="4" w:color="BBBBBB"/>
            </w:tcBorders>
          </w:tcPr>
          <w:p>
            <w:r>
              <w:rPr>
                <w:rFonts w:ascii="Arial" w:hAnsi="Arial"/>
                <w:b/>
                <w:color w:val="FFFFFF"/>
                <w:sz w:val="22"/>
              </w:rPr>
              <w:t>Домен</w:t>
            </w:r>
          </w:p>
        </w:tc>
        <w:tc>
          <w:tcPr>
            <w:tcW w:type="dxa" w:w="4702"/>
            <w:shd w:val="clear" w:color="auto" w:fill="1B3A5C"/>
            <w:tcBorders>
              <w:top w:val="single" w:sz="4" w:color="BBBBBB"/>
              <w:left w:val="single" w:sz="4" w:color="BBBBBB"/>
              <w:bottom w:val="single" w:sz="4" w:color="BBBBBB"/>
              <w:right w:val="single" w:sz="4" w:color="BBBBBB"/>
            </w:tcBorders>
          </w:tcPr>
          <w:p>
            <w:r>
              <w:rPr>
                <w:rFonts w:ascii="Arial" w:hAnsi="Arial"/>
                <w:b/>
                <w:color w:val="FFFFFF"/>
                <w:sz w:val="22"/>
              </w:rPr>
              <w:t>Суть / слои</w:t>
            </w:r>
          </w:p>
        </w:tc>
      </w:tr>
      <w:tr>
        <w:tc>
          <w:tcPr>
            <w:tcW w:type="dxa" w:w="4702"/>
            <w:tcBorders>
              <w:top w:val="single" w:sz="4" w:color="BBBBBB"/>
              <w:left w:val="single" w:sz="4" w:color="BBBBBB"/>
              <w:bottom w:val="single" w:sz="4" w:color="BBBBBB"/>
              <w:right w:val="single" w:sz="4" w:color="BBBBBB"/>
            </w:tcBorders>
            <w:shd w:val="clear" w:color="auto" w:fill="F5F5F5"/>
          </w:tcPr>
          <w:p>
            <w:r>
              <w:rPr>
                <w:rFonts w:ascii="Arial" w:hAnsi="Arial"/>
                <w:sz w:val="20"/>
              </w:rPr>
              <w:t>Технологии и цифровизация строительства</w:t>
            </w:r>
          </w:p>
        </w:tc>
        <w:tc>
          <w:tcPr>
            <w:tcW w:type="dxa" w:w="4702"/>
            <w:tcBorders>
              <w:top w:val="single" w:sz="4" w:color="BBBBBB"/>
              <w:left w:val="single" w:sz="4" w:color="BBBBBB"/>
              <w:bottom w:val="single" w:sz="4" w:color="BBBBBB"/>
              <w:right w:val="single" w:sz="4" w:color="BBBBBB"/>
            </w:tcBorders>
          </w:tcPr>
          <w:p>
            <w:r>
              <w:rPr>
                <w:rFonts w:ascii="Arial" w:hAnsi="Arial"/>
                <w:sz w:val="20"/>
              </w:rPr>
              <w:t>Определяет скорость, точность и стоимость возведения жилья; глобальные инновации задают вектор, который российские девелоперы вынуждены адаптировать под локальные ограничения.</w:t>
              <w:br/>
              <w:t>Слои: Глобальные инновации; Нормативная адаптация в РФ; Экономика внедрения</w:t>
            </w:r>
          </w:p>
        </w:tc>
      </w:tr>
      <w:tr>
        <w:tc>
          <w:tcPr>
            <w:tcW w:type="dxa" w:w="4702"/>
            <w:tcBorders>
              <w:top w:val="single" w:sz="4" w:color="BBBBBB"/>
              <w:left w:val="single" w:sz="4" w:color="BBBBBB"/>
              <w:bottom w:val="single" w:sz="4" w:color="BBBBBB"/>
              <w:right w:val="single" w:sz="4" w:color="BBBBBB"/>
            </w:tcBorders>
            <w:shd w:val="clear" w:color="auto" w:fill="F5F5F5"/>
          </w:tcPr>
          <w:p>
            <w:r>
              <w:rPr>
                <w:rFonts w:ascii="Arial" w:hAnsi="Arial"/>
                <w:sz w:val="20"/>
              </w:rPr>
              <w:t>Демография и миграционные потоки</w:t>
            </w:r>
          </w:p>
        </w:tc>
        <w:tc>
          <w:tcPr>
            <w:tcW w:type="dxa" w:w="4702"/>
            <w:tcBorders>
              <w:top w:val="single" w:sz="4" w:color="BBBBBB"/>
              <w:left w:val="single" w:sz="4" w:color="BBBBBB"/>
              <w:bottom w:val="single" w:sz="4" w:color="BBBBBB"/>
              <w:right w:val="single" w:sz="4" w:color="BBBBBB"/>
            </w:tcBorders>
          </w:tcPr>
          <w:p>
            <w:r>
              <w:rPr>
                <w:rFonts w:ascii="Arial" w:hAnsi="Arial"/>
                <w:sz w:val="20"/>
              </w:rPr>
              <w:t>Формирует базовый спрос на жильё; глобальные сдвиги в возрастной структуре и миграции транслируются в российские реалии через внутренние перетоки и изменение структуры домохозяйств.</w:t>
              <w:br/>
              <w:t>Слои: Глобальные демографические сдвиги; Миграционная динамика в РФ; Структура домохозяйств и типология спроса</w:t>
            </w:r>
          </w:p>
        </w:tc>
      </w:tr>
      <w:tr>
        <w:tc>
          <w:tcPr>
            <w:tcW w:type="dxa" w:w="4702"/>
            <w:tcBorders>
              <w:top w:val="single" w:sz="4" w:color="BBBBBB"/>
              <w:left w:val="single" w:sz="4" w:color="BBBBBB"/>
              <w:bottom w:val="single" w:sz="4" w:color="BBBBBB"/>
              <w:right w:val="single" w:sz="4" w:color="BBBBBB"/>
            </w:tcBorders>
            <w:shd w:val="clear" w:color="auto" w:fill="F5F5F5"/>
          </w:tcPr>
          <w:p>
            <w:r>
              <w:rPr>
                <w:rFonts w:ascii="Arial" w:hAnsi="Arial"/>
                <w:sz w:val="20"/>
              </w:rPr>
              <w:t>Макроэкономика и финансирование девелопмента</w:t>
            </w:r>
          </w:p>
        </w:tc>
        <w:tc>
          <w:tcPr>
            <w:tcW w:type="dxa" w:w="4702"/>
            <w:tcBorders>
              <w:top w:val="single" w:sz="4" w:color="BBBBBB"/>
              <w:left w:val="single" w:sz="4" w:color="BBBBBB"/>
              <w:bottom w:val="single" w:sz="4" w:color="BBBBBB"/>
              <w:right w:val="single" w:sz="4" w:color="BBBBBB"/>
            </w:tcBorders>
          </w:tcPr>
          <w:p>
            <w:r>
              <w:rPr>
                <w:rFonts w:ascii="Arial" w:hAnsi="Arial"/>
                <w:sz w:val="20"/>
              </w:rPr>
              <w:t>Определяет доступность капитала, стоимость кредитов и рентабельность проектов; глобальные финансовые циклы и цепочки поставок напрямую влияют на российскую проектную модель.</w:t>
              <w:br/>
              <w:t>Слои: Глобальные финансовые и логистические тренды; Российская финансовая экосистема; Себестоимость и маржинальность</w:t>
            </w:r>
          </w:p>
        </w:tc>
      </w:tr>
      <w:tr>
        <w:tc>
          <w:tcPr>
            <w:tcW w:type="dxa" w:w="4702"/>
            <w:tcBorders>
              <w:top w:val="single" w:sz="4" w:color="BBBBBB"/>
              <w:left w:val="single" w:sz="4" w:color="BBBBBB"/>
              <w:bottom w:val="single" w:sz="4" w:color="BBBBBB"/>
              <w:right w:val="single" w:sz="4" w:color="BBBBBB"/>
            </w:tcBorders>
            <w:shd w:val="clear" w:color="auto" w:fill="F5F5F5"/>
          </w:tcPr>
          <w:p>
            <w:r>
              <w:rPr>
                <w:rFonts w:ascii="Arial" w:hAnsi="Arial"/>
                <w:sz w:val="20"/>
              </w:rPr>
              <w:t>Социокультурные паттерны и урбанистика</w:t>
            </w:r>
          </w:p>
        </w:tc>
        <w:tc>
          <w:tcPr>
            <w:tcW w:type="dxa" w:w="4702"/>
            <w:tcBorders>
              <w:top w:val="single" w:sz="4" w:color="BBBBBB"/>
              <w:left w:val="single" w:sz="4" w:color="BBBBBB"/>
              <w:bottom w:val="single" w:sz="4" w:color="BBBBBB"/>
              <w:right w:val="single" w:sz="4" w:color="BBBBBB"/>
            </w:tcBorders>
          </w:tcPr>
          <w:p>
            <w:r>
              <w:rPr>
                <w:rFonts w:ascii="Arial" w:hAnsi="Arial"/>
                <w:sz w:val="20"/>
              </w:rPr>
              <w:t>Задаёт функциональные и эстетические требования к жилью; глобальные изменения образа жизни и запроса на среду переформатируют архитектурные решения и планировки в России.</w:t>
              <w:br/>
              <w:t>Слои: Глобальные изменения образа жизни; Российские практики расселения; Архитектурно-планировочные решения</w:t>
            </w:r>
          </w:p>
        </w:tc>
      </w:tr>
      <w:tr>
        <w:tc>
          <w:tcPr>
            <w:tcW w:type="dxa" w:w="4702"/>
            <w:tcBorders>
              <w:top w:val="single" w:sz="4" w:color="BBBBBB"/>
              <w:left w:val="single" w:sz="4" w:color="BBBBBB"/>
              <w:bottom w:val="single" w:sz="4" w:color="BBBBBB"/>
              <w:right w:val="single" w:sz="4" w:color="BBBBBB"/>
            </w:tcBorders>
            <w:shd w:val="clear" w:color="auto" w:fill="F5F5F5"/>
          </w:tcPr>
          <w:p>
            <w:r>
              <w:rPr>
                <w:rFonts w:ascii="Arial" w:hAnsi="Arial"/>
                <w:sz w:val="20"/>
              </w:rPr>
              <w:t>Экология и климатическая адаптация</w:t>
            </w:r>
          </w:p>
        </w:tc>
        <w:tc>
          <w:tcPr>
            <w:tcW w:type="dxa" w:w="4702"/>
            <w:tcBorders>
              <w:top w:val="single" w:sz="4" w:color="BBBBBB"/>
              <w:left w:val="single" w:sz="4" w:color="BBBBBB"/>
              <w:bottom w:val="single" w:sz="4" w:color="BBBBBB"/>
              <w:right w:val="single" w:sz="4" w:color="BBBBBB"/>
            </w:tcBorders>
          </w:tcPr>
          <w:p>
            <w:r>
              <w:rPr>
                <w:rFonts w:ascii="Arial" w:hAnsi="Arial"/>
                <w:sz w:val="20"/>
              </w:rPr>
              <w:t>Ограничивает географию и технологии строительства, формирует новые стандарты энергоэффективности; климатические риски и ESG-регуляторика становятся драйверами стоимости и спроса.</w:t>
              <w:br/>
              <w:t>Слои: Глобальные климатические риски и ESG; Климатические изменения в РФ; Зелёные материалы и рыночный спрос</w:t>
            </w:r>
          </w:p>
        </w:tc>
      </w:tr>
    </w:tbl>
    <w:p>
      <w:pPr>
        <w:pStyle w:val="Heading2"/>
      </w:pPr>
      <w:r>
        <w:rPr>
          <w:rFonts w:ascii="Arial" w:hAnsi="Arial"/>
          <w:color w:val="1B3A5C"/>
        </w:rPr>
        <w:t>Топ-5 находок</w:t>
      </w:r>
    </w:p>
    <w:p>
      <w:pPr>
        <w:pStyle w:val="ListBullet"/>
      </w:pPr>
      <w:r>
        <w:rPr>
          <w:rFonts w:ascii="Arial" w:hAnsi="Arial"/>
          <w:b/>
          <w:color w:val="1B3A5C"/>
        </w:rPr>
        <w:t xml:space="preserve">[Технологии и цифровизация строительства / Глобальные инновации] </w:t>
      </w:r>
      <w:r>
        <w:rPr>
          <w:rFonts w:ascii="Arial" w:hAnsi="Arial"/>
        </w:rPr>
        <w:t>Цифровые двойники ускоряют реализацию проектов на ~25%, что подтверждено практиками мониторинга на объектах «Лахта Центр» и «Бирюлевское» (itweek.ru).</w:t>
      </w:r>
    </w:p>
    <w:p>
      <w:pPr>
        <w:pStyle w:val="ListBullet"/>
      </w:pPr>
      <w:r>
        <w:rPr>
          <w:rFonts w:ascii="Arial" w:hAnsi="Arial"/>
          <w:b/>
          <w:color w:val="1B3A5C"/>
        </w:rPr>
        <w:t xml:space="preserve">[Демография и миграционные потоки / Структура домохозяйств и типология спроса] </w:t>
      </w:r>
      <w:r>
        <w:rPr>
          <w:rFonts w:ascii="Arial" w:hAnsi="Arial"/>
        </w:rPr>
        <w:t>Доля домохозяйств из одного человека в РФ достигла 41,8% (27,6 млн), впервые став преобладающим типом, а ИЖС формирует &gt;56% годового ввода жилья (РБК/Росстат, Российская газета).</w:t>
      </w:r>
    </w:p>
    <w:p>
      <w:pPr>
        <w:pStyle w:val="ListBullet"/>
      </w:pPr>
      <w:r>
        <w:rPr>
          <w:rFonts w:ascii="Arial" w:hAnsi="Arial"/>
          <w:b/>
          <w:color w:val="1B3A5C"/>
        </w:rPr>
        <w:t xml:space="preserve">[Социокультурные паттерны и урбанистика / Российские практики расселения] </w:t>
      </w:r>
      <w:r>
        <w:rPr>
          <w:rFonts w:ascii="Arial" w:hAnsi="Arial"/>
        </w:rPr>
        <w:t>Инвестиционные сделки на рынке недвижимости выросли до 47%, тогда как доля граждан, планирующих покупку жилья для себя, упала до 16% (ВЦИОМ/ДОМ.РФ).</w:t>
      </w:r>
    </w:p>
    <w:p>
      <w:pPr>
        <w:pStyle w:val="ListBullet"/>
      </w:pPr>
      <w:r>
        <w:rPr>
          <w:rFonts w:ascii="Arial" w:hAnsi="Arial"/>
          <w:b/>
          <w:color w:val="1B3A5C"/>
        </w:rPr>
        <w:t xml:space="preserve">[Экология и климатическая адаптация / Климатические изменения в РФ] </w:t>
      </w:r>
      <w:r>
        <w:rPr>
          <w:rFonts w:ascii="Arial" w:hAnsi="Arial"/>
        </w:rPr>
        <w:t>К 2030–2039 гг. температура в европейской части РФ и Сибири вырастет на 2–4°C летом, увеличивая интенсивность ливней до 50 мм/час (ГГО им. Воейкова).</w:t>
      </w:r>
    </w:p>
    <w:p>
      <w:pPr>
        <w:pStyle w:val="ListBullet"/>
      </w:pPr>
      <w:r>
        <w:rPr>
          <w:rFonts w:ascii="Arial" w:hAnsi="Arial"/>
          <w:b/>
          <w:color w:val="1B3A5C"/>
        </w:rPr>
        <w:t xml:space="preserve">[Экология и климатическая адаптация / Зелёные материалы и рыночный спрос] </w:t>
      </w:r>
      <w:r>
        <w:rPr>
          <w:rFonts w:ascii="Arial" w:hAnsi="Arial"/>
        </w:rPr>
        <w:t>Сертификация Green Zoom адаптирована под российские нормы на 90%, но охватывает не более 30 жилых зданий по всей стране (Коммерсантъ).</w:t>
      </w:r>
    </w:p>
    <w:p>
      <w:pPr>
        <w:pStyle w:val="Heading2"/>
      </w:pPr>
      <w:r>
        <w:rPr>
          <w:rFonts w:ascii="Arial" w:hAnsi="Arial"/>
          <w:color w:val="1B3A5C"/>
        </w:rPr>
        <w:t>Топ-3 кросс-доменных связи</w:t>
      </w:r>
    </w:p>
    <w:p>
      <w:pPr>
        <w:pStyle w:val="ListBullet"/>
      </w:pPr>
      <w:r>
        <w:rPr>
          <w:rFonts w:ascii="Arial" w:hAnsi="Arial"/>
          <w:b/>
          <w:color w:val="1B3A5C"/>
        </w:rPr>
        <w:t xml:space="preserve">Демография и миграционные потоки / Миграционная динамика в РФ ↔ Технологии и цифровизация строительства / Глобальные инновации — </w:t>
      </w:r>
      <w:r>
        <w:rPr>
          <w:rFonts w:ascii="Arial" w:hAnsi="Arial"/>
        </w:rPr>
        <w:t>В демографии трудоспособное население сократится на 14 млн к 2025 г., в технологиях цифровые двойники ускоряют проекты на 25%, отсюда отрасль вынуждена форсировать автоматизацию для компенсации кадрового дефицита.</w:t>
      </w:r>
    </w:p>
    <w:p>
      <w:pPr>
        <w:pStyle w:val="ListBullet"/>
      </w:pPr>
      <w:r>
        <w:rPr>
          <w:rFonts w:ascii="Arial" w:hAnsi="Arial"/>
          <w:b/>
          <w:color w:val="1B3A5C"/>
        </w:rPr>
        <w:t xml:space="preserve">Макроэкономика и финансирование девелопмента / Российская финансовая экосистема ↔ Экология и климатическая адаптация / Глобальные климатические риски и ESG — </w:t>
      </w:r>
      <w:r>
        <w:rPr>
          <w:rFonts w:ascii="Arial" w:hAnsi="Arial"/>
        </w:rPr>
        <w:t>В макроэкономике ключевая ставка ЦБ удерживает стоимость кредита выше 15%, в экологии ESG-практики дают кредитный дисконт 2%, отсюда рентабельными остаются только проекты с окупаемостью до 1–2 лет.</w:t>
      </w:r>
    </w:p>
    <w:p>
      <w:pPr>
        <w:pStyle w:val="ListBullet"/>
      </w:pPr>
      <w:r>
        <w:rPr>
          <w:rFonts w:ascii="Arial" w:hAnsi="Arial"/>
          <w:b/>
          <w:color w:val="1B3A5C"/>
        </w:rPr>
        <w:t xml:space="preserve">Социокультурные паттерны и урбанистика / Глобальные изменения образа жизни ↔ Демография и миграционные потоки / Структура домохозяйств и типология спроса — </w:t>
      </w:r>
      <w:r>
        <w:rPr>
          <w:rFonts w:ascii="Arial" w:hAnsi="Arial"/>
        </w:rPr>
        <w:t>В социокультурных паттернах 71% специалистов выбирают гибридный формат работы, в демографии доля одиноких домохозяйств достигла 41,8%, отсюда спрос массово смещается в пригородные малоэтажные форматы.</w:t>
      </w:r>
    </w:p>
    <w:p>
      <w:pPr>
        <w:pStyle w:val="Heading2"/>
      </w:pPr>
      <w:r>
        <w:rPr>
          <w:rFonts w:ascii="Arial" w:hAnsi="Arial"/>
          <w:color w:val="1B3A5C"/>
        </w:rPr>
        <w:t>Критические пробелы</w:t>
      </w:r>
    </w:p>
    <w:p>
      <w:pPr>
        <w:pStyle w:val="ListBullet"/>
      </w:pPr>
      <w:r>
        <w:rPr>
          <w:rFonts w:ascii="Arial" w:hAnsi="Arial"/>
        </w:rPr>
        <w:t>Найти прямые отчёты McKinsey/BCG/Gartner по цифровизации и автоматизации строительства на 2024–2030 гг. для верификации отраслевых прогнозов.</w:t>
      </w:r>
    </w:p>
    <w:p>
      <w:pPr>
        <w:pStyle w:val="ListBullet"/>
      </w:pPr>
      <w:r>
        <w:rPr>
          <w:rFonts w:ascii="Arial" w:hAnsi="Arial"/>
        </w:rPr>
        <w:t>Запросить актуальные данные МВД и Росстата по внутренней миграции за 2024–2025 гг. с разбивкой по ФО для уточнения региональных прогнозов спроса.</w:t>
      </w:r>
    </w:p>
    <w:p>
      <w:pPr>
        <w:pStyle w:val="ListBullet"/>
      </w:pPr>
      <w:r>
        <w:rPr>
          <w:rFonts w:ascii="Arial" w:hAnsi="Arial"/>
        </w:rPr>
        <w:t>Оценить фактическое влияние изменений 214-ФЗ и требований к капиталу застройщиков на консолидацию рынка и вход МСБ в сегмент.</w:t>
      </w:r>
    </w:p>
    <w:p>
      <w:pPr>
        <w:pStyle w:val="ListBullet"/>
      </w:pPr>
      <w:r>
        <w:rPr>
          <w:rFonts w:ascii="Arial" w:hAnsi="Arial"/>
        </w:rPr>
        <w:t>Собрать статистику страховых выплат и тарифов по климатическим рискам (паводки, мерзлота) в регионах РФ за 2022–2024 гг.</w:t>
      </w:r>
    </w:p>
    <w:p>
      <w:r>
        <w:br w:type="page"/>
      </w:r>
    </w:p>
    <w:p>
      <w:pPr>
        <w:pStyle w:val="Heading1"/>
      </w:pPr>
      <w:r>
        <w:rPr>
          <w:rFonts w:ascii="Arial" w:hAnsi="Arial"/>
          <w:color w:val="1B3A5C"/>
        </w:rPr>
        <w:t>Карта матрицы доменов</w:t>
      </w:r>
    </w:p>
    <w:p>
      <w:pPr>
        <w:jc w:val="center"/>
      </w:pPr>
      <w:r>
        <w:drawing>
          <wp:inline xmlns:a="http://schemas.openxmlformats.org/drawingml/2006/main" xmlns:pic="http://schemas.openxmlformats.org/drawingml/2006/picture">
            <wp:extent cx="5760000" cy="3593253"/>
            <wp:docPr id="1" name="Picture 1"/>
            <wp:cNvGraphicFramePr>
              <a:graphicFrameLocks noChangeAspect="1"/>
            </wp:cNvGraphicFramePr>
            <a:graphic>
              <a:graphicData uri="http://schemas.openxmlformats.org/drawingml/2006/picture">
                <pic:pic>
                  <pic:nvPicPr>
                    <pic:cNvPr id="0" name="20260415-world-trends-housing-matrix.png"/>
                    <pic:cNvPicPr/>
                  </pic:nvPicPr>
                  <pic:blipFill>
                    <a:blip r:embed="rId10"/>
                    <a:stretch>
                      <a:fillRect/>
                    </a:stretch>
                  </pic:blipFill>
                  <pic:spPr>
                    <a:xfrm>
                      <a:off x="0" y="0"/>
                      <a:ext cx="5760000" cy="3593253"/>
                    </a:xfrm>
                    <a:prstGeom prst="rect"/>
                  </pic:spPr>
                </pic:pic>
              </a:graphicData>
            </a:graphic>
          </wp:inline>
        </w:drawing>
      </w:r>
    </w:p>
    <w:p>
      <w:pPr>
        <w:jc w:val="center"/>
      </w:pPr>
      <w:r>
        <w:rPr>
          <w:rFonts w:ascii="Arial" w:hAnsi="Arial"/>
          <w:i/>
          <w:color w:val="555555"/>
          <w:sz w:val="18"/>
        </w:rPr>
        <w:t>Рис. 1. Визуальная схема доменов и слоёв (цвет = приоритет).</w:t>
      </w:r>
    </w:p>
    <w:p>
      <w:r>
        <w:br w:type="page"/>
      </w:r>
    </w:p>
    <w:p>
      <w:pPr>
        <w:pStyle w:val="Heading1"/>
      </w:pPr>
      <w:r>
        <w:rPr>
          <w:rFonts w:ascii="Arial" w:hAnsi="Arial"/>
          <w:color w:val="1B3A5C"/>
        </w:rPr>
        <w:t>Ключевые метрики</w:t>
      </w:r>
    </w:p>
    <w:p>
      <w:pPr>
        <w:jc w:val="center"/>
      </w:pPr>
      <w:r>
        <w:drawing>
          <wp:inline xmlns:a="http://schemas.openxmlformats.org/drawingml/2006/main" xmlns:pic="http://schemas.openxmlformats.org/drawingml/2006/picture">
            <wp:extent cx="5760000" cy="3612614"/>
            <wp:docPr id="2" name="Picture 2"/>
            <wp:cNvGraphicFramePr>
              <a:graphicFrameLocks noChangeAspect="1"/>
            </wp:cNvGraphicFramePr>
            <a:graphic>
              <a:graphicData uri="http://schemas.openxmlformats.org/drawingml/2006/picture">
                <pic:pic>
                  <pic:nvPicPr>
                    <pic:cNvPr id="0" name="20260415-world-trends-housing-metrics.png"/>
                    <pic:cNvPicPr/>
                  </pic:nvPicPr>
                  <pic:blipFill>
                    <a:blip r:embed="rId11"/>
                    <a:stretch>
                      <a:fillRect/>
                    </a:stretch>
                  </pic:blipFill>
                  <pic:spPr>
                    <a:xfrm>
                      <a:off x="0" y="0"/>
                      <a:ext cx="5760000" cy="3612614"/>
                    </a:xfrm>
                    <a:prstGeom prst="rect"/>
                  </pic:spPr>
                </pic:pic>
              </a:graphicData>
            </a:graphic>
          </wp:inline>
        </w:drawing>
      </w:r>
    </w:p>
    <w:p>
      <w:pPr>
        <w:jc w:val="center"/>
      </w:pPr>
      <w:r>
        <w:rPr>
          <w:rFonts w:ascii="Arial" w:hAnsi="Arial"/>
          <w:i/>
          <w:color w:val="555555"/>
          <w:sz w:val="18"/>
        </w:rPr>
        <w:t>Рис. 2. Ключевые цифры отчёта с источниками.</w:t>
      </w:r>
    </w:p>
    <w:p>
      <w:r>
        <w:br w:type="page"/>
      </w:r>
    </w:p>
    <w:p>
      <w:pPr>
        <w:pStyle w:val="Heading1"/>
      </w:pPr>
      <w:r>
        <w:rPr>
          <w:rFonts w:ascii="Arial" w:hAnsi="Arial"/>
          <w:color w:val="1B3A5C"/>
        </w:rPr>
        <w:t>Тепловая карта приоритетов</w:t>
      </w:r>
    </w:p>
    <w:p>
      <w:pPr>
        <w:jc w:val="center"/>
      </w:pPr>
      <w:r>
        <w:drawing>
          <wp:inline xmlns:a="http://schemas.openxmlformats.org/drawingml/2006/main" xmlns:pic="http://schemas.openxmlformats.org/drawingml/2006/picture">
            <wp:extent cx="5760000" cy="3660274"/>
            <wp:docPr id="3" name="Picture 3"/>
            <wp:cNvGraphicFramePr>
              <a:graphicFrameLocks noChangeAspect="1"/>
            </wp:cNvGraphicFramePr>
            <a:graphic>
              <a:graphicData uri="http://schemas.openxmlformats.org/drawingml/2006/picture">
                <pic:pic>
                  <pic:nvPicPr>
                    <pic:cNvPr id="0" name="20260415-world-trends-housing-heatmap.png"/>
                    <pic:cNvPicPr/>
                  </pic:nvPicPr>
                  <pic:blipFill>
                    <a:blip r:embed="rId12"/>
                    <a:stretch>
                      <a:fillRect/>
                    </a:stretch>
                  </pic:blipFill>
                  <pic:spPr>
                    <a:xfrm>
                      <a:off x="0" y="0"/>
                      <a:ext cx="5760000" cy="3660274"/>
                    </a:xfrm>
                    <a:prstGeom prst="rect"/>
                  </pic:spPr>
                </pic:pic>
              </a:graphicData>
            </a:graphic>
          </wp:inline>
        </w:drawing>
      </w:r>
    </w:p>
    <w:p>
      <w:pPr>
        <w:jc w:val="center"/>
      </w:pPr>
      <w:r>
        <w:rPr>
          <w:rFonts w:ascii="Arial" w:hAnsi="Arial"/>
          <w:i/>
          <w:color w:val="555555"/>
          <w:sz w:val="18"/>
        </w:rPr>
        <w:t>Рис. 3. Где золото, где пусто: приоритет по ячейкам матрицы.</w:t>
      </w:r>
    </w:p>
    <w:p>
      <w:r>
        <w:br w:type="page"/>
      </w:r>
    </w:p>
    <w:p>
      <w:pPr>
        <w:pStyle w:val="Heading1"/>
      </w:pPr>
      <w:r>
        <w:rPr>
          <w:rFonts w:ascii="Arial" w:hAnsi="Arial"/>
          <w:color w:val="1B3A5C"/>
        </w:rPr>
        <w:t>Блоки (по приоритету)</w:t>
      </w:r>
    </w:p>
    <w:p>
      <w:pPr>
        <w:pBdr>
          <w:left w:val="single" w:sz="36" w:space="6" w:color="C0392B"/>
        </w:pBdr>
      </w:pPr>
      <w:r>
        <w:rPr>
          <w:rFonts w:ascii="Arial" w:hAnsi="Arial"/>
          <w:b/>
          <w:color w:val="1B3A5C"/>
          <w:sz w:val="28"/>
        </w:rPr>
        <w:t>Демография и миграционные потоки / Структура домохозяйств и типология спроса</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Фрагментация домохозяйств (41,8% одиноких) и дефицит семейного жилья смещают баланс спроса в пользу ИЖС, доля ввода которого превысила 56%.</w:t>
      </w:r>
    </w:p>
    <w:p>
      <w:r>
        <w:rPr>
          <w:rFonts w:ascii="Arial" w:hAnsi="Arial"/>
          <w:b/>
          <w:color w:val="1B3A5C"/>
        </w:rPr>
        <w:t xml:space="preserve">Сильнейшая цифра: </w:t>
      </w:r>
      <w:r>
        <w:rPr>
          <w:rFonts w:ascii="Arial" w:hAnsi="Arial"/>
          <w:b/>
          <w:color w:val="2E86C1"/>
        </w:rPr>
        <w:t>Доля домохозяйств из одного человека выросла до 41,8% (27,6 млн), а ИЖС формирует &gt;56% годового ввода жилья (РБК/Росстат, РГ).</w:t>
      </w:r>
    </w:p>
    <w:p>
      <w:r>
        <w:rPr>
          <w:rFonts w:ascii="Arial" w:hAnsi="Arial"/>
          <w:b/>
          <w:color w:val="1B3A5C"/>
        </w:rPr>
        <w:t xml:space="preserve">Главный пробел: </w:t>
      </w:r>
      <w:r>
        <w:rPr>
          <w:rFonts w:ascii="Arial" w:hAnsi="Arial"/>
        </w:rPr>
        <w:t>Отсутствуют свежие данные Росстата/ВЦИОМ по динамике многопоколенных домохозяйств и их требованиям к планировкам.</w:t>
      </w:r>
    </w:p>
    <w:p>
      <w:r>
        <w:rPr>
          <w:rFonts w:ascii="Arial" w:hAnsi="Arial"/>
          <w:i/>
          <w:color w:val="555555"/>
          <w:sz w:val="18"/>
        </w:rPr>
        <w:t>Оценка: новизна 3/3 · конкретность 3/3 · применимость 3/3</w:t>
      </w:r>
    </w:p>
    <w:p>
      <w:r>
        <w:rPr>
          <w:rFonts w:ascii="Arial" w:hAnsi="Arial"/>
          <w:sz w:val="22"/>
        </w:rPr>
        <w:t>Структурная трансформация домохозяйств и миграционная поляризация формируют принципиально новый ландшафт жилищного спроса в России. По данным Всероссийской переписи 2021 года, доля домохозяйств из одного человека достигла 41,8% (27,6 млн из 66,1 млн), впервые став преобладающим типом, тогда как средний размер домохозяйства сократился с 2,6 до 2,2 человек [РБК, Росстат](https://www.rbc.ru/economics/19/08/2023/64dcddcd9a794758fcac52e4). Две трети всех домохозяйств теперь состоят из 1–2 человек [SIA.ru](https://sia.ru/?section=484&amp;action=show_news&amp;id=16808214). Этот тренд на демографическую фрагментацию сопровождается изменением потребительских паттернов: одинокие домохозяйства в мегаполисах смещают фокус с покупки крупных квартир на аренду компактного жилья, высвобождая капитал для сервисной экономики (доставка, такси, клининг) вместо накопления на ипотечные платежи [Holod.media](https://holod.media/2026/02/03/rost-chisla-rossiyan/).</w:t>
      </w:r>
    </w:p>
    <w:p>
      <w:r>
        <w:rPr>
          <w:rFonts w:ascii="Arial" w:hAnsi="Arial"/>
          <w:sz w:val="22"/>
        </w:rPr>
        <w:t>Демографический сдвиг напрямую транслируется в структурный перекос на рынке жилья. Индивидуальное жилищное строительство (ИЖС) уже формирует более 56% годового ввода (свыше 52 млн кв. м), а в отдельных агломерациях, например в Ленинградской области, темпы роста ИЖС вдвое опережают многоквартирное строительство [Российская газета](https://rg.ru/2024/02/26/semejnaia-arhitektura.html). В 2025 году общий ввод жилья прогнозируется на уровне 103 млн кв. м (снижение на 4,5% к 2024 году), при этом ввод многоквартирных домов сократился на 3,7% за январь–ноябрь, составив 32 млн кв. м [Коммерсантъ](https://www.kommersant.ru/doc/8293557). На фоне дефицита предложения и программ господдержки ипотеки аналитики прогнозируют к 2030 году соотношение спроса на малоэтажное и многоквартирное жильё на уровне 60:40 или даже 70:30 в пользу первого формата [Becar](https://becar.pro/news/?news_id=2657).</w:t>
      </w:r>
    </w:p>
    <w:p>
      <w:r>
        <w:rPr>
          <w:rFonts w:ascii="Arial" w:hAnsi="Arial"/>
          <w:sz w:val="22"/>
        </w:rPr>
        <w:t>Миграционные потоки усиливают пространственную поляризацию спроса. В городах-миллионниках с положительным миграционным сальдо (Москва, Санкт-Петербург, Казань) цены на недвижимость выросли более чем на 60 тыс. руб./кв. м за 2016–2022 годы, а девелоперы в ответ нарастили ввод жилья на 18,5% в 2021 году [ЦБ РФ](https://www.cbr.ru/statichtml/file/131869/wp_khab_dec.pdf). В регионах с устойчивым оттоком населения (Пермь, Волгоград, Екатеринбург, Челябинск, Уфа) спрос стагнирует, а рост цен носит умеренный характер [Коммерсантъ](https://www.kommersant.ru/doc/5632082). При этом маятниковая миграция стимулирует субурбанизацию: пригороды растут как спальные зоны, но налоговые отчисления (НДФЛ) остаются в городах-центрах, создавая структурный дефицит бюджетов пригородных территорий и тормозя развитие локальной инфраструктуры [Economy of Regions](https://www.economyofregions.org/ojs/index.php/er/article/download/987/397).</w:t>
      </w:r>
    </w:p>
    <w:p>
      <w:r>
        <w:rPr>
          <w:rFonts w:ascii="Arial" w:hAnsi="Arial"/>
          <w:sz w:val="22"/>
        </w:rPr>
        <w:t>Конкурирующие гипотезы. Прогноз доминирования малоэтажного формата (60–70% к 2030 году) опирается на экстраполяцию текущих темпов ИЖС и доступность льготной ипотеки. Альтернативная версия предполагает, что этот тренд может замедлиться из-за инфраструктурных ограничений пригородов, ужесточения градостроительных норм и возможной отмены субсидированных программ, что вернёт баланс спроса в сторону компактного многоквартирного жилья в пределах транспортной доступности мегаполисов. Вторая гипотеза слабее обоснована текущими данными ввода, но учитывает макроэкономические риски и бюджетные ограничения. Реальная типология спроса, вероятно, будет бифурцирована: одинокие и молодые пары концентрируются в арендном секторе городов-центров, тогда как семьи с детьми и старшие возрастные когорты формируют спрос на пригородное малоэтажное жильё, при условии решения инфраструктурного парадокса субурбанизации.</w:t>
      </w:r>
    </w:p>
    <w:p>
      <w:pPr>
        <w:pStyle w:val="Heading3"/>
      </w:pPr>
      <w:r>
        <w:rPr>
          <w:rFonts w:ascii="Arial" w:hAnsi="Arial"/>
          <w:color w:val="1B3A5C"/>
        </w:rPr>
        <w:t>Источники</w:t>
      </w:r>
    </w:p>
    <w:p>
      <w:pPr>
        <w:pStyle w:val="ListBullet"/>
      </w:pPr>
      <w:r>
        <w:rPr>
          <w:rFonts w:ascii="Arial" w:hAnsi="Arial"/>
          <w:color w:val="2E86C1"/>
          <w:sz w:val="20"/>
        </w:rPr>
        <w:t>📊 Доля домохозяйств из одного человека в РФ выросла с 25,7% в 2010 году до 41,8% в 2021 году, достигнув 27,6 млн из 66,1 млн домохозяйств и впервые став преобладающим типом.</w:t>
      </w:r>
      <w:r>
        <w:rPr>
          <w:rFonts w:ascii="Arial" w:hAnsi="Arial"/>
          <w:i/>
          <w:color w:val="555555"/>
          <w:sz w:val="18"/>
        </w:rPr>
        <w:t xml:space="preserve">  [primary] </w:t>
      </w:r>
      <w:r>
        <w:rPr>
          <w:rFonts w:ascii="Arial" w:hAnsi="Arial"/>
          <w:color w:val="555555"/>
          <w:sz w:val="18"/>
        </w:rPr>
        <w:t>https://www.rbc.ru/economics/19/08/2023/64dcddcd9a794758fcac52e4</w:t>
      </w:r>
    </w:p>
    <w:p>
      <w:pPr>
        <w:pStyle w:val="ListBullet"/>
      </w:pPr>
      <w:r>
        <w:rPr>
          <w:rFonts w:ascii="Arial" w:hAnsi="Arial"/>
          <w:color w:val="2E86C1"/>
          <w:sz w:val="20"/>
        </w:rPr>
        <w:t>📊 Средний размер домохозяйства в России сократился с 2,6 человека в 2010 году до 2,2 человека в 2021 году, при этом две трети домохозяйств состоят из 1–2 человек.</w:t>
      </w:r>
      <w:r>
        <w:rPr>
          <w:rFonts w:ascii="Arial" w:hAnsi="Arial"/>
          <w:i/>
          <w:color w:val="555555"/>
          <w:sz w:val="18"/>
        </w:rPr>
        <w:t xml:space="preserve">  [primary] </w:t>
      </w:r>
      <w:r>
        <w:rPr>
          <w:rFonts w:ascii="Arial" w:hAnsi="Arial"/>
          <w:color w:val="555555"/>
          <w:sz w:val="18"/>
        </w:rPr>
        <w:t>https://sia.ru/?section=484&amp;action=show_news&amp;id=16808214</w:t>
      </w:r>
    </w:p>
    <w:p>
      <w:pPr>
        <w:pStyle w:val="ListBullet"/>
      </w:pPr>
      <w:r>
        <w:rPr>
          <w:rFonts w:ascii="Arial" w:hAnsi="Arial"/>
          <w:sz w:val="20"/>
        </w:rPr>
        <w:t>Одинокие домохозяйства в РФ чаще арендуют компактное жильё в мегаполисах и реже покупают крупные квартиры, направляя высвободившиеся средства на услуги доставки, такси и клининга.</w:t>
      </w:r>
      <w:r>
        <w:rPr>
          <w:rFonts w:ascii="Arial" w:hAnsi="Arial"/>
          <w:i/>
          <w:color w:val="555555"/>
          <w:sz w:val="18"/>
        </w:rPr>
        <w:t xml:space="preserve">  [secondary] </w:t>
      </w:r>
      <w:r>
        <w:rPr>
          <w:rFonts w:ascii="Arial" w:hAnsi="Arial"/>
          <w:color w:val="555555"/>
          <w:sz w:val="18"/>
        </w:rPr>
        <w:t>https://holod.media/2026/02/03/rost-chisla-rossiyan/</w:t>
      </w:r>
    </w:p>
    <w:p>
      <w:pPr>
        <w:pStyle w:val="ListBullet"/>
      </w:pPr>
      <w:r>
        <w:rPr>
          <w:rFonts w:ascii="Arial" w:hAnsi="Arial"/>
          <w:color w:val="2E86C1"/>
          <w:sz w:val="20"/>
        </w:rPr>
        <w:t>📊 Доля индивидуального жилищного строительства (ИЖС) в общем вводе жилья в РФ превышает 56% (более 52 млн кв. м в год), при этом в Ленинградской области темпы роста ИЖС вдвое опережают многоквартирное строительство.</w:t>
      </w:r>
      <w:r>
        <w:rPr>
          <w:rFonts w:ascii="Arial" w:hAnsi="Arial"/>
          <w:i/>
          <w:color w:val="555555"/>
          <w:sz w:val="18"/>
        </w:rPr>
        <w:t xml:space="preserve">  [secondary] </w:t>
      </w:r>
      <w:r>
        <w:rPr>
          <w:rFonts w:ascii="Arial" w:hAnsi="Arial"/>
          <w:color w:val="555555"/>
          <w:sz w:val="18"/>
        </w:rPr>
        <w:t>https://rg.ru/2024/02/26/semejnaia-arhitektura.html</w:t>
      </w:r>
    </w:p>
    <w:p>
      <w:pPr>
        <w:pStyle w:val="ListBullet"/>
      </w:pPr>
      <w:r>
        <w:rPr>
          <w:rFonts w:ascii="Arial" w:hAnsi="Arial"/>
          <w:color w:val="2E86C1"/>
          <w:sz w:val="20"/>
        </w:rPr>
        <w:t>📊 В 2025 году общий объём ввода жилья в России ожидается на уровне 103 млн кв. м (снижение на 4,5% к 2024 году), при этом ввод многоквартирных домов сократился на 3,7% за январь–ноябрь (32 млн кв. м), что структурно усиливает переток спроса в малоэтажный сегмент.</w:t>
      </w:r>
      <w:r>
        <w:rPr>
          <w:rFonts w:ascii="Arial" w:hAnsi="Arial"/>
          <w:i/>
          <w:color w:val="555555"/>
          <w:sz w:val="18"/>
        </w:rPr>
        <w:t xml:space="preserve">  [secondary] </w:t>
      </w:r>
      <w:r>
        <w:rPr>
          <w:rFonts w:ascii="Arial" w:hAnsi="Arial"/>
          <w:color w:val="555555"/>
          <w:sz w:val="18"/>
        </w:rPr>
        <w:t>https://www.kommersant.ru/doc/8293557</w:t>
      </w:r>
    </w:p>
    <w:p>
      <w:pPr>
        <w:pStyle w:val="ListBullet"/>
      </w:pPr>
      <w:r>
        <w:rPr>
          <w:rFonts w:ascii="Arial" w:hAnsi="Arial"/>
          <w:color w:val="2E86C1"/>
          <w:sz w:val="20"/>
        </w:rPr>
        <w:t>📊 Прогноз на 2030 год указывает на рост доли малоэтажного жилья (ИЖС и малоэтажные комплексы) до 60–70% рынка при сокращении доли многоквартирного жилья до 30–40%, что поддерживается дефицитом предложения, программами господдержки ипотеки и освоением новых пригородных зон.</w:t>
      </w:r>
      <w:r>
        <w:rPr>
          <w:rFonts w:ascii="Arial" w:hAnsi="Arial"/>
          <w:i/>
          <w:color w:val="555555"/>
          <w:sz w:val="18"/>
        </w:rPr>
        <w:t xml:space="preserve">  [opinion] </w:t>
      </w:r>
      <w:r>
        <w:rPr>
          <w:rFonts w:ascii="Arial" w:hAnsi="Arial"/>
          <w:color w:val="555555"/>
          <w:sz w:val="18"/>
        </w:rPr>
        <w:t>https://becar.pro/news/?news_id=2657</w:t>
      </w:r>
    </w:p>
    <w:p>
      <w:pPr>
        <w:pStyle w:val="ListBullet"/>
      </w:pPr>
      <w:r>
        <w:rPr>
          <w:rFonts w:ascii="Arial" w:hAnsi="Arial"/>
          <w:color w:val="2E86C1"/>
          <w:sz w:val="20"/>
        </w:rPr>
        <w:t>📊 В городах-миллионниках с положительным миграционным приростом (Москва, Санкт-Петербург, Казань) цены на недвижимость выросли на 60+ тыс. руб./кв.м за 2016–2022 гг., а девелоперы увеличили ввод жилья на 18,5% в 2021 г.</w:t>
      </w:r>
      <w:r>
        <w:rPr>
          <w:rFonts w:ascii="Arial" w:hAnsi="Arial"/>
          <w:i/>
          <w:color w:val="555555"/>
          <w:sz w:val="18"/>
        </w:rPr>
        <w:t xml:space="preserve">  [primary] </w:t>
      </w:r>
      <w:r>
        <w:rPr>
          <w:rFonts w:ascii="Arial" w:hAnsi="Arial"/>
          <w:color w:val="555555"/>
          <w:sz w:val="18"/>
        </w:rPr>
        <w:t>https://www.cbr.ru/statichtml/file/131869/wp_khab_dec.pdf</w:t>
      </w:r>
    </w:p>
    <w:p>
      <w:pPr>
        <w:pStyle w:val="ListBullet"/>
      </w:pPr>
      <w:r>
        <w:rPr>
          <w:rFonts w:ascii="Arial" w:hAnsi="Arial"/>
          <w:sz w:val="20"/>
        </w:rPr>
        <w:t>Маятниковая миграция усиливает агломерирование и рост пригородов, где жители работают в городах-центрах и платят налоги там, что создает нагрузку на бюджеты пригородных зон без соответствующего роста налоговых поступлений.</w:t>
      </w:r>
      <w:r>
        <w:rPr>
          <w:rFonts w:ascii="Arial" w:hAnsi="Arial"/>
          <w:i/>
          <w:color w:val="555555"/>
          <w:sz w:val="18"/>
        </w:rPr>
        <w:t xml:space="preserve">  [primary] </w:t>
      </w:r>
      <w:r>
        <w:rPr>
          <w:rFonts w:ascii="Arial" w:hAnsi="Arial"/>
          <w:color w:val="555555"/>
          <w:sz w:val="18"/>
        </w:rPr>
        <w:t>https://www.economyofregions.org/ojs/index.php/er/article/download/987/397</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тренд на фрагментацию домохозяйств (рост доли 1–2 человек) сохранится до 2030 года без существенных демографических шоков.</w:t>
      </w:r>
    </w:p>
    <w:p>
      <w:pPr>
        <w:pStyle w:val="ListBullet"/>
      </w:pPr>
      <w:r>
        <w:rPr>
          <w:rFonts w:ascii="Arial" w:hAnsi="Arial"/>
          <w:sz w:val="20"/>
        </w:rPr>
        <w:t>Данные переписи 2021 года принимаются как репрезентивная база для экстраполяции текущих потребительских предпочтений, несмотря на отсутствие свежих опросов.</w:t>
      </w:r>
    </w:p>
    <w:p>
      <w:pPr>
        <w:pStyle w:val="ListBullet"/>
      </w:pPr>
      <w:r>
        <w:rPr>
          <w:rFonts w:ascii="Arial" w:hAnsi="Arial"/>
          <w:sz w:val="20"/>
        </w:rPr>
        <w:t>Прогноз соотношения спроса 60:40 в пользу малоэтажного жилья опирается на сохранение текущего уровня доступности земельных участков и инженерной инфраструктуры в пригородах.</w:t>
      </w:r>
    </w:p>
    <w:p>
      <w:pPr>
        <w:pStyle w:val="ListBullet"/>
      </w:pPr>
      <w:r>
        <w:rPr>
          <w:rFonts w:ascii="Arial" w:hAnsi="Arial"/>
          <w:sz w:val="20"/>
        </w:rPr>
        <w:t>Считается, что налоговые отчисления мигрантов и маятниковых работников остаются привязанными к месту работы (город-центр), а не к месту жительства (пригород), что создаёт устойчивый бюджетный дисбаланс.</w:t>
      </w:r>
    </w:p>
    <w:p>
      <w:pPr>
        <w:pStyle w:val="ListBullet"/>
      </w:pPr>
      <w:r>
        <w:rPr>
          <w:rFonts w:ascii="Arial" w:hAnsi="Arial"/>
          <w:sz w:val="20"/>
        </w:rPr>
        <w:t>Анализ предполагает, что снижение ввода многоквартирных домов в 2025 году является структурным сдвигом, а не временным циклическим спадом.</w:t>
      </w:r>
    </w:p>
    <w:p>
      <w:pPr>
        <w:pStyle w:val="Heading3"/>
      </w:pPr>
      <w:r>
        <w:rPr>
          <w:rFonts w:ascii="Arial" w:hAnsi="Arial"/>
          <w:color w:val="1B3A5C"/>
        </w:rPr>
        <w:t>Пробелы / куда копать</w:t>
      </w:r>
    </w:p>
    <w:p>
      <w:pPr>
        <w:pStyle w:val="ListBullet"/>
      </w:pPr>
      <w:r>
        <w:rPr>
          <w:rFonts w:ascii="Arial" w:hAnsi="Arial"/>
          <w:sz w:val="20"/>
        </w:rPr>
        <w:t>Отсутствуют свежие (2023–2025) данные Росстата/ВЦИОМ по динамике многопоколенных домохозяйств и их конкретным требованиям к планировкам (отдельные входы, санузлы, зоны приватности).</w:t>
      </w:r>
    </w:p>
    <w:p>
      <w:pPr>
        <w:pStyle w:val="ListBullet"/>
      </w:pPr>
      <w:r>
        <w:rPr>
          <w:rFonts w:ascii="Arial" w:hAnsi="Arial"/>
          <w:sz w:val="20"/>
        </w:rPr>
        <w:t>Нет детализированной аналитики ЦИАН/ДОМ.РФ по структуре спроса на ИЖС в привязке к доходу домохозяйств и доступности инженерных сетей в пригородах.</w:t>
      </w:r>
    </w:p>
    <w:p>
      <w:pPr>
        <w:pStyle w:val="ListBullet"/>
      </w:pPr>
      <w:r>
        <w:rPr>
          <w:rFonts w:ascii="Arial" w:hAnsi="Arial"/>
          <w:sz w:val="20"/>
        </w:rPr>
        <w:t>Отсутствуют количественные оценки влияния отмены/изменения льготных ипотечных программ на соотношение спроса МКД/ИЖС в 2024–2025 гг.</w:t>
      </w:r>
    </w:p>
    <w:p>
      <w:pPr>
        <w:pStyle w:val="ListBullet"/>
      </w:pPr>
      <w:r>
        <w:rPr>
          <w:rFonts w:ascii="Arial" w:hAnsi="Arial"/>
          <w:sz w:val="20"/>
        </w:rPr>
        <w:t>Не раскрыта типология арендного спроса одиноких домохозяйств: доля корпоративной аренды, сервисных апартаментов и классических студий в городах-миллионниках.</w:t>
      </w:r>
    </w:p>
    <w:p/>
    <w:p>
      <w:pPr>
        <w:pBdr>
          <w:left w:val="single" w:sz="36" w:space="6" w:color="C0392B"/>
        </w:pBdr>
      </w:pPr>
      <w:r>
        <w:rPr>
          <w:rFonts w:ascii="Arial" w:hAnsi="Arial"/>
          <w:b/>
          <w:color w:val="1B3A5C"/>
          <w:sz w:val="28"/>
        </w:rPr>
        <w:t>Социокультурные паттерны и урбанистика / Российские практики расселения</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Жильё превращается в финансовый инструмент (47% инвестиционных сделок), а дефицит 3+ комнатных квартир (14% предложения) подстёгивает субурбанизацию.</w:t>
      </w:r>
    </w:p>
    <w:p>
      <w:r>
        <w:rPr>
          <w:rFonts w:ascii="Arial" w:hAnsi="Arial"/>
          <w:b/>
          <w:color w:val="1B3A5C"/>
        </w:rPr>
        <w:t xml:space="preserve">Сильнейшая цифра: </w:t>
      </w:r>
      <w:r>
        <w:rPr>
          <w:rFonts w:ascii="Arial" w:hAnsi="Arial"/>
          <w:b/>
          <w:color w:val="2E86C1"/>
        </w:rPr>
        <w:t>Доля инвестиционных сделок достигла 47%, при этом 46% покупателей требуют 3+ комнат, а на рынке их лишь 14% (irn.ru, ДОМ.РФ).</w:t>
      </w:r>
    </w:p>
    <w:p>
      <w:r>
        <w:rPr>
          <w:rFonts w:ascii="Arial" w:hAnsi="Arial"/>
          <w:b/>
          <w:color w:val="1B3A5C"/>
        </w:rPr>
        <w:t xml:space="preserve">Главный пробел: </w:t>
      </w:r>
      <w:r>
        <w:rPr>
          <w:rFonts w:ascii="Arial" w:hAnsi="Arial"/>
        </w:rPr>
        <w:t>Отсутствуют свежие данные Росстата и ЦИАН за 2024–2025 гг. по фактической заполняемости пригородных посёлков.</w:t>
      </w:r>
    </w:p>
    <w:p>
      <w:r>
        <w:rPr>
          <w:rFonts w:ascii="Arial" w:hAnsi="Arial"/>
          <w:i/>
          <w:color w:val="555555"/>
          <w:sz w:val="18"/>
        </w:rPr>
        <w:t>Оценка: новизна 3/3 · конкретность 3/3 · применимость 3/3</w:t>
      </w:r>
    </w:p>
    <w:p>
      <w:r>
        <w:rPr>
          <w:rFonts w:ascii="Arial" w:hAnsi="Arial"/>
          <w:sz w:val="22"/>
        </w:rPr>
        <w:t>Российский рынок жилья в 2023–2025 гг. демонстрирует парадоксальную динамику: реальный спрос на покупку жилья для собственного проживания снижается, тогда как доля инвестиционных запросов достигает исторических максимумов. По данным совместных исследований ВЦИОМ и ДОМ.РФ, доля граждан, планирующих приобретение жилья в горизонте 3–5 лет, сократилась с 23% в 2023 году до 16% к концу 2025 года, а краткосрочные планы (до 1 года) упали до 7% [ВЦИОМ/ДОМ.РФ](https://wciom.ru/analytical-reviews/analiticheskii-obzor/svoja-krysha-nad-golovoi-ili-zhile-dlja-rossijan). Одновременно доля инвестиционных сделок на рынке недвижимости достигла 47%, а 43% покупок в сегменте новостроек финансируется за счёт льготных ипотечных программ [irn.ru](https://www.irn.ru/news/158582-domrf-i-vtsiom-sostavili-portret-pokupatelya.html). Это указывает на структурную трансформацию рынка: жильё всё чаще выступает финансовым инструментом, а не утилитарным активом, что поддерживается государственными субсидиями, но не отражает органический демографический или миграционный спрос.</w:t>
      </w:r>
    </w:p>
    <w:p>
      <w:r>
        <w:rPr>
          <w:rFonts w:ascii="Arial" w:hAnsi="Arial"/>
          <w:sz w:val="22"/>
        </w:rPr>
        <w:t>Пространственные предпочтения покупателей выявляют устойчивый разрыв между ожиданиями и реальным предложением. Более 90% респондентов ставят во главу угла транспортную доступность с временем в пути до работы не более часа, а 46% требуют планировки с тремя и более комнатами [ДОМ.РФ](https://blog.domclick.ru/novosti/post/klyuchevye-trendy-pervogo-polugodiya-2025-goda-na-rynke-nedvizhimosti-issledovanie). При этом доля таких квартир на рынке составляет лишь 14%, что формирует хронический дефицит семейного жилья в городах-миллионниках. В ответ на этот дефицит и ужесточение экологических требований растёт спрос на индивидуальное жилищное строительство (ИЖС): ежегодно возводится около 512 тыс. частных домов, где приоритетами выступают озеленение, экология и удалённость от промышленных зон [spb.gdeetotdom.ru](http://spb.gdeetotdom.ru/news/2061013-2026-03-06-rossiyane-rasskazali-o-planah-na-zhile-pochti-kazhdaya-pyataya-semya-namere/).</w:t>
      </w:r>
    </w:p>
    <w:p>
      <w:r>
        <w:rPr>
          <w:rFonts w:ascii="Arial" w:hAnsi="Arial"/>
          <w:sz w:val="22"/>
        </w:rPr>
        <w:t>Однако тренд на субурбанизацию сталкивается с системными инфраструктурными ограничениями. Исторически в 2010-е годы темпы роста населения пригородов в Сибирском и Дальневосточном округах превышали 100–120%, фиксируя миграционный отток из центров агломераций [imbt.ru](https://www.imbt.ru/upload/docs/publisher/2018/08/%D0%93%D1%80%D0%B8%D0%B3%D0%BE%D1%80%D0%B8%D1%87%D0%B5%D0%B2-%D0%9A.%D0%92..pdf). Несмотря на то, что дачные и садовые объединения охватывают до 50% крупногородских агломераций, переход к круглогодичному проживанию в коттеджах и таунхаусах тормозится слабой социальной и транспортной инфраструктурой пригородов [vestnik5.geogr.msu.ru](https://vestnik5.geogr.msu.ru/jour/article/view/157). Развитие автомобилизации и ипотеки в 2000–2020-х годах стимулировало рост организованных посёлков, но рынок земли остаётся несформированным, что консервирует субурбанизацию в сезонном формате [demoscope.ru](https://www.demoscope.ru/weekly/knigi/IDEM_library/pdf/book094.pdf). Таким образом, рост ИЖС в 2020-х годах скорее отражает вынужденную адаптацию к городскому дефициту, чем полноценную субурбанизацию западного образца.</w:t>
      </w:r>
    </w:p>
    <w:p>
      <w:r>
        <w:rPr>
          <w:rFonts w:ascii="Arial" w:hAnsi="Arial"/>
          <w:sz w:val="22"/>
        </w:rPr>
        <w:t>На микроуровне запрос к качеству городской среды радикально изменился. Современные стандарты проектирования дворовых пространств сместились от утилитарных детских площадок к многофункциональному зонированию с обязательным озеленением не менее 30% территории стационарными насаждениями [modern-construction.ru](https://modern-construction.ru/archive/12-43-2023-december/10.18454/mca.2023.43.1). Ключевым требованием стало создание инклюзивных зон для разных возрастных когорт и обязательное вовлечение жителей в предпроектный анализ [bsn.ru](https://www.bsn.ru/news/market/spb/49245_kakim_dolzhno_byt_sovremennoe_dvorovoe_prostranstvo/). Приоритеты безопасности также эволюционировали: внедряются нормативные требования к нескользким покрытиям, освещению проездов и строгому соответствию СНиП/СанПиН в рамках федеральных программ благоустройства [mos.ru](https://www.mos.ru/upload/documents/files/4128/RIOT_Standart_Kniga_4_Red_06042017_.pdf). Эти стандарты формируют новый базис ожиданий, который пока слабо транслируется в пригородную застройку.</w:t>
      </w:r>
    </w:p>
    <w:p>
      <w:r>
        <w:rPr>
          <w:rFonts w:ascii="Arial" w:hAnsi="Arial"/>
          <w:sz w:val="22"/>
        </w:rPr>
        <w:t>Конкурирующие гипотезы (ACH):</w:t>
        <w:br/>
        <w:t>1. Гипотеза А: Снижение планов на покупку жилья (23% → 16%) отражает реальное насыщение рынка и отложенный спрос из-за высоких ставок по рыночной ипотеке, тогда как рост инвестиционной доли (47%) — временный эффект льготных программ, который схлопнется после их отмены.</w:t>
        <w:br/>
        <w:t>2. Гипотеза Б: Рынок не насыщается, а трансформируется: жильё окончательно становится классом активов для сохранения капитала в условиях инфляции, а реальный спрос смещается в ИЖС и пригороды, где статистика учитывается фрагментарно.</w:t>
        <w:br/>
        <w:t>Оценка: Гипотеза А слабее обоснована, так как не учитывает устойчивый рост ввода ИЖС (512 тыс. домов/год) и структурный дефицит 3-комнатных квартир в городах, что указывает на переток спроса, а не на его исчезновение. Гипотеза Б лучше согласуется с данными о инфраструктурных барьерах субурбанизации и финансовизации новостроек.</w:t>
      </w:r>
    </w:p>
    <w:p>
      <w:pPr>
        <w:pStyle w:val="Heading3"/>
      </w:pPr>
      <w:r>
        <w:rPr>
          <w:rFonts w:ascii="Arial" w:hAnsi="Arial"/>
          <w:color w:val="1B3A5C"/>
        </w:rPr>
        <w:t>Источники</w:t>
      </w:r>
    </w:p>
    <w:p>
      <w:pPr>
        <w:pStyle w:val="ListBullet"/>
      </w:pPr>
      <w:r>
        <w:rPr>
          <w:rFonts w:ascii="Arial" w:hAnsi="Arial"/>
          <w:color w:val="2E86C1"/>
          <w:sz w:val="20"/>
        </w:rPr>
        <w:t>📊 Доля россиян, планирующих покупку жилья, снизилась с 23% (горизонт 5 лет) в 2023 году до 16% (горизонт 3 года) к концу 2025 года, при этом краткосрочные планы на 1 год упали до 7%.</w:t>
      </w:r>
      <w:r>
        <w:rPr>
          <w:rFonts w:ascii="Arial" w:hAnsi="Arial"/>
          <w:i/>
          <w:color w:val="555555"/>
          <w:sz w:val="18"/>
        </w:rPr>
        <w:t xml:space="preserve">  [primary] </w:t>
      </w:r>
      <w:r>
        <w:rPr>
          <w:rFonts w:ascii="Arial" w:hAnsi="Arial"/>
          <w:color w:val="555555"/>
          <w:sz w:val="18"/>
        </w:rPr>
        <w:t>https://wciom.ru/analytical-reviews/analiticheskii-obzor/svoja-krysha-nad-golovoi-ili-zhile-dlja-rossijan</w:t>
      </w:r>
    </w:p>
    <w:p>
      <w:pPr>
        <w:pStyle w:val="ListBullet"/>
      </w:pPr>
      <w:r>
        <w:rPr>
          <w:rFonts w:ascii="Arial" w:hAnsi="Arial"/>
          <w:color w:val="2E86C1"/>
          <w:sz w:val="20"/>
        </w:rPr>
        <w:t>📊 Более 90% покупателей квартир приоритизируют транспортную доступность (время в пути до работы ≤1 часа), а 46% требуют планировки с тремя и более комнатами, тогда как доля такого предложения на рынке составляет лишь 14%.</w:t>
      </w:r>
      <w:r>
        <w:rPr>
          <w:rFonts w:ascii="Arial" w:hAnsi="Arial"/>
          <w:i/>
          <w:color w:val="555555"/>
          <w:sz w:val="18"/>
        </w:rPr>
        <w:t xml:space="preserve">  [primary] </w:t>
      </w:r>
      <w:r>
        <w:rPr>
          <w:rFonts w:ascii="Arial" w:hAnsi="Arial"/>
          <w:color w:val="555555"/>
          <w:sz w:val="18"/>
        </w:rPr>
        <w:t>https://blog.domclick.ru/novosti/post/klyuchevye-trendy-pervogo-polugodiya-2025-goda-na-rynke-nedvizhimosti-issledovanie</w:t>
      </w:r>
    </w:p>
    <w:p>
      <w:pPr>
        <w:pStyle w:val="ListBullet"/>
      </w:pPr>
      <w:r>
        <w:rPr>
          <w:rFonts w:ascii="Arial" w:hAnsi="Arial"/>
          <w:color w:val="2E86C1"/>
          <w:sz w:val="20"/>
        </w:rPr>
        <w:t>📊 В 2025 году доля инвестиционных запросов на рынке недвижимости достигла рекордных 47%, при этом 43% сделок в сегменте новостроек финансируется за счёт льготных ипотечных программ.</w:t>
      </w:r>
      <w:r>
        <w:rPr>
          <w:rFonts w:ascii="Arial" w:hAnsi="Arial"/>
          <w:i/>
          <w:color w:val="555555"/>
          <w:sz w:val="18"/>
        </w:rPr>
        <w:t xml:space="preserve">  [secondary] </w:t>
      </w:r>
      <w:r>
        <w:rPr>
          <w:rFonts w:ascii="Arial" w:hAnsi="Arial"/>
          <w:color w:val="555555"/>
          <w:sz w:val="18"/>
        </w:rPr>
        <w:t>https://www.irn.ru/news/158582-domrf-i-vtsiom-sostavili-portret-pokupatelya.html</w:t>
      </w:r>
    </w:p>
    <w:p>
      <w:pPr>
        <w:pStyle w:val="ListBullet"/>
      </w:pPr>
      <w:r>
        <w:rPr>
          <w:rFonts w:ascii="Arial" w:hAnsi="Arial"/>
          <w:color w:val="2E86C1"/>
          <w:sz w:val="20"/>
        </w:rPr>
        <w:t>📊 Спрос на индивидуальное жилищное строительство (ИЖС) стабильно растёт, достигая 512 тыс. домов в год, при этом покупатели частных домов в приоритете ставят экологию, озеленение и удалённость от промышленных зон.</w:t>
      </w:r>
      <w:r>
        <w:rPr>
          <w:rFonts w:ascii="Arial" w:hAnsi="Arial"/>
          <w:i/>
          <w:color w:val="555555"/>
          <w:sz w:val="18"/>
        </w:rPr>
        <w:t xml:space="preserve">  [secondary] </w:t>
      </w:r>
      <w:r>
        <w:rPr>
          <w:rFonts w:ascii="Arial" w:hAnsi="Arial"/>
          <w:color w:val="555555"/>
          <w:sz w:val="18"/>
        </w:rPr>
        <w:t>http://spb.gdeetotdom.ru/news/2061013-2026-03-06-rossiyane-rasskazali-o-planah-na-zhile-pochti-kazhdaya-pyataya-semya-namere/</w:t>
      </w:r>
    </w:p>
    <w:p>
      <w:pPr>
        <w:pStyle w:val="ListBullet"/>
      </w:pPr>
      <w:r>
        <w:rPr>
          <w:rFonts w:ascii="Arial" w:hAnsi="Arial"/>
          <w:color w:val="2E86C1"/>
          <w:sz w:val="20"/>
        </w:rPr>
        <w:t>📊 В 2010-е гг. темпы роста населения пригородов в Сибирском федеральном округе превысили 122%, а в Дальневосточном — 106%, что фиксирует устойчивую миграцию из городов в пригороды крупных агломераций.</w:t>
      </w:r>
      <w:r>
        <w:rPr>
          <w:rFonts w:ascii="Arial" w:hAnsi="Arial"/>
          <w:i/>
          <w:color w:val="555555"/>
          <w:sz w:val="18"/>
        </w:rPr>
        <w:t xml:space="preserve">  [secondary] </w:t>
      </w:r>
      <w:r>
        <w:rPr>
          <w:rFonts w:ascii="Arial" w:hAnsi="Arial"/>
          <w:color w:val="555555"/>
          <w:sz w:val="18"/>
        </w:rPr>
        <w:t>https://www.imbt.ru/upload/docs/publisher/2018/08/%D0%93%D1%80%D0%B8%D0%B3%D0%BE%D1%80%D0%B8%D1%87%D0%B5%D0%B2-%D0%9A.%D0%92..pdf</w:t>
      </w:r>
    </w:p>
    <w:p>
      <w:pPr>
        <w:pStyle w:val="ListBullet"/>
      </w:pPr>
      <w:r>
        <w:rPr>
          <w:rFonts w:ascii="Arial" w:hAnsi="Arial"/>
          <w:color w:val="2E86C1"/>
          <w:sz w:val="20"/>
        </w:rPr>
        <w:t>📊 Дачные и садовые объединения преобладают в 50% крупногородских агломераций РФ, однако переход к постоянному проживанию в коттеджах и таунхаусах сдерживается слабой социальной и транспортной инфраструктурой пригородов.</w:t>
      </w:r>
      <w:r>
        <w:rPr>
          <w:rFonts w:ascii="Arial" w:hAnsi="Arial"/>
          <w:i/>
          <w:color w:val="555555"/>
          <w:sz w:val="18"/>
        </w:rPr>
        <w:t xml:space="preserve">  [secondary] </w:t>
      </w:r>
      <w:r>
        <w:rPr>
          <w:rFonts w:ascii="Arial" w:hAnsi="Arial"/>
          <w:color w:val="555555"/>
          <w:sz w:val="18"/>
        </w:rPr>
        <w:t>https://vestnik5.geogr.msu.ru/jour/article/view/157</w:t>
      </w:r>
    </w:p>
    <w:p>
      <w:pPr>
        <w:pStyle w:val="ListBullet"/>
      </w:pPr>
      <w:r>
        <w:rPr>
          <w:rFonts w:ascii="Arial" w:hAnsi="Arial"/>
          <w:sz w:val="20"/>
        </w:rPr>
        <w:t>С 2000-х гг. автомобилизация и развитие ипотечного рынка стимулировали рост организованных коттеджных посёлков и таунхаусов в крупнейших городах, но субурбанизация в РФ остаётся преимущественно сезонной из-за несформированного рынка земли.</w:t>
      </w:r>
      <w:r>
        <w:rPr>
          <w:rFonts w:ascii="Arial" w:hAnsi="Arial"/>
          <w:i/>
          <w:color w:val="555555"/>
          <w:sz w:val="18"/>
        </w:rPr>
        <w:t xml:space="preserve">  [secondary] </w:t>
      </w:r>
      <w:r>
        <w:rPr>
          <w:rFonts w:ascii="Arial" w:hAnsi="Arial"/>
          <w:color w:val="555555"/>
          <w:sz w:val="18"/>
        </w:rPr>
        <w:t>https://www.demoscope.ru/weekly/knigi/IDEM_library/pdf/book094.pdf</w:t>
      </w:r>
    </w:p>
    <w:p>
      <w:pPr>
        <w:pStyle w:val="ListBullet"/>
      </w:pPr>
      <w:r>
        <w:rPr>
          <w:rFonts w:ascii="Arial" w:hAnsi="Arial"/>
          <w:color w:val="2E86C1"/>
          <w:sz w:val="20"/>
        </w:rPr>
        <w:t>📊 Запрос к дворовым пространствам сместился от стандартных детских площадок к многофункциональному зонированию, при этом современные нормативы требуют озеленения не менее 30% территории двора стационарными насаждениями.</w:t>
      </w:r>
      <w:r>
        <w:rPr>
          <w:rFonts w:ascii="Arial" w:hAnsi="Arial"/>
          <w:i/>
          <w:color w:val="555555"/>
          <w:sz w:val="18"/>
        </w:rPr>
        <w:t xml:space="preserve">  [secondary] </w:t>
      </w:r>
      <w:r>
        <w:rPr>
          <w:rFonts w:ascii="Arial" w:hAnsi="Arial"/>
          <w:color w:val="555555"/>
          <w:sz w:val="18"/>
        </w:rPr>
        <w:t>https://modern-construction.ru/archive/12-43-2023-december/10.18454/mca.2023.43.1</w:t>
      </w:r>
    </w:p>
    <w:p>
      <w:pPr>
        <w:pStyle w:val="ListBullet"/>
      </w:pPr>
      <w:r>
        <w:rPr>
          <w:rFonts w:ascii="Arial" w:hAnsi="Arial"/>
          <w:sz w:val="20"/>
        </w:rPr>
        <w:t>Требования к социальной инфраструктуре дворов включают создание инклюзивных зон для подростков, родителей и пожилых людей, а ключевым условием проектирования стало обязательное вовлечение жителей через опросы и предпроектный анализ.</w:t>
      </w:r>
      <w:r>
        <w:rPr>
          <w:rFonts w:ascii="Arial" w:hAnsi="Arial"/>
          <w:i/>
          <w:color w:val="555555"/>
          <w:sz w:val="18"/>
        </w:rPr>
        <w:t xml:space="preserve">  [secondary] </w:t>
      </w:r>
      <w:r>
        <w:rPr>
          <w:rFonts w:ascii="Arial" w:hAnsi="Arial"/>
          <w:color w:val="555555"/>
          <w:sz w:val="18"/>
        </w:rPr>
        <w:t>https://www.bsn.ru/news/market/spb/49245_kakim_dolzhno_byt_sovremennoe_dvorovoe_prostranstvo/</w:t>
      </w:r>
    </w:p>
    <w:p>
      <w:pPr>
        <w:pStyle w:val="ListBullet"/>
      </w:pPr>
      <w:r>
        <w:rPr>
          <w:rFonts w:ascii="Arial" w:hAnsi="Arial"/>
          <w:sz w:val="20"/>
        </w:rPr>
        <w:t>Приоритеты безопасности дворовых пространств сместились в сторону внедрения современных нескользких покрытий, нормативного освещения проездов и строгого соблюдения стандартов СНиП и СанПиН в рамках федерального проекта «Формирование комфортной городской среды».</w:t>
      </w:r>
      <w:r>
        <w:rPr>
          <w:rFonts w:ascii="Arial" w:hAnsi="Arial"/>
          <w:i/>
          <w:color w:val="555555"/>
          <w:sz w:val="18"/>
        </w:rPr>
        <w:t xml:space="preserve">  [primary] </w:t>
      </w:r>
      <w:r>
        <w:rPr>
          <w:rFonts w:ascii="Arial" w:hAnsi="Arial"/>
          <w:color w:val="555555"/>
          <w:sz w:val="18"/>
        </w:rPr>
        <w:t>https://www.mos.ru/upload/documents/files/4128/RIOT_Standart_Kniga_4_Red_06042017_.pdf</w:t>
      </w:r>
    </w:p>
    <w:p>
      <w:pPr>
        <w:pStyle w:val="Heading3"/>
      </w:pPr>
      <w:r>
        <w:rPr>
          <w:rFonts w:ascii="Arial" w:hAnsi="Arial"/>
          <w:color w:val="1B3A5C"/>
        </w:rPr>
        <w:t>Ключевые допущения</w:t>
      </w:r>
    </w:p>
    <w:p>
      <w:pPr>
        <w:pStyle w:val="ListBullet"/>
      </w:pPr>
      <w:r>
        <w:rPr>
          <w:rFonts w:ascii="Arial" w:hAnsi="Arial"/>
          <w:sz w:val="20"/>
        </w:rPr>
        <w:t>Данные ВЦИОМ/ДОМ.РФ за 2023–2025 гг. принимаются как репрезентативные для всей РФ, несмотря на возможную выборочную погрешность в малых городах.</w:t>
      </w:r>
    </w:p>
    <w:p>
      <w:pPr>
        <w:pStyle w:val="ListBullet"/>
      </w:pPr>
      <w:r>
        <w:rPr>
          <w:rFonts w:ascii="Arial" w:hAnsi="Arial"/>
          <w:sz w:val="20"/>
        </w:rPr>
        <w:t>Тренд на рост ИЖС (512 тыс. домов) интерпретируется как прямое следствие дефицита городского жилья, а не как самостоятельный демографический сдвиг.</w:t>
      </w:r>
    </w:p>
    <w:p>
      <w:pPr>
        <w:pStyle w:val="ListBullet"/>
      </w:pPr>
      <w:r>
        <w:rPr>
          <w:rFonts w:ascii="Arial" w:hAnsi="Arial"/>
          <w:sz w:val="20"/>
        </w:rPr>
        <w:t>Инфраструктурные ограничения пригородов, описанные в источниках 2018–2023 гг., сохраняют актуальность в 2024–2025 гг. без учёта возможных локальных улучшений.</w:t>
      </w:r>
    </w:p>
    <w:p>
      <w:pPr>
        <w:pStyle w:val="ListBullet"/>
      </w:pPr>
      <w:r>
        <w:rPr>
          <w:rFonts w:ascii="Arial" w:hAnsi="Arial"/>
          <w:sz w:val="20"/>
        </w:rPr>
        <w:t>Доля инвестиционных сделок (47%) рассматривается как индикатор финансового поведения, а не как спекулятивный пузырь, несмотря на отсутствие данных о вторичном рынке.</w:t>
      </w:r>
    </w:p>
    <w:p>
      <w:pPr>
        <w:pStyle w:val="ListBullet"/>
      </w:pPr>
      <w:r>
        <w:rPr>
          <w:rFonts w:ascii="Arial" w:hAnsi="Arial"/>
          <w:sz w:val="20"/>
        </w:rPr>
        <w:t>Нормативы благоустройства дворов (30% озеленения, инклюзивность) принимаются как общероссийский стандарт, хотя источники преимущественно ссылаются на московские практики.</w:t>
      </w:r>
    </w:p>
    <w:p>
      <w:pPr>
        <w:pStyle w:val="ListBullet"/>
      </w:pPr>
      <w:r>
        <w:rPr>
          <w:rFonts w:ascii="Arial" w:hAnsi="Arial"/>
          <w:sz w:val="20"/>
        </w:rPr>
        <w:t>Снижение планов на покупку жилья (23% → 16%) трактуется как отложенный спрос, а не как структурное изменение потребительских предпочтений в пользу аренды.</w:t>
      </w:r>
    </w:p>
    <w:p>
      <w:pPr>
        <w:pStyle w:val="Heading3"/>
      </w:pPr>
      <w:r>
        <w:rPr>
          <w:rFonts w:ascii="Arial" w:hAnsi="Arial"/>
          <w:color w:val="1B3A5C"/>
        </w:rPr>
        <w:t>Пробелы / куда копать</w:t>
      </w:r>
    </w:p>
    <w:p>
      <w:pPr>
        <w:pStyle w:val="ListBullet"/>
      </w:pPr>
      <w:r>
        <w:rPr>
          <w:rFonts w:ascii="Arial" w:hAnsi="Arial"/>
          <w:sz w:val="20"/>
        </w:rPr>
        <w:t>Отсутствуют свежие данные Росстата и ЦИАН за 2024–2025 гг. по фактической заполняемости пригородных посёлков (сезонная vs круглогодичная) и динамике цен на таунхаусы.</w:t>
      </w:r>
    </w:p>
    <w:p>
      <w:pPr>
        <w:pStyle w:val="ListBullet"/>
      </w:pPr>
      <w:r>
        <w:rPr>
          <w:rFonts w:ascii="Arial" w:hAnsi="Arial"/>
          <w:sz w:val="20"/>
        </w:rPr>
        <w:t>Нет региональной разбивки спроса на ИЖС: неясно, является ли рост на 512 тыс. домов общероссийским трендом или сконцентрирован в 3–5 крупнейших агломерациях.</w:t>
      </w:r>
    </w:p>
    <w:p>
      <w:pPr>
        <w:pStyle w:val="ListBullet"/>
      </w:pPr>
      <w:r>
        <w:rPr>
          <w:rFonts w:ascii="Arial" w:hAnsi="Arial"/>
          <w:sz w:val="20"/>
        </w:rPr>
        <w:t>Отсутствует анализ корреляции между отменой/изменением льготных ипотечных программ и долей инвестиционных сделок (47%) на вторичном рынке.</w:t>
      </w:r>
    </w:p>
    <w:p>
      <w:pPr>
        <w:pStyle w:val="ListBullet"/>
      </w:pPr>
      <w:r>
        <w:rPr>
          <w:rFonts w:ascii="Arial" w:hAnsi="Arial"/>
          <w:sz w:val="20"/>
        </w:rPr>
        <w:t>Нет данных о фактической реализации нормативов благоустройства дворов (30% озеленения, инклюзивность) за пределами Москвы и Санкт-Петербурга.</w:t>
      </w:r>
    </w:p>
    <w:p>
      <w:pPr>
        <w:pStyle w:val="ListBullet"/>
      </w:pPr>
      <w:r>
        <w:rPr>
          <w:rFonts w:ascii="Arial" w:hAnsi="Arial"/>
          <w:sz w:val="20"/>
        </w:rPr>
        <w:t>Не исследована роль цифровых платформ и удалённой работы в изменении паттернов расселения после 2022 года.</w:t>
      </w:r>
    </w:p>
    <w:p/>
    <w:p>
      <w:pPr>
        <w:pBdr>
          <w:left w:val="single" w:sz="36" w:space="6" w:color="C0392B"/>
        </w:pBdr>
      </w:pPr>
      <w:r>
        <w:rPr>
          <w:rFonts w:ascii="Arial" w:hAnsi="Arial"/>
          <w:b/>
          <w:color w:val="1B3A5C"/>
          <w:sz w:val="28"/>
        </w:rPr>
        <w:t>Технологии и цифровизация строительства / Нормативная адаптация в РФ</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С 2025–2026 гг. BIM и СОД становятся обязательными по ГОСТам, формируя жёсткий контур цифрового суверенитета, но отрасль к нему не готова.</w:t>
      </w:r>
    </w:p>
    <w:p>
      <w:r>
        <w:rPr>
          <w:rFonts w:ascii="Arial" w:hAnsi="Arial"/>
          <w:b/>
          <w:color w:val="1B3A5C"/>
        </w:rPr>
        <w:t xml:space="preserve">Сильнейшая цифра: </w:t>
      </w:r>
      <w:r>
        <w:rPr>
          <w:rFonts w:ascii="Arial" w:hAnsi="Arial"/>
          <w:b/>
          <w:color w:val="2E86C1"/>
        </w:rPr>
        <w:t>С 1 января 2025 г. ТИМ/BIM обязателен для застройщиков МКД по Постановлению № 331 (Минстрой РФ).</w:t>
      </w:r>
    </w:p>
    <w:p>
      <w:r>
        <w:rPr>
          <w:rFonts w:ascii="Arial" w:hAnsi="Arial"/>
          <w:b/>
          <w:color w:val="1B3A5C"/>
        </w:rPr>
        <w:t xml:space="preserve">Главный пробел: </w:t>
      </w:r>
      <w:r>
        <w:rPr>
          <w:rFonts w:ascii="Arial" w:hAnsi="Arial"/>
        </w:rPr>
        <w:t>Запросить полные тексты новых ГОСТов для анализа штрафных санкций и механизмов контроля соблюдения.</w:t>
      </w:r>
    </w:p>
    <w:p>
      <w:r>
        <w:rPr>
          <w:rFonts w:ascii="Arial" w:hAnsi="Arial"/>
          <w:i/>
          <w:color w:val="555555"/>
          <w:sz w:val="18"/>
        </w:rPr>
        <w:t>Оценка: новизна 3/3 · конкретность 3/3 · применимость 3/3</w:t>
      </w:r>
    </w:p>
    <w:p>
      <w:r>
        <w:rPr>
          <w:rFonts w:ascii="Arial" w:hAnsi="Arial"/>
          <w:sz w:val="22"/>
        </w:rPr>
        <w:t>Нормативная адаптация строительной отрасли РФ к цифровой трансформации в период 2025–2030 гг. характеризуется резким переходом от рекомендательных практик к системе жестких обязательных требований. Ключевым триггером выступают поправки к [Постановлению Правительства РФ № 331](https://minstroyrf.gov.ru/docs/473637/), которые с 1 января 2025 г. делают применение технологий информационного моделирования (ТИМ/BIM) обязательным для застройщиков многоквартирных домов в долевом строительстве, включая проекты, разработанные до 1 июля 2024 г. Это создает беспрецедентный регуляторный прессинг на девелоперский сегмент, вынуждая его форсировать цифровизацию независимо от внутренней готовности.</w:t>
      </w:r>
    </w:p>
    <w:p>
      <w:r>
        <w:rPr>
          <w:rFonts w:ascii="Arial" w:hAnsi="Arial"/>
          <w:sz w:val="22"/>
        </w:rPr>
        <w:t>Параллельно формируется технический каркас стандартизации. С 1 июня 2026 г. вступает в силу [ГОСТ Р 10.00.00.05-2025](https://gostassistent.ru/article/kakie-trebovaniya-minstroya-k-otechestvennym-bim-i-cad-sistemam-k-2025-godu), законодательно закрепляющий обязательное использование Среды общих данных (СОД), XML-схем для прохождения Госэкспертизы и SMART-документов на всех этапах жизненного цикла объекта. Годом ранее начинает действовать [ГОСТ Р 10.00.00.01-2025](https://gostassistent.ru/article/kakie-trebovaniya-minstroya-k-otechestvennym-bim-i-cad-sistemam-k-2025-godu), унифицирующий терминологию (более 70 определений), правила ведения моделей, классификаторы, форматы обмена и уровни детализации (LOD). Эти документы, совместно с дорожной картой Минстроя и Минцифры по переходу на отечественное САПР/ТИМ к концу 2025 г. [Минстрой РФ, 2024], формируют замкнутый контур: от проектирования до сдачи объекта данные должны циркулировать в строго регламентированном цифровом формате.</w:t>
      </w:r>
    </w:p>
    <w:p>
      <w:r>
        <w:rPr>
          <w:rFonts w:ascii="Arial" w:hAnsi="Arial"/>
          <w:sz w:val="22"/>
        </w:rPr>
        <w:t>Однако российская нормативная модель сознательно дистанцируется от международных аналогов. В отличие от универсального управленческого стандарта ISO 19650, российские ГОСТы, разработанные на базе его частей 1–2 с 2019 г., жестко привязаны к интеграции с государственными информационными системами (ГИС) и приоритету отечественного ПО [altecsystems.ru]. Прямое внедрение ISO 19650 было отклонено Росстандартом как избыточно детализированное и несовместимое с локальными строительными традициями; вместо этого с 2022 г. для госзаказа действуют неэквивалентные национальные стандарты [iastr.ru]. Данная адаптация решает задачи цифрового суверенитета и контроля, но создает риск технологической изоляции и усложняет взаимодействие с иностранными подрядчиками.</w:t>
      </w:r>
    </w:p>
    <w:p>
      <w:r>
        <w:rPr>
          <w:rFonts w:ascii="Arial" w:hAnsi="Arial"/>
          <w:sz w:val="22"/>
        </w:rPr>
        <w:t>Разрыв между регуляторными требованиями и отраслевой зрелостью остается критическим. Несмотря на усиленные требования Минстроя к миграции на российские BIM/CAD-решения, лишь 19% предприятий РФ имеют конкретные планы по переходу на отечественное ПО в 2025 г. [gostassistent.ru]. Низкая готовность инфраструктуры, разобщенность информационных потоков и отсутствие единой СОД на уровне большинства компаний формируют структурные барьеры не только для базовой цифровизации, но и для внедрения роботизации, которая требует зрелой BIM-инфраструктуры и стандартизированного обмена данными в реальном времени [sarex.io].</w:t>
      </w:r>
    </w:p>
    <w:p>
      <w:r>
        <w:rPr>
          <w:rFonts w:ascii="Arial" w:hAnsi="Arial"/>
          <w:sz w:val="22"/>
        </w:rPr>
        <w:t>В стратегическом горизонте до 2030 г. (с прогнозом до 2036 г.) ведомства готовят план технологического развития, предусматривающий обязательную цифровизацию всех этапов, развертывание 5G-инфраструктуры, доведение доли стальных каркасов с 1% до 7% и обеспечение 97% покрытия интернетом [geoinfo.ru]. Здесь возникает конкурирующая гипотеза относительно траектории внедрения. **Гипотеза А (принудительная цифровизация):** жесткие нормативные дедлайны и привязка к госзаказу/долевому строительству форсируют массовый переход, несмотря на высокие издержки и дефицит кадров. **Гипотеза Б (формальное соответствие и теневые практики):** из-за незрелости отечественного ПО (19% готовности) и фрагментации СОД отрасль перейдет к «бумажно-цифровому» дублированию, где модели создаются постфактум для сдачи отчетности, а реальное управление стройкой останется аналоговым. На текущий момент Гипотеза Б выглядит слабее обоснованной в сегменте крупного госзаказа (где контроль жестче), но вполне вероятна для частного девелопмента и региональных подрядчиков, где регуляторное давление пока ниже.</w:t>
      </w:r>
    </w:p>
    <w:p>
      <w:r>
        <w:rPr>
          <w:rFonts w:ascii="Arial" w:hAnsi="Arial"/>
          <w:sz w:val="22"/>
        </w:rPr>
        <w:t>Таким образом, нормативная адаптация в РФ движется по пути жесткой стандартизации и цифрового суверенитета, но ее эффективность будет определяться не столько текстами ГОСТов, сколько скоростью преодоления инфраструктурных и кадровых разрывов, а также реальной готовностью рынка к работе в единой цифровой среде.</w:t>
      </w:r>
    </w:p>
    <w:p>
      <w:pPr>
        <w:pStyle w:val="Heading3"/>
      </w:pPr>
      <w:r>
        <w:rPr>
          <w:rFonts w:ascii="Arial" w:hAnsi="Arial"/>
          <w:color w:val="1B3A5C"/>
        </w:rPr>
        <w:t>Источники</w:t>
      </w:r>
    </w:p>
    <w:p>
      <w:pPr>
        <w:pStyle w:val="ListBullet"/>
      </w:pPr>
      <w:r>
        <w:rPr>
          <w:rFonts w:ascii="Arial" w:hAnsi="Arial"/>
          <w:color w:val="2E86C1"/>
          <w:sz w:val="20"/>
        </w:rPr>
        <w:t>📊 С 1 января 2025 г. применение ТИМ/BIM становится обязательным для застройщиков МКД в долевом строительстве согласно поправкам к Постановлению № 331.</w:t>
      </w:r>
      <w:r>
        <w:rPr>
          <w:rFonts w:ascii="Arial" w:hAnsi="Arial"/>
          <w:i/>
          <w:color w:val="555555"/>
          <w:sz w:val="18"/>
        </w:rPr>
        <w:t xml:space="preserve">  [primary] </w:t>
      </w:r>
      <w:r>
        <w:rPr>
          <w:rFonts w:ascii="Arial" w:hAnsi="Arial"/>
          <w:color w:val="555555"/>
          <w:sz w:val="18"/>
        </w:rPr>
        <w:t>https://minstroyrf.gov.ru/docs/473637/</w:t>
      </w:r>
    </w:p>
    <w:p>
      <w:pPr>
        <w:pStyle w:val="ListBullet"/>
      </w:pPr>
      <w:r>
        <w:rPr>
          <w:rFonts w:ascii="Arial" w:hAnsi="Arial"/>
          <w:color w:val="2E86C1"/>
          <w:sz w:val="20"/>
        </w:rPr>
        <w:t>📊 С 1 июня 2026 г. вступает в силу ГОСТ Р 10.00.00.05-2025, обязывающий использовать СОД, XML-схемы для Госэкспертизы и SMART-документы.</w:t>
      </w:r>
      <w:r>
        <w:rPr>
          <w:rFonts w:ascii="Arial" w:hAnsi="Arial"/>
          <w:i/>
          <w:color w:val="555555"/>
          <w:sz w:val="18"/>
        </w:rPr>
        <w:t xml:space="preserve">  [primary] </w:t>
      </w:r>
      <w:r>
        <w:rPr>
          <w:rFonts w:ascii="Arial" w:hAnsi="Arial"/>
          <w:color w:val="555555"/>
          <w:sz w:val="18"/>
        </w:rPr>
        <w:t>https://gostassistent.ru/article/kakie-trebovaniya-minstroya-k-otechestvennym-bim-i-cad-sistemam-k-2025-godu</w:t>
      </w:r>
    </w:p>
    <w:p>
      <w:pPr>
        <w:pStyle w:val="ListBullet"/>
      </w:pPr>
      <w:r>
        <w:rPr>
          <w:rFonts w:ascii="Arial" w:hAnsi="Arial"/>
          <w:color w:val="2E86C1"/>
          <w:sz w:val="20"/>
        </w:rPr>
        <w:t>📊 В 2026 г. начинает действовать ГОСТ Р 10.00.00.01-2025, фиксирующий более 70 терминов, правила ведения моделей, классификаторы и уровни детализации (LOD).</w:t>
      </w:r>
      <w:r>
        <w:rPr>
          <w:rFonts w:ascii="Arial" w:hAnsi="Arial"/>
          <w:i/>
          <w:color w:val="555555"/>
          <w:sz w:val="18"/>
        </w:rPr>
        <w:t xml:space="preserve">  [primary] </w:t>
      </w:r>
      <w:r>
        <w:rPr>
          <w:rFonts w:ascii="Arial" w:hAnsi="Arial"/>
          <w:color w:val="555555"/>
          <w:sz w:val="18"/>
        </w:rPr>
        <w:t>https://gostassistent.ru/article/kakie-trebovaniya-minstroya-k-otechestvennym-bim-i-cad-sistemam-k-2025-godu</w:t>
      </w:r>
    </w:p>
    <w:p>
      <w:pPr>
        <w:pStyle w:val="ListBullet"/>
      </w:pPr>
      <w:r>
        <w:rPr>
          <w:rFonts w:ascii="Arial" w:hAnsi="Arial"/>
          <w:color w:val="2E86C1"/>
          <w:sz w:val="20"/>
        </w:rPr>
        <w:t>📊 Только 19% предприятий РФ имеют планы по переходу на российское ПО в 2025 г., несмотря на требования Минстроя.</w:t>
      </w:r>
      <w:r>
        <w:rPr>
          <w:rFonts w:ascii="Arial" w:hAnsi="Arial"/>
          <w:i/>
          <w:color w:val="555555"/>
          <w:sz w:val="18"/>
        </w:rPr>
        <w:t xml:space="preserve">  [secondary] </w:t>
      </w:r>
      <w:r>
        <w:rPr>
          <w:rFonts w:ascii="Arial" w:hAnsi="Arial"/>
          <w:color w:val="555555"/>
          <w:sz w:val="18"/>
        </w:rPr>
        <w:t>https://gostassistent.ru/article/kakie-trebovaniya-minstroya-k-otechestvennym-bim-i-cad-sistemam-k-2025-godu</w:t>
      </w:r>
    </w:p>
    <w:p>
      <w:pPr>
        <w:pStyle w:val="ListBullet"/>
      </w:pPr>
      <w:r>
        <w:rPr>
          <w:rFonts w:ascii="Arial" w:hAnsi="Arial"/>
          <w:color w:val="2E86C1"/>
          <w:sz w:val="20"/>
        </w:rPr>
        <w:t>📊 Российские стандарты адаптированы под интеграцию с ГИС и приоритет отечественного ПО, тогда как прямое внедрение ISO 19650 отклонено Росстандартом из-за несовместимости с локальными традициями.</w:t>
      </w:r>
      <w:r>
        <w:rPr>
          <w:rFonts w:ascii="Arial" w:hAnsi="Arial"/>
          <w:i/>
          <w:color w:val="555555"/>
          <w:sz w:val="18"/>
        </w:rPr>
        <w:t xml:space="preserve">  [secondary] </w:t>
      </w:r>
      <w:r>
        <w:rPr>
          <w:rFonts w:ascii="Arial" w:hAnsi="Arial"/>
          <w:color w:val="555555"/>
          <w:sz w:val="18"/>
        </w:rPr>
        <w:t>https://altecsystems.ru/bim-standarty-v-rossii/</w:t>
      </w:r>
    </w:p>
    <w:p>
      <w:pPr>
        <w:pStyle w:val="ListBullet"/>
      </w:pPr>
      <w:r>
        <w:rPr>
          <w:rFonts w:ascii="Arial" w:hAnsi="Arial"/>
          <w:color w:val="2E86C1"/>
          <w:sz w:val="20"/>
        </w:rPr>
        <w:t>📊 Отсутствие единой СОД и разобщенность потоков данных формируют структурные барьеры для роботизации, требующей зрелой BIM-инфраструктуры.</w:t>
      </w:r>
      <w:r>
        <w:rPr>
          <w:rFonts w:ascii="Arial" w:hAnsi="Arial"/>
          <w:i/>
          <w:color w:val="555555"/>
          <w:sz w:val="18"/>
        </w:rPr>
        <w:t xml:space="preserve">  [secondary] </w:t>
      </w:r>
      <w:r>
        <w:rPr>
          <w:rFonts w:ascii="Arial" w:hAnsi="Arial"/>
          <w:color w:val="555555"/>
          <w:sz w:val="18"/>
        </w:rPr>
        <w:t>https://www.sarex.io/media/articles/cifrovizaciya-i-avtomatizaciya-stroitelnoy-otrasli</w:t>
      </w:r>
    </w:p>
    <w:p>
      <w:pPr>
        <w:pStyle w:val="ListBullet"/>
      </w:pPr>
      <w:r>
        <w:rPr>
          <w:rFonts w:ascii="Arial" w:hAnsi="Arial"/>
          <w:color w:val="2E86C1"/>
          <w:sz w:val="20"/>
        </w:rPr>
        <w:t>📊 План технологического развития до 2030 г. предусматривает обязательную цифровизацию, внедрение 5G, рост доли стальных каркасов до 7% и 97% покрытие интернетом.</w:t>
      </w:r>
      <w:r>
        <w:rPr>
          <w:rFonts w:ascii="Arial" w:hAnsi="Arial"/>
          <w:i/>
          <w:color w:val="555555"/>
          <w:sz w:val="18"/>
        </w:rPr>
        <w:t xml:space="preserve">  [secondary] </w:t>
      </w:r>
      <w:r>
        <w:rPr>
          <w:rFonts w:ascii="Arial" w:hAnsi="Arial"/>
          <w:color w:val="555555"/>
          <w:sz w:val="18"/>
        </w:rPr>
        <w:t>https://geoinfo.ru/product/sluzhba-novostej-geoinfo/v-rf-sozdadut-dorozhnuyu-kartu-cifrovogo-razvitiya-stroitelnoj-otrasli-do-2030-goda-58479.shtml</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заявленные сроки вступления в силу ГОСТов (2025–2026) не будут перенесены, несмотря на историю сдвигов в предыдущих инициативах цифровизации.</w:t>
      </w:r>
    </w:p>
    <w:p>
      <w:pPr>
        <w:pStyle w:val="ListBullet"/>
      </w:pPr>
      <w:r>
        <w:rPr>
          <w:rFonts w:ascii="Arial" w:hAnsi="Arial"/>
          <w:sz w:val="20"/>
        </w:rPr>
        <w:t>Данные о 19% готовности к переходу на отечественное ПО экстраполируются на всю отрасль, хотя выборка может быть смещена в сторону крупных игроков с доступом к аналитике.</w:t>
      </w:r>
    </w:p>
    <w:p>
      <w:pPr>
        <w:pStyle w:val="ListBullet"/>
      </w:pPr>
      <w:r>
        <w:rPr>
          <w:rFonts w:ascii="Arial" w:hAnsi="Arial"/>
          <w:sz w:val="20"/>
        </w:rPr>
        <w:t>Связь между зрелостью BIM-инфраструктуры и барьерами для роботизации принимается как прямая причинно-следственная, без учета нишевых автономных решений, не требующих полной СОД.</w:t>
      </w:r>
    </w:p>
    <w:p>
      <w:pPr>
        <w:pStyle w:val="ListBullet"/>
      </w:pPr>
      <w:r>
        <w:rPr>
          <w:rFonts w:ascii="Arial" w:hAnsi="Arial"/>
          <w:sz w:val="20"/>
        </w:rPr>
        <w:t>Интерпретация отказа от прямого внедрения ISO 19650 как стратегии «цифрового суверенитета» основана на вторичных аналитических обзорах, а не на официальных заявлениях Росстандарта.</w:t>
      </w:r>
    </w:p>
    <w:p>
      <w:pPr>
        <w:pStyle w:val="ListBullet"/>
      </w:pPr>
      <w:r>
        <w:rPr>
          <w:rFonts w:ascii="Arial" w:hAnsi="Arial"/>
          <w:sz w:val="20"/>
        </w:rPr>
        <w:t>Прогнозные показатели плана до 2030 г. (5G, 97% покрытия, 7% стальных каркасов) рассматриваются как целевые ориентиры, а не гарантированные результаты, зависящие от макроэкономической конъюнктуры.</w:t>
      </w:r>
    </w:p>
    <w:p>
      <w:pPr>
        <w:pStyle w:val="Heading3"/>
      </w:pPr>
      <w:r>
        <w:rPr>
          <w:rFonts w:ascii="Arial" w:hAnsi="Arial"/>
          <w:color w:val="1B3A5C"/>
        </w:rPr>
        <w:t>Пробелы / куда копать</w:t>
      </w:r>
    </w:p>
    <w:p>
      <w:pPr>
        <w:pStyle w:val="ListBullet"/>
      </w:pPr>
      <w:r>
        <w:rPr>
          <w:rFonts w:ascii="Arial" w:hAnsi="Arial"/>
          <w:sz w:val="20"/>
        </w:rPr>
        <w:t>Запросить полные тексты ГОСТ Р 10.00.00.05-2025 и ГОСТ Р 10.00.00.01-2025 для анализа конкретных штрафных санкций и механизмов контроля соблюдения.</w:t>
      </w:r>
    </w:p>
    <w:p>
      <w:pPr>
        <w:pStyle w:val="ListBullet"/>
      </w:pPr>
      <w:r>
        <w:rPr>
          <w:rFonts w:ascii="Arial" w:hAnsi="Arial"/>
          <w:sz w:val="20"/>
        </w:rPr>
        <w:t>Найти количественные данные о фактической доле проектов, прошедших Госэкспертизу через XML-схемы и СОД в 2023–2024 гг., для оценки текущей зрелости инфраструктуры.</w:t>
      </w:r>
    </w:p>
    <w:p>
      <w:pPr>
        <w:pStyle w:val="ListBullet"/>
      </w:pPr>
      <w:r>
        <w:rPr>
          <w:rFonts w:ascii="Arial" w:hAnsi="Arial"/>
          <w:sz w:val="20"/>
        </w:rPr>
        <w:t>Выявить конкретные нормативные барьеры для сертификации и допуска к эксплуатации строительных роботов и автономной техники (ГОСТы, СНиПы, требования Ростехнадзора).</w:t>
      </w:r>
    </w:p>
    <w:p>
      <w:pPr>
        <w:pStyle w:val="ListBullet"/>
      </w:pPr>
      <w:r>
        <w:rPr>
          <w:rFonts w:ascii="Arial" w:hAnsi="Arial"/>
          <w:sz w:val="20"/>
        </w:rPr>
        <w:t>Проанализировать бюджетные меры поддержки (субсидии, налоговые льготы) для МСП при переходе на отечественное САПР/ТИМ, так как текущие данные охватывают только крупные предприятия.</w:t>
      </w:r>
    </w:p>
    <w:p>
      <w:pPr>
        <w:pStyle w:val="ListBullet"/>
      </w:pPr>
      <w:r>
        <w:rPr>
          <w:rFonts w:ascii="Arial" w:hAnsi="Arial"/>
          <w:sz w:val="20"/>
        </w:rPr>
        <w:t>Уточнить механизмы принудительного исполнения Постановления № 331: приостановка разрешений на строительство, административные штрафы или отзыв лицензий.</w:t>
      </w:r>
    </w:p>
    <w:p/>
    <w:p>
      <w:pPr>
        <w:pBdr>
          <w:left w:val="single" w:sz="36" w:space="6" w:color="C0392B"/>
        </w:pBdr>
      </w:pPr>
      <w:r>
        <w:rPr>
          <w:rFonts w:ascii="Arial" w:hAnsi="Arial"/>
          <w:b/>
          <w:color w:val="1B3A5C"/>
          <w:sz w:val="28"/>
        </w:rPr>
        <w:t>Демография и миграционные потоки / Миграционная динамика в РФ</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Внутренняя миграция поляризует регионы, концентрируя капитал в ЦФО и ЮФО, тогда как внешняя миграция сократилась на 8,6% к 2025 году.</w:t>
      </w:r>
    </w:p>
    <w:p>
      <w:r>
        <w:rPr>
          <w:rFonts w:ascii="Arial" w:hAnsi="Arial"/>
          <w:b/>
          <w:color w:val="1B3A5C"/>
        </w:rPr>
        <w:t xml:space="preserve">Сильнейшая цифра: </w:t>
      </w:r>
      <w:r>
        <w:rPr>
          <w:rFonts w:ascii="Arial" w:hAnsi="Arial"/>
          <w:b/>
          <w:color w:val="2E86C1"/>
        </w:rPr>
        <w:t>Чистый миграционный прирост Москвы в 2023 году составил 60,6 тыс. человек, а внешняя миграция упала до 5,7 млн в 2025 г. (demoscope.ru, МВД).</w:t>
      </w:r>
    </w:p>
    <w:p>
      <w:r>
        <w:rPr>
          <w:rFonts w:ascii="Arial" w:hAnsi="Arial"/>
          <w:b/>
          <w:color w:val="1B3A5C"/>
        </w:rPr>
        <w:t xml:space="preserve">Главный пробел: </w:t>
      </w:r>
      <w:r>
        <w:rPr>
          <w:rFonts w:ascii="Arial" w:hAnsi="Arial"/>
        </w:rPr>
        <w:t>Запросить свежие ведомственные отчёты МВД РФ за 2024–2025 гг. по внутренней миграции с разбивкой по ФО.</w:t>
      </w:r>
    </w:p>
    <w:p>
      <w:r>
        <w:rPr>
          <w:rFonts w:ascii="Arial" w:hAnsi="Arial"/>
          <w:i/>
          <w:color w:val="555555"/>
          <w:sz w:val="18"/>
        </w:rPr>
        <w:t>Оценка: новизна 2/3 · конкретность 3/3 · применимость 3/3</w:t>
      </w:r>
    </w:p>
    <w:p>
      <w:r>
        <w:rPr>
          <w:rFonts w:ascii="Arial" w:hAnsi="Arial"/>
          <w:sz w:val="22"/>
        </w:rPr>
        <w:t>Внутренняя миграция в России формирует устойчивую региональную поляризацию, выступая главным драйвером перераспределения человеческого капитала. Ежегодный объём внутренних перемещений стабилизируется на уровне около 4 млн человек, что существенно превышает масштабы международной миграции и определяет демографический баланс субъектов РФ [statbase.ru](https://statbase.ru/datasets/national-statistics-of-russia/population-and-society/migration-population-growth-by-region-national-stat/). Центральный федеральный округ сохраняет положительное сальдо, однако темпы прироста демонстрируют заметное замедление: с +6,1‰ в 2021 году до +0,7‰ в 2024 году [demoscope.ru](https://www.demoscope.ru/weekly/2025/01071/barom04.php). Москва остаётся ключевым центром притяжения, обеспечив в 2023 году чистый миграционный прирост в 60,6 тыс. человек. Южный федеральный округ фиксирует стабильный приток (+1,6‰ в 2024 г.), тогда как сибирские регионы (Томская, Омская, Иркутская области) демонстрируют устойчивый отток населения в диапазоне от −3,7‰ до −5,9‰ [raexpert.ru](https://raexpert.ru/researches/regions/migration_regions_2023/). Официальные ведомственные прогнозы Росстата и МВД до 2030 года в открытом доступе отсутствуют; экспертные экстраполяции текущих трендов предполагают чистый прирост в ЦФО на 150–250 тыс. человек и в ЮФО на 100–200 тыс. человек при одновременном оттоке из Сибири в объёме 150–300 тыс. человек [stratpro.hse.ru](https://stratpro.hse.ru/mirror/pubs/share/1015016468.pdf).</w:t>
      </w:r>
    </w:p>
    <w:p>
      <w:r>
        <w:rPr>
          <w:rFonts w:ascii="Arial" w:hAnsi="Arial"/>
          <w:sz w:val="22"/>
        </w:rPr>
        <w:t>Внешняя миграция проходит через фазу структурной трансформации и количественной коррекции. В 2023 году зафиксирован пик въездов иностранцев — 12 млн человек (+30% к 2022 году), преимущественно с целью трудоустройства из стран СНГ [tadviser.ru](https://www.tadviser.ru/index.php/%D0%A1%D1%82%D0%B0%D1%82%D1%8C%D1%8F:%D0%9C%D0%B8%D0%B3%D1%80%D0%B0%D1%86%D0%B8%D1%8F_%D0%B8%D0%B7_%D0%A0%D0%BE%D1%81%D1%81%D0%B8%D0%B8_%D0%B8_%D0%B2_%D0%A0%D0%BE%D1%81%D1%81%D0%B8%D1%8E). Однако к 2025 году численность мигрантов сократилась на 8,6%, достигнув 5,7 млн человек, что отражает ужесточение миграционного контроля, изменение экономических стимулов и последствия геополитической конъюнктуры. Исторически основными странами-донорами выступают Украина (2,65 млн), Узбекистан (2,34 млн) и Таджикистан (1,11 млн) [ООН, 2020]. Трудовая миграция концентрируется в Москве и Московской области (до 3,3 млн человек), формируя устойчивый спрос на краткосрочную аренду в крупных агломерациях, тогда как учебная миграция поддерживает стабильный спрос в студенческих кластерах [cyberleninka.ru](https://cyberleninka.ru/article/n/vneshnyaya-trudovaya-migratsiya-v-sovremennom-rossiyskom-obschestve-dinamika-i-posledstviya). Сокращение потока до 5,7 млн к 2025 году способно снизить давление на арендный рынок, однако структурный дефицит кадров в строительстве, ЖКХ и логистике сохраняет зависимость экономики от внешних трудовых ресурсов.</w:t>
      </w:r>
    </w:p>
    <w:p>
      <w:r>
        <w:rPr>
          <w:rFonts w:ascii="Arial" w:hAnsi="Arial"/>
          <w:sz w:val="22"/>
        </w:rPr>
        <w:t>Демографический фон усугубляется естественной убылью трудоспособного населения. По среднему сценарию Института демографии ВШЭ, численность когорты 25–45 лет (в составе трудоспособного населения) сократится почти на 14 млн человек к 2025 году и на 24 млн к 2050 году [demogr.hse.ru, 2024](https://demogr.hse.ru/mirror/pubs/share/943055611.pdf). Вероятностный прогноз института оценивает миграционный прирост до 2050 года в 11,3 млн человек (интервал 6,0–16,7 млн с 50% вероятностью), что может компенсировать лишь около половины демографической убыли рабочих возрастов [demogr.hse.ru, 2025](https://demogr.hse.ru/mirror/pubs/share/1122857845.pdf). В контексте влияния миграции на региональные рынки существуют две конкурирующие гипотезы. Первая предполагает, что внешняя миграция способна нивелировать внутренний отток из депрессивных регионов за счёт программ целевого перераспределения (например, квоты на Дальний Восток в 36 621 человек в 2023 г.). Вторая, более обоснованная текущими данными, указывает на то, что мигранты концентрируются в тех же агломерациях (ЦФО, ЮФО), усиливая внутреннюю поляризацию и не решая проблему депопуляции Сибири и Дальнего Востока. Покупательная способность и доходы когорт 25–45 лет в демографических моделях ВШЭ не анализируются, что создаёт разрыв между демографическими проекциями и макроэкономическими ожиданиями.</w:t>
      </w:r>
    </w:p>
    <w:p>
      <w:pPr>
        <w:pStyle w:val="Heading3"/>
      </w:pPr>
      <w:r>
        <w:rPr>
          <w:rFonts w:ascii="Arial" w:hAnsi="Arial"/>
          <w:color w:val="1B3A5C"/>
        </w:rPr>
        <w:t>Источники</w:t>
      </w:r>
    </w:p>
    <w:p>
      <w:pPr>
        <w:pStyle w:val="ListBullet"/>
      </w:pPr>
      <w:r>
        <w:rPr>
          <w:rFonts w:ascii="Arial" w:hAnsi="Arial"/>
          <w:color w:val="2E86C1"/>
          <w:sz w:val="20"/>
        </w:rPr>
        <w:t>📊 Ежегодный объём внутренней миграции в РФ стабилизируется на отметке около 4 млн человек, формируя основной демографический баланс регионов.</w:t>
      </w:r>
      <w:r>
        <w:rPr>
          <w:rFonts w:ascii="Arial" w:hAnsi="Arial"/>
          <w:i/>
          <w:color w:val="555555"/>
          <w:sz w:val="18"/>
        </w:rPr>
        <w:t xml:space="preserve">  [secondary] </w:t>
      </w:r>
      <w:r>
        <w:rPr>
          <w:rFonts w:ascii="Arial" w:hAnsi="Arial"/>
          <w:color w:val="555555"/>
          <w:sz w:val="18"/>
        </w:rPr>
        <w:t>https://statbase.ru/datasets/national-statistics-of-russia/population-and-society/migration-population-growth-by-region-national-stat/</w:t>
      </w:r>
    </w:p>
    <w:p>
      <w:pPr>
        <w:pStyle w:val="ListBullet"/>
      </w:pPr>
      <w:r>
        <w:rPr>
          <w:rFonts w:ascii="Arial" w:hAnsi="Arial"/>
          <w:color w:val="2E86C1"/>
          <w:sz w:val="20"/>
        </w:rPr>
        <w:t>📊 Внутренняя миграция в ЦФО показывает устойчивый положительный тренд с замедлением: +6,1‰ в 2021 году до +0,7‰ в 2024 году, при этом Москва в 2023 году обеспечила чистый приток в +60,6 тыс. человек.</w:t>
      </w:r>
      <w:r>
        <w:rPr>
          <w:rFonts w:ascii="Arial" w:hAnsi="Arial"/>
          <w:i/>
          <w:color w:val="555555"/>
          <w:sz w:val="18"/>
        </w:rPr>
        <w:t xml:space="preserve">  [secondary] </w:t>
      </w:r>
      <w:r>
        <w:rPr>
          <w:rFonts w:ascii="Arial" w:hAnsi="Arial"/>
          <w:color w:val="555555"/>
          <w:sz w:val="18"/>
        </w:rPr>
        <w:t>https://www.demoscope.ru/weekly/2025/01071/barom04.php</w:t>
      </w:r>
    </w:p>
    <w:p>
      <w:pPr>
        <w:pStyle w:val="ListBullet"/>
      </w:pPr>
      <w:r>
        <w:rPr>
          <w:rFonts w:ascii="Arial" w:hAnsi="Arial"/>
          <w:color w:val="2E86C1"/>
          <w:sz w:val="20"/>
        </w:rPr>
        <w:t>📊 ЮФО сохраняет высокий миграционный приток (+1,6‰ в 2024 г.), тогда как регионы Сибири фиксируют стабильный отток: Томская область (-5,9‰), Омская область (-4,0‰) и Иркутская область (-3,7‰).</w:t>
      </w:r>
      <w:r>
        <w:rPr>
          <w:rFonts w:ascii="Arial" w:hAnsi="Arial"/>
          <w:i/>
          <w:color w:val="555555"/>
          <w:sz w:val="18"/>
        </w:rPr>
        <w:t xml:space="preserve">  [secondary] </w:t>
      </w:r>
      <w:r>
        <w:rPr>
          <w:rFonts w:ascii="Arial" w:hAnsi="Arial"/>
          <w:color w:val="555555"/>
          <w:sz w:val="18"/>
        </w:rPr>
        <w:t>https://raexpert.ru/researches/regions/migration_regions_2023/</w:t>
      </w:r>
    </w:p>
    <w:p>
      <w:pPr>
        <w:pStyle w:val="ListBullet"/>
      </w:pPr>
      <w:r>
        <w:rPr>
          <w:rFonts w:ascii="Arial" w:hAnsi="Arial"/>
          <w:color w:val="2E86C1"/>
          <w:sz w:val="20"/>
        </w:rPr>
        <w:t>📊 Официальные прогнозы до 2030 года отсутствуют; экспертная экстраполяция трендов 2021–2024 гг. предполагает прирост в ЦФО на 150–250 тыс. человек, в ЮФО — на 100–200 тыс., и отток из Сибири в объёме 150–300 тыс. человек.</w:t>
      </w:r>
      <w:r>
        <w:rPr>
          <w:rFonts w:ascii="Arial" w:hAnsi="Arial"/>
          <w:i/>
          <w:color w:val="555555"/>
          <w:sz w:val="18"/>
        </w:rPr>
        <w:t xml:space="preserve">  [opinion] </w:t>
      </w:r>
      <w:r>
        <w:rPr>
          <w:rFonts w:ascii="Arial" w:hAnsi="Arial"/>
          <w:color w:val="555555"/>
          <w:sz w:val="18"/>
        </w:rPr>
        <w:t>https://stratpro.hse.ru/mirror/pubs/share/1015016468.pdf</w:t>
      </w:r>
    </w:p>
    <w:p>
      <w:pPr>
        <w:pStyle w:val="ListBullet"/>
      </w:pPr>
      <w:r>
        <w:rPr>
          <w:rFonts w:ascii="Arial" w:hAnsi="Arial"/>
          <w:color w:val="2E86C1"/>
          <w:sz w:val="20"/>
        </w:rPr>
        <w:t>📊 В 2023 году зафиксировано 12 млн въездов иностранцев (+30% к 2022 году), однако к 2025 году численность мигрантов снизилась на 8,6% до 5,7 млн человек.</w:t>
      </w:r>
      <w:r>
        <w:rPr>
          <w:rFonts w:ascii="Arial" w:hAnsi="Arial"/>
          <w:i/>
          <w:color w:val="555555"/>
          <w:sz w:val="18"/>
        </w:rPr>
        <w:t xml:space="preserve">  [secondary] </w:t>
      </w:r>
      <w:r>
        <w:rPr>
          <w:rFonts w:ascii="Arial" w:hAnsi="Arial"/>
          <w:color w:val="555555"/>
          <w:sz w:val="18"/>
        </w:rPr>
        <w:t>https://www.tadviser.ru/index.php/%D0%A1%D1%82%D0%B0%D1%82%D1%8C%D1%8F:%D0%9C%D0%B8%D0%B3%D1%80%D0%B0%D1%86%D0%B8%D1%8F_%D0%B8%D0%B7_%D0%A0%D0%BE%D1%81%D1%81%D0%B8%D0%B8_%D0%B8_%D0%B2_%D0%A0%D0%BE%D1%81%D1%81%D0%B8%D1%8E</w:t>
      </w:r>
    </w:p>
    <w:p>
      <w:pPr>
        <w:pStyle w:val="ListBullet"/>
      </w:pPr>
      <w:r>
        <w:rPr>
          <w:rFonts w:ascii="Arial" w:hAnsi="Arial"/>
          <w:color w:val="2E86C1"/>
          <w:sz w:val="20"/>
        </w:rPr>
        <w:t>📊 Массовая временная трудовая миграция формирует устойчивый спрос на краткосрочную аренду в крупных агломерациях, а учебная миграция поддерживает спрос в студенческих кластерах.</w:t>
      </w:r>
      <w:r>
        <w:rPr>
          <w:rFonts w:ascii="Arial" w:hAnsi="Arial"/>
          <w:i/>
          <w:color w:val="555555"/>
          <w:sz w:val="18"/>
        </w:rPr>
        <w:t xml:space="preserve">  [secondary] </w:t>
      </w:r>
      <w:r>
        <w:rPr>
          <w:rFonts w:ascii="Arial" w:hAnsi="Arial"/>
          <w:color w:val="555555"/>
          <w:sz w:val="18"/>
        </w:rPr>
        <w:t>https://cyberleninka.ru/article/n/vneshnyaya-trudovaya-migratsiya-v-sovremennom-rossiyskom-obschestve-dinamika-i-posledstviya</w:t>
      </w:r>
    </w:p>
    <w:p>
      <w:pPr>
        <w:pStyle w:val="ListBullet"/>
      </w:pPr>
      <w:r>
        <w:rPr>
          <w:rFonts w:ascii="Arial" w:hAnsi="Arial"/>
          <w:color w:val="2E86C1"/>
          <w:sz w:val="20"/>
        </w:rPr>
        <w:t>📊 По среднему сценарию ВШЭ численность трудоспособного населения (включая когорту 25–45 лет) сократится почти на 14 млн человек к 2025 г. и на 24 млн к 2050 г.</w:t>
      </w:r>
      <w:r>
        <w:rPr>
          <w:rFonts w:ascii="Arial" w:hAnsi="Arial"/>
          <w:i/>
          <w:color w:val="555555"/>
          <w:sz w:val="18"/>
        </w:rPr>
        <w:t xml:space="preserve">  [primary] </w:t>
      </w:r>
      <w:r>
        <w:rPr>
          <w:rFonts w:ascii="Arial" w:hAnsi="Arial"/>
          <w:color w:val="555555"/>
          <w:sz w:val="18"/>
        </w:rPr>
        <w:t>https://demogr.hse.ru/mirror/pubs/share/943055611.pdf</w:t>
      </w:r>
    </w:p>
    <w:p>
      <w:pPr>
        <w:pStyle w:val="ListBullet"/>
      </w:pPr>
      <w:r>
        <w:rPr>
          <w:rFonts w:ascii="Arial" w:hAnsi="Arial"/>
          <w:color w:val="2E86C1"/>
          <w:sz w:val="20"/>
        </w:rPr>
        <w:t>📊 Вероятностный прогноз ВШЭ оценивает миграционный прирост до 2050 г. в 11,3 млн человек (6,0–16,7 млн с 50% вероятностью), частично компенсирующий убыль рабочих возрастов.</w:t>
      </w:r>
      <w:r>
        <w:rPr>
          <w:rFonts w:ascii="Arial" w:hAnsi="Arial"/>
          <w:i/>
          <w:color w:val="555555"/>
          <w:sz w:val="18"/>
        </w:rPr>
        <w:t xml:space="preserve">  [primary] </w:t>
      </w:r>
      <w:r>
        <w:rPr>
          <w:rFonts w:ascii="Arial" w:hAnsi="Arial"/>
          <w:color w:val="555555"/>
          <w:sz w:val="18"/>
        </w:rPr>
        <w:t>https://demogr.hse.ru/mirror/pubs/share/1122857845.pdf</w:t>
      </w:r>
    </w:p>
    <w:p>
      <w:pPr>
        <w:pStyle w:val="Heading3"/>
      </w:pPr>
      <w:r>
        <w:rPr>
          <w:rFonts w:ascii="Arial" w:hAnsi="Arial"/>
          <w:color w:val="1B3A5C"/>
        </w:rPr>
        <w:t>Ключевые допущения</w:t>
      </w:r>
    </w:p>
    <w:p>
      <w:pPr>
        <w:pStyle w:val="ListBullet"/>
      </w:pPr>
      <w:r>
        <w:rPr>
          <w:rFonts w:ascii="Arial" w:hAnsi="Arial"/>
          <w:sz w:val="20"/>
        </w:rPr>
        <w:t>Экспертные экстраполяции трендов 2021–2024 гг. сохраняют линейность до 2030 года без учёта возможных шоковых сценариев или резких изменений миграционной политики.</w:t>
      </w:r>
    </w:p>
    <w:p>
      <w:pPr>
        <w:pStyle w:val="ListBullet"/>
      </w:pPr>
      <w:r>
        <w:rPr>
          <w:rFonts w:ascii="Arial" w:hAnsi="Arial"/>
          <w:sz w:val="20"/>
        </w:rPr>
        <w:t>Данные ООН 2020 года по странам-источникам миграции остаются релевантными для текущей структуры потоков, несмотря на геополитические сдвиги.</w:t>
      </w:r>
    </w:p>
    <w:p>
      <w:pPr>
        <w:pStyle w:val="ListBullet"/>
      </w:pPr>
      <w:r>
        <w:rPr>
          <w:rFonts w:ascii="Arial" w:hAnsi="Arial"/>
          <w:sz w:val="20"/>
        </w:rPr>
        <w:t>Сокращение численности мигрантов до 5,7 млн в 2025 году отражает реальное снижение присутствия, а не изменение методики учёта въездов/выездов МВД.</w:t>
      </w:r>
    </w:p>
    <w:p>
      <w:pPr>
        <w:pStyle w:val="ListBullet"/>
      </w:pPr>
      <w:r>
        <w:rPr>
          <w:rFonts w:ascii="Arial" w:hAnsi="Arial"/>
          <w:sz w:val="20"/>
        </w:rPr>
        <w:t>Внутренняя и внешняя миграция воздействуют на региональные рынки труда и аренды аддитивно, без учёта эффекта взаимного замещения или вытеснения.</w:t>
      </w:r>
    </w:p>
    <w:p>
      <w:pPr>
        <w:pStyle w:val="ListBullet"/>
      </w:pPr>
      <w:r>
        <w:rPr>
          <w:rFonts w:ascii="Arial" w:hAnsi="Arial"/>
          <w:sz w:val="20"/>
        </w:rPr>
        <w:t>Демографические прогнозы ВШЭ не учитывают потенциальные изменения в миграционной политике или экономические кризисы, способные резко изменить траекторию убыли трудоспособного населения.</w:t>
      </w:r>
    </w:p>
    <w:p>
      <w:pPr>
        <w:pStyle w:val="Heading3"/>
      </w:pPr>
      <w:r>
        <w:rPr>
          <w:rFonts w:ascii="Arial" w:hAnsi="Arial"/>
          <w:color w:val="1B3A5C"/>
        </w:rPr>
        <w:t>Пробелы / куда копать</w:t>
      </w:r>
    </w:p>
    <w:p>
      <w:pPr>
        <w:pStyle w:val="ListBullet"/>
      </w:pPr>
      <w:r>
        <w:rPr>
          <w:rFonts w:ascii="Arial" w:hAnsi="Arial"/>
          <w:sz w:val="20"/>
        </w:rPr>
        <w:t>Запросить свежие ведомственные отчёты МВД РФ за 2024–2025 гг. по внутренней миграции с разбивкой по федеральным округам для верификации экспертных экстраполяций.</w:t>
      </w:r>
    </w:p>
    <w:p>
      <w:pPr>
        <w:pStyle w:val="ListBullet"/>
      </w:pPr>
      <w:r>
        <w:rPr>
          <w:rFonts w:ascii="Arial" w:hAnsi="Arial"/>
          <w:sz w:val="20"/>
        </w:rPr>
        <w:t>Найти количественные метрики влияния миграционных потоков на ставки аренды и уровень вакантности в Москве, МО и Краснодарском крае (данные ЦИАН, Дом.РФ, аналитические отчёты риелторских агентств).</w:t>
      </w:r>
    </w:p>
    <w:p>
      <w:pPr>
        <w:pStyle w:val="ListBullet"/>
      </w:pPr>
      <w:r>
        <w:rPr>
          <w:rFonts w:ascii="Arial" w:hAnsi="Arial"/>
          <w:sz w:val="20"/>
        </w:rPr>
        <w:t>Дозапросить экономические модели ВШЭ или данные Росстата/РАН по динамике доходов и покупательной способности когорты 25–45 лет для связки демографических прогнозов с потребительским спросом.</w:t>
      </w:r>
    </w:p>
    <w:p>
      <w:pPr>
        <w:pStyle w:val="ListBullet"/>
      </w:pPr>
      <w:r>
        <w:rPr>
          <w:rFonts w:ascii="Arial" w:hAnsi="Arial"/>
          <w:sz w:val="20"/>
        </w:rPr>
        <w:t>Уточнить методологию учёта МВД: разграничить показатели «въездов» (12 млн в 2023 г.) и «постоянного/временного пребывания» (5,7 млн в 2025 г.) для корректной оценки реального миграционного сальдо.</w:t>
      </w:r>
    </w:p>
    <w:p/>
    <w:p>
      <w:pPr>
        <w:pBdr>
          <w:left w:val="single" w:sz="36" w:space="6" w:color="C0392B"/>
        </w:pBdr>
      </w:pPr>
      <w:r>
        <w:rPr>
          <w:rFonts w:ascii="Arial" w:hAnsi="Arial"/>
          <w:b/>
          <w:color w:val="1B3A5C"/>
          <w:sz w:val="28"/>
        </w:rPr>
        <w:t>Макроэкономика и финансирование девелопмента / Российская финансовая экосистема</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Жёсткие требования 214-ФЗ и высокая ключевая ставка ЦБ сжимают ликвидность, вынуждая рынок консолидироваться вокруг крупных игроков.</w:t>
      </w:r>
    </w:p>
    <w:p>
      <w:r>
        <w:rPr>
          <w:rFonts w:ascii="Arial" w:hAnsi="Arial"/>
          <w:b/>
          <w:color w:val="1B3A5C"/>
        </w:rPr>
        <w:t xml:space="preserve">Сильнейшая цифра: </w:t>
      </w:r>
      <w:r>
        <w:rPr>
          <w:rFonts w:ascii="Arial" w:hAnsi="Arial"/>
          <w:b/>
          <w:color w:val="2E86C1"/>
        </w:rPr>
        <w:t>ЦБ РФ прогнозирует снижение ключевой ставки до 12–13% в 2026 году, но ПДН заёмщиков уже превышает 80% (ЦБ РФ, Polis812).</w:t>
      </w:r>
    </w:p>
    <w:p>
      <w:r>
        <w:rPr>
          <w:rFonts w:ascii="Arial" w:hAnsi="Arial"/>
          <w:b/>
          <w:color w:val="1B3A5C"/>
        </w:rPr>
        <w:t xml:space="preserve">Главный пробел: </w:t>
      </w:r>
      <w:r>
        <w:rPr>
          <w:rFonts w:ascii="Arial" w:hAnsi="Arial"/>
        </w:rPr>
        <w:t>Отсутствуют прямые прогнозы ДОМ.РФ по абсолютным объёмам выдачи ипотеки в денежном выражении до 2030 года.</w:t>
      </w:r>
    </w:p>
    <w:p>
      <w:r>
        <w:rPr>
          <w:rFonts w:ascii="Arial" w:hAnsi="Arial"/>
          <w:i/>
          <w:color w:val="555555"/>
          <w:sz w:val="18"/>
        </w:rPr>
        <w:t>Оценка: новизна 2/3 · конкретность 3/3 · применимость 3/3</w:t>
      </w:r>
    </w:p>
    <w:p>
      <w:r>
        <w:rPr>
          <w:rFonts w:ascii="Arial" w:hAnsi="Arial"/>
          <w:sz w:val="22"/>
        </w:rPr>
        <w:t>Российская финансовая экосистема в сегменте девелопмента находится в точке структурной перестройки, где макроэкономическая траектория ЦБ РФ напрямую сталкивается с регуляторными ограничениями 214-ФЗ и ужесточением банковских риск-моделей. Базовый сценарий Банка России предполагает постепенное смягчение ДКП: снижение ключевой ставки до 12–13% в 2026 году и возврат к нейтральному диапазону 7,5–8,5% к 2027 году [ЦБ РФ, 2024](https://www.cbr.ru/Content/Document/File/184551/forecast_251024.pdf). Институт жилищного развития (ДОМ.РФ) связывает устойчивое оживление ипотечного спроса с преодолением порога в 15%, что в базовом сценарии ожидается к середине 2026 года, с последующим закреплением рыночных ипотечных ставок на уровне 12–15% к концу года [ДОМ.РФ / РБК, 2025](https://realty.rbc.ru/news/68c3e8879a79473672bb2ca1). Однако даже при достижении этих параметров доступность жилья остаётся под давлением. Дифференциация льготных программ, предлагаемая Минфином (от 10–12% для семей с одним ребёнком до 4% для многодетных), не решает проблему долговой нагрузки: при ставке 12% ежемесячный платёж для стандартной семьи может достигать 53,9 тыс. ₽, а до 20% заёмщиков, формально подходящих под льготные 6%, рискуют получить отказ из-за превышения показателя долговой нагрузки (ПДН) в 80% [Polis812, 2025](https://polis812.ru/blog/chto-budet-s-ipotekoj-v-blizhajshee-vremya-prognoz-po-klyuchevoj-stavke-v-oktyabre-2025-goda/).</w:t>
      </w:r>
    </w:p>
    <w:p>
      <w:r>
        <w:rPr>
          <w:rFonts w:ascii="Arial" w:hAnsi="Arial"/>
          <w:sz w:val="22"/>
        </w:rPr>
        <w:t>Параллельно регуляторный каркас, сформированный 214-ФЗ, продолжает выступать фильтром для участников рынка. Введение обязательных эскроу-счетов в 2019 году и требование к собственному капиталу застройщика в размере не менее 10% от проектной стоимости создали устойчивый барьер входа, способствующий консолидации отрасли в руках крупных игроков [ERZ, 2024](https://erzrf.ru/publikacii/razbirayem-novyye-popravki-v-214-fz?tag=214-%D0%A4%D0%97). При этом средства на эскроу защищены лимитом страхования в 10 млн ₽ через АСВ и взносами в Фонд защиты дольщиков, что снижает риски конечных покупателей, но не снимает кассовых разрывов с самих девелоперов [PravoRF, 2024](https://pravorf.ru/blog/uchastie-v-dolevom-stroitelstve-po-novym-pravilam). В ответ на текущее сжатие ликвидности Минстрой рассматривает возможность снижения требований к капиталу для компаний, полностью перешедших на эскроу-модель, что может стать точкой входа для возвращения малого и среднего бизнеса в сегмент [ERZ, 2024](https://erzrf.ru/news/minstroy-dlya-pereshedshikh-na-scheta-eskrou-zastroyshchikov-vozmozhno-snizheniye-trebovaniy-po-kapitalu?tag=214-%D0%A4%D0%97).</w:t>
      </w:r>
    </w:p>
    <w:p>
      <w:r>
        <w:rPr>
          <w:rFonts w:ascii="Arial" w:hAnsi="Arial"/>
          <w:sz w:val="22"/>
        </w:rPr>
        <w:t>Для МСБ-девелоперов текущая конъюнктура носит критический характер. К концу 2024 года средневзвешенные ставки по кредитам МСП достигли 24,21% по краткосрочным и 19,92% по долгосрочным займам, что вынуждает компании отказываться от длинных циклов в пользу быстрых, но маржинально уязвимых проектов [Expert.ru, 2024](https://expert.ru/finance/malyy-i-sredniy-biznes-kredituyut-v-srednem-malo/). Банки ужесточают скоринг: к октябрю 2024 года рост кредитного портфеля замедлился с 35% до 22%, а индекс деловой активности RSBI зафиксировал просадку по всем компонентам, включая инвестиции и доступность кредитов [Фонд НИД, 2024](https://fondnid.ru/presscenter/bankiry-obsudili-finansirovanie-msb-v-usloviyah-vysokoy-klyuchevoy-stavki-na-biznes). В этих условиях прогнозируется волна банкротств в 2025 году, поскольку рыночное финансирование растёт быстрее, чем лимитированные льготные программы (ставка до 8,5%, лимит 50 млн ₽, поручительство до 95%) [ERZ, 2025](https://erzrf.ru/news/v-2025-godu-stoit-ozhidat-i-bankrotstv-developerov-i-dalneyshego-rosta-tsen-na-novostroyki).</w:t>
      </w:r>
    </w:p>
    <w:p>
      <w:r>
        <w:rPr>
          <w:rFonts w:ascii="Arial" w:hAnsi="Arial"/>
          <w:sz w:val="22"/>
        </w:rPr>
        <w:t>В анализе адаптации рынка выделяются две конкурирующие гипотезы. Первая (оптимистичная) предполагает, что смягчение ДКП во второй половине 2026 года и потенциальное снижение требований к капиталу по 214-ФЗ стабилизируют ликвидность, позволив МСБ вернуться к проектному финансированию без массовых дефолтов. Вторая (консервативная) опирается на данные по факторингу: несмотря на рост портфеля до 2,61 трлн ₽ (данные/прогноз на I кв. 2026), число активных клиентов снижается, что указывает на структурный дефицит ликвидности и вынужденный переход к альтернативным инструментам (МФО, облигации) с более высокой стоимостью капитала [Коммерсантъ, 2026](https://www.kommersant.ru/doc/8572230). Вторая версия слабее обоснована в долгосрочном горизонте, так как не учитывает лаг эффекта от снижения ключевой ставки, однако точнее описывает текущий транзитный период и риски кассовых разрывов у средних игроков.</w:t>
      </w:r>
    </w:p>
    <w:p>
      <w:pPr>
        <w:pStyle w:val="Heading3"/>
      </w:pPr>
      <w:r>
        <w:rPr>
          <w:rFonts w:ascii="Arial" w:hAnsi="Arial"/>
          <w:color w:val="1B3A5C"/>
        </w:rPr>
        <w:t>Источники</w:t>
      </w:r>
    </w:p>
    <w:p>
      <w:pPr>
        <w:pStyle w:val="ListBullet"/>
      </w:pPr>
      <w:r>
        <w:rPr>
          <w:rFonts w:ascii="Arial" w:hAnsi="Arial"/>
          <w:color w:val="2E86C1"/>
          <w:sz w:val="20"/>
        </w:rPr>
        <w:t>📊 ЦБ РФ прогнозирует снижение ключевой ставки до 12–13% в 2026 году и возврат к нейтральному диапазону 7,5–8,5% к 2027 году.</w:t>
      </w:r>
      <w:r>
        <w:rPr>
          <w:rFonts w:ascii="Arial" w:hAnsi="Arial"/>
          <w:i/>
          <w:color w:val="555555"/>
          <w:sz w:val="18"/>
        </w:rPr>
        <w:t xml:space="preserve">  [primary] </w:t>
      </w:r>
      <w:r>
        <w:rPr>
          <w:rFonts w:ascii="Arial" w:hAnsi="Arial"/>
          <w:color w:val="555555"/>
          <w:sz w:val="18"/>
        </w:rPr>
        <w:t>https://www.cbr.ru/Content/Document/File/184551/forecast_251024.pdf</w:t>
      </w:r>
    </w:p>
    <w:p>
      <w:pPr>
        <w:pStyle w:val="ListBullet"/>
      </w:pPr>
      <w:r>
        <w:rPr>
          <w:rFonts w:ascii="Arial" w:hAnsi="Arial"/>
          <w:color w:val="2E86C1"/>
          <w:sz w:val="20"/>
        </w:rPr>
        <w:t>📊 ДОМ.РФ ожидает оживление ипотеки при ставках ниже 15% (середина 2026) с закреплением рыночных ставок на уровне 12–15% к концу 2026 года.</w:t>
      </w:r>
      <w:r>
        <w:rPr>
          <w:rFonts w:ascii="Arial" w:hAnsi="Arial"/>
          <w:i/>
          <w:color w:val="555555"/>
          <w:sz w:val="18"/>
        </w:rPr>
        <w:t xml:space="preserve">  [secondary] </w:t>
      </w:r>
      <w:r>
        <w:rPr>
          <w:rFonts w:ascii="Arial" w:hAnsi="Arial"/>
          <w:color w:val="555555"/>
          <w:sz w:val="18"/>
        </w:rPr>
        <w:t>https://realty.rbc.ru/news/68c3e8879a79473672bb2ca1</w:t>
      </w:r>
    </w:p>
    <w:p>
      <w:pPr>
        <w:pStyle w:val="ListBullet"/>
      </w:pPr>
      <w:r>
        <w:rPr>
          <w:rFonts w:ascii="Arial" w:hAnsi="Arial"/>
          <w:color w:val="2E86C1"/>
          <w:sz w:val="20"/>
        </w:rPr>
        <w:t>📊 При ставке 12% ежемесячный платёж достигает 53,9 тыс. ₽, а до 20% заёмщиков рискуют отказа при ПДН свыше 80%.</w:t>
      </w:r>
      <w:r>
        <w:rPr>
          <w:rFonts w:ascii="Arial" w:hAnsi="Arial"/>
          <w:i/>
          <w:color w:val="555555"/>
          <w:sz w:val="18"/>
        </w:rPr>
        <w:t xml:space="preserve">  [secondary] </w:t>
      </w:r>
      <w:r>
        <w:rPr>
          <w:rFonts w:ascii="Arial" w:hAnsi="Arial"/>
          <w:color w:val="555555"/>
          <w:sz w:val="18"/>
        </w:rPr>
        <w:t>https://polis812.ru/blog/chto-budet-s-ipotekoj-v-blizhajshee-vremya-prognoz-po-klyuchevoj-stavke-v-oktyabre-2025-goda/</w:t>
      </w:r>
    </w:p>
    <w:p>
      <w:pPr>
        <w:pStyle w:val="ListBullet"/>
      </w:pPr>
      <w:r>
        <w:rPr>
          <w:rFonts w:ascii="Arial" w:hAnsi="Arial"/>
          <w:color w:val="2E86C1"/>
          <w:sz w:val="20"/>
        </w:rPr>
        <w:t>📊 Требование к собственному капиталу застройщика в 10% от проектной стоимости создаёт барьер входа и способствует концентрации рынка.</w:t>
      </w:r>
      <w:r>
        <w:rPr>
          <w:rFonts w:ascii="Arial" w:hAnsi="Arial"/>
          <w:i/>
          <w:color w:val="555555"/>
          <w:sz w:val="18"/>
        </w:rPr>
        <w:t xml:space="preserve">  [secondary] </w:t>
      </w:r>
      <w:r>
        <w:rPr>
          <w:rFonts w:ascii="Arial" w:hAnsi="Arial"/>
          <w:color w:val="555555"/>
          <w:sz w:val="18"/>
        </w:rPr>
        <w:t>https://erzrf.ru/publikacii/razbirayem-novyye-popravki-v-214-fz?tag=214-%D0%A4%D0%97</w:t>
      </w:r>
    </w:p>
    <w:p>
      <w:pPr>
        <w:pStyle w:val="ListBullet"/>
      </w:pPr>
      <w:r>
        <w:rPr>
          <w:rFonts w:ascii="Arial" w:hAnsi="Arial"/>
          <w:color w:val="2E86C1"/>
          <w:sz w:val="20"/>
        </w:rPr>
        <w:t>📊 К концу 2024 года ставки по кредитам МСП достигли 24,21% (краткосрочные) и 19,92% (долгосрочные), рост кредитного портфеля замедлился до 22%.</w:t>
      </w:r>
      <w:r>
        <w:rPr>
          <w:rFonts w:ascii="Arial" w:hAnsi="Arial"/>
          <w:i/>
          <w:color w:val="555555"/>
          <w:sz w:val="18"/>
        </w:rPr>
        <w:t xml:space="preserve">  [secondary] </w:t>
      </w:r>
      <w:r>
        <w:rPr>
          <w:rFonts w:ascii="Arial" w:hAnsi="Arial"/>
          <w:color w:val="555555"/>
          <w:sz w:val="18"/>
        </w:rPr>
        <w:t>https://expert.ru/finance/malyy-i-sredniy-biznes-kredituyut-v-srednem-malo/</w:t>
      </w:r>
    </w:p>
    <w:p>
      <w:pPr>
        <w:pStyle w:val="ListBullet"/>
      </w:pPr>
      <w:r>
        <w:rPr>
          <w:rFonts w:ascii="Arial" w:hAnsi="Arial"/>
          <w:color w:val="2E86C1"/>
          <w:sz w:val="20"/>
        </w:rPr>
        <w:t>📊 Факторинговый портфель вырос до 2,61 трлн ₽ к I кварталу 2026 года, но число активных клиентов снизилось, стимулируя переход к МФО и облигациям.</w:t>
      </w:r>
      <w:r>
        <w:rPr>
          <w:rFonts w:ascii="Arial" w:hAnsi="Arial"/>
          <w:i/>
          <w:color w:val="555555"/>
          <w:sz w:val="18"/>
        </w:rPr>
        <w:t xml:space="preserve">  [secondary] </w:t>
      </w:r>
      <w:r>
        <w:rPr>
          <w:rFonts w:ascii="Arial" w:hAnsi="Arial"/>
          <w:color w:val="555555"/>
          <w:sz w:val="18"/>
        </w:rPr>
        <w:t>https://www.kommersant.ru/doc/8572230</w:t>
      </w:r>
    </w:p>
    <w:p>
      <w:pPr>
        <w:pStyle w:val="Heading3"/>
      </w:pPr>
      <w:r>
        <w:rPr>
          <w:rFonts w:ascii="Arial" w:hAnsi="Arial"/>
          <w:color w:val="1B3A5C"/>
        </w:rPr>
        <w:t>Ключевые допущения</w:t>
      </w:r>
    </w:p>
    <w:p>
      <w:pPr>
        <w:pStyle w:val="ListBullet"/>
      </w:pPr>
      <w:r>
        <w:rPr>
          <w:rFonts w:ascii="Arial" w:hAnsi="Arial"/>
          <w:sz w:val="20"/>
        </w:rPr>
        <w:t>Прогноз ЦБ по ключевой ставке реализуется без учёта непредвиденных внешних шоков (санкционное давление, геополитика, волатильность сырьевых рынков).</w:t>
      </w:r>
    </w:p>
    <w:p>
      <w:pPr>
        <w:pStyle w:val="ListBullet"/>
      </w:pPr>
      <w:r>
        <w:rPr>
          <w:rFonts w:ascii="Arial" w:hAnsi="Arial"/>
          <w:sz w:val="20"/>
        </w:rPr>
        <w:t>Данные по средневзвешенным ставкам МСП репрезентативны для девелоперского сегмента, несмотря на отсутствие отраслевой разбивки в источниках.</w:t>
      </w:r>
    </w:p>
    <w:p>
      <w:pPr>
        <w:pStyle w:val="ListBullet"/>
      </w:pPr>
      <w:r>
        <w:rPr>
          <w:rFonts w:ascii="Arial" w:hAnsi="Arial"/>
          <w:sz w:val="20"/>
        </w:rPr>
        <w:t>Потенциальное снижение требований к капиталу по 214-ФЗ будет реализовано в заявленные сроки и не будет компенсировано параллельным ужесточением банковских требований к проектному финансированию.</w:t>
      </w:r>
    </w:p>
    <w:p>
      <w:pPr>
        <w:pStyle w:val="ListBullet"/>
      </w:pPr>
      <w:r>
        <w:rPr>
          <w:rFonts w:ascii="Arial" w:hAnsi="Arial"/>
          <w:sz w:val="20"/>
        </w:rPr>
        <w:t>Показатель долговой нагрузки (ПДН) в 80% остаётся жёстким барьером для банков без учёта региональных или программных исключений.</w:t>
      </w:r>
    </w:p>
    <w:p>
      <w:pPr>
        <w:pStyle w:val="ListBullet"/>
      </w:pPr>
      <w:r>
        <w:rPr>
          <w:rFonts w:ascii="Arial" w:hAnsi="Arial"/>
          <w:sz w:val="20"/>
        </w:rPr>
        <w:t>Данные по факторингу за I квартал 2026 года интерпретируются как опережающий индикатор тренда, а не ретроспективная подтверждённая статистика.</w:t>
      </w:r>
    </w:p>
    <w:p>
      <w:pPr>
        <w:pStyle w:val="Heading3"/>
      </w:pPr>
      <w:r>
        <w:rPr>
          <w:rFonts w:ascii="Arial" w:hAnsi="Arial"/>
          <w:color w:val="1B3A5C"/>
        </w:rPr>
        <w:t>Пробелы / куда копать</w:t>
      </w:r>
    </w:p>
    <w:p>
      <w:pPr>
        <w:pStyle w:val="ListBullet"/>
      </w:pPr>
      <w:r>
        <w:rPr>
          <w:rFonts w:ascii="Arial" w:hAnsi="Arial"/>
          <w:sz w:val="20"/>
        </w:rPr>
        <w:t>Отсутствуют прямые прогнозы ДОМ.РФ по абсолютным объёмам выдачи ипотеки в денежном выражении до 2030 года.</w:t>
      </w:r>
    </w:p>
    <w:p>
      <w:pPr>
        <w:pStyle w:val="ListBullet"/>
      </w:pPr>
      <w:r>
        <w:rPr>
          <w:rFonts w:ascii="Arial" w:hAnsi="Arial"/>
          <w:sz w:val="20"/>
        </w:rPr>
        <w:t>Нет текстов утверждённых поправок к 214-ФЗ за 2024–2025 гг. и официальной методологии расчёта требований к капиталу застройщиков.</w:t>
      </w:r>
    </w:p>
    <w:p>
      <w:pPr>
        <w:pStyle w:val="ListBullet"/>
      </w:pPr>
      <w:r>
        <w:rPr>
          <w:rFonts w:ascii="Arial" w:hAnsi="Arial"/>
          <w:sz w:val="20"/>
        </w:rPr>
        <w:t>Отсутствуют первичные данные банков по скоринговым моделям для девелоперов (коэффициенты LTV, DSCR, требования к залогу и гарантии).</w:t>
      </w:r>
    </w:p>
    <w:p>
      <w:pPr>
        <w:pStyle w:val="ListBullet"/>
      </w:pPr>
      <w:r>
        <w:rPr>
          <w:rFonts w:ascii="Arial" w:hAnsi="Arial"/>
          <w:sz w:val="20"/>
        </w:rPr>
        <w:t>Нет фактической статистики банкротств девелоперов за 2024–2025 гг. для верификации прогнозных оценок о «волне дефолтов».</w:t>
      </w:r>
    </w:p>
    <w:p>
      <w:pPr>
        <w:pStyle w:val="ListBullet"/>
      </w:pPr>
      <w:r>
        <w:rPr>
          <w:rFonts w:ascii="Arial" w:hAnsi="Arial"/>
          <w:sz w:val="20"/>
        </w:rPr>
        <w:t>Отсутствует детализация структуры факторингового портфеля в строительстве (доля МСБ vs крупный бизнес, средняя стоимость факторинга, сроки).</w:t>
      </w:r>
    </w:p>
    <w:p/>
    <w:p>
      <w:pPr>
        <w:pBdr>
          <w:left w:val="single" w:sz="36" w:space="6" w:color="C0392B"/>
        </w:pBdr>
      </w:pPr>
      <w:r>
        <w:rPr>
          <w:rFonts w:ascii="Arial" w:hAnsi="Arial"/>
          <w:b/>
          <w:color w:val="1B3A5C"/>
          <w:sz w:val="28"/>
        </w:rPr>
        <w:t>Макроэкономика и финансирование девелопмента / Себестоимость и маржинальность</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Инфляция себестоимости замедлилась до ~0,9%, но логистические издержки и региональная дифференциация создают разрыв рентабельности между Москвой и регионами.</w:t>
      </w:r>
    </w:p>
    <w:p>
      <w:r>
        <w:rPr>
          <w:rFonts w:ascii="Arial" w:hAnsi="Arial"/>
          <w:b/>
          <w:color w:val="1B3A5C"/>
        </w:rPr>
        <w:t xml:space="preserve">Сильнейшая цифра: </w:t>
      </w:r>
      <w:r>
        <w:rPr>
          <w:rFonts w:ascii="Arial" w:hAnsi="Arial"/>
          <w:b/>
          <w:color w:val="2E86C1"/>
        </w:rPr>
        <w:t>Кумулятивный рост индексов цен в строительстве замедлился до ~100,9% в 2024 году, а доходность проектов в Москве достигает 40–103% (Росстат, RAEXPERT).</w:t>
      </w:r>
    </w:p>
    <w:p>
      <w:r>
        <w:rPr>
          <w:rFonts w:ascii="Arial" w:hAnsi="Arial"/>
          <w:b/>
          <w:color w:val="1B3A5C"/>
        </w:rPr>
        <w:t xml:space="preserve">Главный пробел: </w:t>
      </w:r>
      <w:r>
        <w:rPr>
          <w:rFonts w:ascii="Arial" w:hAnsi="Arial"/>
        </w:rPr>
        <w:t>Найти прямые отчёты о чистой операционной маржинальности топ-20 девелоперов РФ за 2023–2024 гг. с разбивкой по регионам.</w:t>
      </w:r>
    </w:p>
    <w:p>
      <w:r>
        <w:rPr>
          <w:rFonts w:ascii="Arial" w:hAnsi="Arial"/>
          <w:i/>
          <w:color w:val="555555"/>
          <w:sz w:val="18"/>
        </w:rPr>
        <w:t>Оценка: новизна 2/3 · конкретность 3/3 · применимость 3/3</w:t>
      </w:r>
    </w:p>
    <w:p>
      <w:r>
        <w:rPr>
          <w:rFonts w:ascii="Arial" w:hAnsi="Arial"/>
          <w:sz w:val="22"/>
        </w:rPr>
        <w:t>Динамика себестоимости строительства в РФ демонстрирует выраженное замедление инфляционного давления после пиковых значений 2022–2023 годов. По данным Росстата, кумулятивный рост индексов цен в строительстве составил ~110,8% в 2022 году и ~106,3% в 2023 году, однако в январе–сентябре 2024 года показатель стабилизировался на уровне ~100,9% [Росстат, 2024](https://28.rosstat.gov.ru/storage/mediabank/27_2_5.htm). На этом фоне отраслевые прогнозы, базирующиеся на исторических трендах, предполагают среднегодовой рост себестоимости на 4,0–5,0% до 2030 года, что в кумулятивном выражении даст прирост на 30,4% к уровню 2024 года [Минстрой РФ](https://minstroyrf.gov.ru/trades/tsenoobrazovanie/indeksy-izmeneniya-smetnoy-stoimosti/). Важно отметить, что официальные долгосрочные прогнозы Росстата и Минэкономразвития отсутствуют, поэтому расчет носит экстраполяционный характер и не учитывает потенциальные сдвиги в монетарной или бюджетной политике.</w:t>
      </w:r>
    </w:p>
    <w:p>
      <w:r>
        <w:rPr>
          <w:rFonts w:ascii="Arial" w:hAnsi="Arial"/>
          <w:sz w:val="22"/>
        </w:rPr>
        <w:t>Структурное давление на маржинальность девелоперов смещается от сырьевой инфляции к логистическим и финансовым издержкам. В первом полугодии 2025 года доля BTS-аренды и BTS-продаж в общем объеме сделок сократилась до 4,5% и 2,5% соответственно [Logistika-Prim, 2025](http://www.logistika-prim.ru/rubric/14). Причиной выступает высокая стоимость кредитного финансирования в сочетании с растущими логистическими тарифами, которые вынуждают девелоперов закладывать в ставки аренды премию в 20–25% к рыночным уровням, что делает проекты экономически нежизнеспособными при текущей ставке ЦБ. Рост стоимости топлива, дефицит водителей и увеличение тарифов на перевозки напрямую повышают долю логистики в сметной стоимости, снижая итоговую прибыль и конкурентоспособность цен в распределенных сетях [RBC Companies](https://companies.rbc.ru/news/LzxtMQI6zq/kak-sokratit-transportnyie-rashodyi-v-logistike/). Региональная дифференциация издержек усугубляет ситуацию: единая стратегия ценообразования при разнице в стоимости доставки и хранения быстро «съедает» маржу, создавая риски заморозки капитала в локациях с низким спросом [Деловой мир](https://delovoymir.biz/effekt-regiona-na-marketpleysah-pochemu-odin-i-tot-zhe-tovar-prodaetsya-po-raznomu-v-raznyh-tochkah-strany-i-kak-s-etim-rabotat.html).</w:t>
      </w:r>
    </w:p>
    <w:p>
      <w:r>
        <w:rPr>
          <w:rFonts w:ascii="Arial" w:hAnsi="Arial"/>
          <w:sz w:val="22"/>
        </w:rPr>
        <w:t>На этом фоне наблюдается резкая дивергенция рентабельности между Москвой и регионами. Столичные проекты жилой недвижимости демонстрируют прогнозную доходность на уровне 40–103% за цикл, тогда как в регионах показатель варьируется от 12% до 70%, причем на старте большинства проектов он не превышает 20% [Ведомости, 2026](https://www.vedomosti.ru/press_releases/2026/03/06/luchshie-investitsionno-privlekatelnie-proekti-na-rinke-nedvizhimosti-reiting-moskovskogo-biznes-kluba-i-premii-rekordi-rinka-nedvizhimosti-erid-2VfnxwczjP7). Москва сохраняет статус инвестиционного ядра с рейтингом A-1 и объемом вложений свыше 8,1 трлн руб. в 2024 году, в то время как регионы классифицируются на уровнях A-2/B с высокой зависимостью доходности от стадии готовности объекта [RAEX, 2024](https://raexpert.ru/researches/regions/invest_regions_results_2024/). Возникает конкурирующая гипотеза: с одной стороны, высокая доходность Москвы может отражать премиальное ценообразование и способность абсорбировать логистические издержки за счет масштаба и плотности спроса; с другой — заявленные 40–103% могут быть расчетными показателями на бумаге, не учитывающими реальную стоимость привлечения капитала и операционные риски, особенно в условиях жесткой монетарной политики. Слабее обоснована версия о стабильности региональной маржи, поскольку данные указывают на системное сжатие рентабельности вне столичного агломерационного эффекта.</w:t>
      </w:r>
    </w:p>
    <w:p>
      <w:r>
        <w:rPr>
          <w:rFonts w:ascii="Arial" w:hAnsi="Arial"/>
          <w:sz w:val="22"/>
        </w:rPr>
        <w:t>В совокупности макроэкономический контур девелопмента характеризуется переходом от инфляции материалов к инфляции капитала и логистики. Прогнозируемый рост себестоимости на 30,4% к 2030 году будет компенсироваться не за счет автоматического переноса цен на покупателя, а через оптимизацию цепочек поставок, локализацию производства и селективный отказ от низкомаржинальных региональных проектов. Отсутствие прямых данных по операционной маржинальности девелоперов и глобальным бенчмаркам ограничивает точность выводов, однако текущая траектория указывает на консолидацию рынка вокруг игроков с доступом к дешевому финансированию и вертикально интегрированным логистическим платформам.</w:t>
      </w:r>
    </w:p>
    <w:p>
      <w:pPr>
        <w:pStyle w:val="Heading3"/>
      </w:pPr>
      <w:r>
        <w:rPr>
          <w:rFonts w:ascii="Arial" w:hAnsi="Arial"/>
          <w:color w:val="1B3A5C"/>
        </w:rPr>
        <w:t>Источники</w:t>
      </w:r>
    </w:p>
    <w:p>
      <w:pPr>
        <w:pStyle w:val="ListBullet"/>
      </w:pPr>
      <w:r>
        <w:rPr>
          <w:rFonts w:ascii="Arial" w:hAnsi="Arial"/>
          <w:color w:val="2E86C1"/>
          <w:sz w:val="20"/>
        </w:rPr>
        <w:t>📊 Кумулятивный рост индексов цен в строительстве составил ~110,8% в 2022 году, ~106,3% в 2023 году и замедлился до ~100,9% за январь–сентябрь 2024 года.</w:t>
      </w:r>
      <w:r>
        <w:rPr>
          <w:rFonts w:ascii="Arial" w:hAnsi="Arial"/>
          <w:i/>
          <w:color w:val="555555"/>
          <w:sz w:val="18"/>
        </w:rPr>
        <w:t xml:space="preserve">  [primary] </w:t>
      </w:r>
      <w:r>
        <w:rPr>
          <w:rFonts w:ascii="Arial" w:hAnsi="Arial"/>
          <w:color w:val="555555"/>
          <w:sz w:val="18"/>
        </w:rPr>
        <w:t>https://28.rosstat.gov.ru/storage/mediabank/27_2_5.htm</w:t>
      </w:r>
    </w:p>
    <w:p>
      <w:pPr>
        <w:pStyle w:val="ListBullet"/>
      </w:pPr>
      <w:r>
        <w:rPr>
          <w:rFonts w:ascii="Arial" w:hAnsi="Arial"/>
          <w:color w:val="2E86C1"/>
          <w:sz w:val="20"/>
        </w:rPr>
        <w:t>📊 Расчетный прогноз предполагает среднегодовой рост себестоимости на 4,0–5,0% до 2030 года, что приведет к увеличению стоимости на 30,4% к уровню 2024 года.</w:t>
      </w:r>
      <w:r>
        <w:rPr>
          <w:rFonts w:ascii="Arial" w:hAnsi="Arial"/>
          <w:i/>
          <w:color w:val="555555"/>
          <w:sz w:val="18"/>
        </w:rPr>
        <w:t xml:space="preserve">  [opinion] </w:t>
      </w:r>
      <w:r>
        <w:rPr>
          <w:rFonts w:ascii="Arial" w:hAnsi="Arial"/>
          <w:color w:val="555555"/>
          <w:sz w:val="18"/>
        </w:rPr>
        <w:t>https://minstroyrf.gov.ru/trades/tsenoobrazovanie/indeksy-izmeneniya-smetnoy-stoimosti/</w:t>
      </w:r>
    </w:p>
    <w:p>
      <w:pPr>
        <w:pStyle w:val="ListBullet"/>
      </w:pPr>
      <w:r>
        <w:rPr>
          <w:rFonts w:ascii="Arial" w:hAnsi="Arial"/>
          <w:color w:val="2E86C1"/>
          <w:sz w:val="20"/>
        </w:rPr>
        <w:t>📊 В H1 2025 года доля BTS-аренды и BTS-продаж составила 4,5% и 2,5% соответственно из-за высокой стоимости кредита и логистики, вынуждающей закладывать премию 20–25% к рыночным ставкам.</w:t>
      </w:r>
      <w:r>
        <w:rPr>
          <w:rFonts w:ascii="Arial" w:hAnsi="Arial"/>
          <w:i/>
          <w:color w:val="555555"/>
          <w:sz w:val="18"/>
        </w:rPr>
        <w:t xml:space="preserve">  [secondary] </w:t>
      </w:r>
      <w:r>
        <w:rPr>
          <w:rFonts w:ascii="Arial" w:hAnsi="Arial"/>
          <w:color w:val="555555"/>
          <w:sz w:val="18"/>
        </w:rPr>
        <w:t>http://www.logistika-prim.ru/rubric/14</w:t>
      </w:r>
    </w:p>
    <w:p>
      <w:pPr>
        <w:pStyle w:val="ListBullet"/>
      </w:pPr>
      <w:r>
        <w:rPr>
          <w:rFonts w:ascii="Arial" w:hAnsi="Arial"/>
          <w:sz w:val="20"/>
        </w:rPr>
        <w:t>Рост тарифов на перевозки, стоимости топлива и дефицит водителей увеличивают долю логистики в себестоимости, снижая прибыль девелоперов в распределенных сетях.</w:t>
      </w:r>
      <w:r>
        <w:rPr>
          <w:rFonts w:ascii="Arial" w:hAnsi="Arial"/>
          <w:i/>
          <w:color w:val="555555"/>
          <w:sz w:val="18"/>
        </w:rPr>
        <w:t xml:space="preserve">  [secondary] </w:t>
      </w:r>
      <w:r>
        <w:rPr>
          <w:rFonts w:ascii="Arial" w:hAnsi="Arial"/>
          <w:color w:val="555555"/>
          <w:sz w:val="18"/>
        </w:rPr>
        <w:t>https://companies.rbc.ru/news/LzxtMQI6zq/kak-sokratit-transportnyie-rashodyi-v-logistike/</w:t>
      </w:r>
    </w:p>
    <w:p>
      <w:pPr>
        <w:pStyle w:val="ListBullet"/>
      </w:pPr>
      <w:r>
        <w:rPr>
          <w:rFonts w:ascii="Arial" w:hAnsi="Arial"/>
          <w:sz w:val="20"/>
        </w:rPr>
        <w:t>Региональная дифференциация логистических издержек при единой стратегии ценообразования снижает маржинальность и создает риски заморозки капитала.</w:t>
      </w:r>
      <w:r>
        <w:rPr>
          <w:rFonts w:ascii="Arial" w:hAnsi="Arial"/>
          <w:i/>
          <w:color w:val="555555"/>
          <w:sz w:val="18"/>
        </w:rPr>
        <w:t xml:space="preserve">  [secondary] </w:t>
      </w:r>
      <w:r>
        <w:rPr>
          <w:rFonts w:ascii="Arial" w:hAnsi="Arial"/>
          <w:color w:val="555555"/>
          <w:sz w:val="18"/>
        </w:rPr>
        <w:t>https://delovoymir.biz/effekt-regiona-na-marketpleysah-pochemu-odin-i-tot-zhe-tovar-prodaetsya-po-raznomu-v-raznyh-tochkah-strany-i-kak-s-etim-rabotat.html</w:t>
      </w:r>
    </w:p>
    <w:p>
      <w:pPr>
        <w:pStyle w:val="ListBullet"/>
      </w:pPr>
      <w:r>
        <w:rPr>
          <w:rFonts w:ascii="Arial" w:hAnsi="Arial"/>
          <w:color w:val="2E86C1"/>
          <w:sz w:val="20"/>
        </w:rPr>
        <w:t>📊 Прогнозируемая доходность проектов в Москве составляет 40–103%, тогда как в регионах — 12–70% (преимущественно ниже 20% на старте).</w:t>
      </w:r>
      <w:r>
        <w:rPr>
          <w:rFonts w:ascii="Arial" w:hAnsi="Arial"/>
          <w:i/>
          <w:color w:val="555555"/>
          <w:sz w:val="18"/>
        </w:rPr>
        <w:t xml:space="preserve">  [secondary] </w:t>
      </w:r>
      <w:r>
        <w:rPr>
          <w:rFonts w:ascii="Arial" w:hAnsi="Arial"/>
          <w:color w:val="555555"/>
          <w:sz w:val="18"/>
        </w:rPr>
        <w:t>https://www.vedomosti.ru/press_releases/2026/03/06/luchshie-investitsionno-privlekatelnie-proekti-na-rinke-nedvizhimosti-reiting-moskovskogo-biznes-kluba-i-premii-rekordi-rinka-nedvizhimosti-erid-2VfnxwczjP7</w:t>
      </w:r>
    </w:p>
    <w:p>
      <w:pPr>
        <w:pStyle w:val="ListBullet"/>
      </w:pPr>
      <w:r>
        <w:rPr>
          <w:rFonts w:ascii="Arial" w:hAnsi="Arial"/>
          <w:color w:val="2E86C1"/>
          <w:sz w:val="20"/>
        </w:rPr>
        <w:t>📊 Москва лидирует с рейтингом A-1 и объемом инвестиций &gt;8,1 трлн руб. в 2024 году, регионы классифицируются на уровнях A-2/B.</w:t>
      </w:r>
      <w:r>
        <w:rPr>
          <w:rFonts w:ascii="Arial" w:hAnsi="Arial"/>
          <w:i/>
          <w:color w:val="555555"/>
          <w:sz w:val="18"/>
        </w:rPr>
        <w:t xml:space="preserve">  [primary] </w:t>
      </w:r>
      <w:r>
        <w:rPr>
          <w:rFonts w:ascii="Arial" w:hAnsi="Arial"/>
          <w:color w:val="555555"/>
          <w:sz w:val="18"/>
        </w:rPr>
        <w:t>https://raexpert.ru/researches/regions/invest_regions_results_2024/</w:t>
      </w:r>
    </w:p>
    <w:p>
      <w:pPr>
        <w:pStyle w:val="Heading3"/>
      </w:pPr>
      <w:r>
        <w:rPr>
          <w:rFonts w:ascii="Arial" w:hAnsi="Arial"/>
          <w:color w:val="1B3A5C"/>
        </w:rPr>
        <w:t>Ключевые допущения</w:t>
      </w:r>
    </w:p>
    <w:p>
      <w:pPr>
        <w:pStyle w:val="ListBullet"/>
      </w:pPr>
      <w:r>
        <w:rPr>
          <w:rFonts w:ascii="Arial" w:hAnsi="Arial"/>
          <w:sz w:val="20"/>
        </w:rPr>
        <w:t>Тренд замедления инфляции себестоимости 2024 года сохранится до 2030 года без учета макроэкономических шоков.</w:t>
      </w:r>
    </w:p>
    <w:p>
      <w:pPr>
        <w:pStyle w:val="ListBullet"/>
      </w:pPr>
      <w:r>
        <w:rPr>
          <w:rFonts w:ascii="Arial" w:hAnsi="Arial"/>
          <w:sz w:val="20"/>
        </w:rPr>
        <w:t>Расчетная доходность проектов (40–103% в Москве) отражает реальную чистую маржу после вычета стоимости капитала и налогов.</w:t>
      </w:r>
    </w:p>
    <w:p>
      <w:pPr>
        <w:pStyle w:val="ListBullet"/>
      </w:pPr>
      <w:r>
        <w:rPr>
          <w:rFonts w:ascii="Arial" w:hAnsi="Arial"/>
          <w:sz w:val="20"/>
        </w:rPr>
        <w:t>Логистические издержки остаются линейно зависимыми от тарифов на перевозки и не будут компенсированы масштабной локализацией в среднесрочной перспективе.</w:t>
      </w:r>
    </w:p>
    <w:p>
      <w:pPr>
        <w:pStyle w:val="ListBullet"/>
      </w:pPr>
      <w:r>
        <w:rPr>
          <w:rFonts w:ascii="Arial" w:hAnsi="Arial"/>
          <w:sz w:val="20"/>
        </w:rPr>
        <w:t>Региональная дифференциация спроса и издержек не изменится радикально из-за миграционных или инфраструктурных сдвигов.</w:t>
      </w:r>
    </w:p>
    <w:p>
      <w:pPr>
        <w:pStyle w:val="ListBullet"/>
      </w:pPr>
      <w:r>
        <w:rPr>
          <w:rFonts w:ascii="Arial" w:hAnsi="Arial"/>
          <w:sz w:val="20"/>
        </w:rPr>
        <w:t>Данные Росстата по индексам цен репрезентативны для всего рынка девелопмента, несмотря на возможную региональную волатильность.</w:t>
      </w:r>
    </w:p>
    <w:p>
      <w:pPr>
        <w:pStyle w:val="ListBullet"/>
      </w:pPr>
      <w:r>
        <w:rPr>
          <w:rFonts w:ascii="Arial" w:hAnsi="Arial"/>
          <w:sz w:val="20"/>
        </w:rPr>
        <w:t>Отсутствие официальных долгосрочных прогнозов Минэкономразвития не означает скрытых структурных изменений в ценообразовании стройматериалов.</w:t>
      </w:r>
    </w:p>
    <w:p>
      <w:pPr>
        <w:pStyle w:val="Heading3"/>
      </w:pPr>
      <w:r>
        <w:rPr>
          <w:rFonts w:ascii="Arial" w:hAnsi="Arial"/>
          <w:color w:val="1B3A5C"/>
        </w:rPr>
        <w:t>Пробелы / куда копать</w:t>
      </w:r>
    </w:p>
    <w:p>
      <w:pPr>
        <w:pStyle w:val="ListBullet"/>
      </w:pPr>
      <w:r>
        <w:rPr>
          <w:rFonts w:ascii="Arial" w:hAnsi="Arial"/>
          <w:sz w:val="20"/>
        </w:rPr>
        <w:t>Найти прямые отчеты о чистой операционной маржинальности (EBITDA margin) топ-20 девелоперов РФ за 2023–2024 гг. с разбивкой по Москве и регионам.</w:t>
      </w:r>
    </w:p>
    <w:p>
      <w:pPr>
        <w:pStyle w:val="ListBullet"/>
      </w:pPr>
      <w:r>
        <w:rPr>
          <w:rFonts w:ascii="Arial" w:hAnsi="Arial"/>
          <w:sz w:val="20"/>
        </w:rPr>
        <w:t>Оценить влияние программ локализации стройматериалов (производство ЖБИ/арматуры в регионах) на снижение логистической доли в себестоимости.</w:t>
      </w:r>
    </w:p>
    <w:p>
      <w:pPr>
        <w:pStyle w:val="ListBullet"/>
      </w:pPr>
      <w:r>
        <w:rPr>
          <w:rFonts w:ascii="Arial" w:hAnsi="Arial"/>
          <w:sz w:val="20"/>
        </w:rPr>
        <w:t>Собрать данные по средневзвешенной стоимости привлечения проектного финансирования для девелоперов в 2024–2025 гг. (ставки по эскроу-счетам и корпоративным кредитам).</w:t>
      </w:r>
    </w:p>
    <w:p>
      <w:pPr>
        <w:pStyle w:val="ListBullet"/>
      </w:pPr>
      <w:r>
        <w:rPr>
          <w:rFonts w:ascii="Arial" w:hAnsi="Arial"/>
          <w:sz w:val="20"/>
        </w:rPr>
        <w:t>Найти международные бенчмарки рентабельности девелопмента (ЕС/США/Азия) за 2023–2024 гг. для сравнения с российской динамикой.</w:t>
      </w:r>
    </w:p>
    <w:p>
      <w:pPr>
        <w:pStyle w:val="ListBullet"/>
      </w:pPr>
      <w:r>
        <w:rPr>
          <w:rFonts w:ascii="Arial" w:hAnsi="Arial"/>
          <w:sz w:val="20"/>
        </w:rPr>
        <w:t>Запросить данные по доле логистики в общей сметной стоимости типового жилого проекта в Москве vs регионы (в %).</w:t>
      </w:r>
    </w:p>
    <w:p/>
    <w:p>
      <w:pPr>
        <w:pBdr>
          <w:left w:val="single" w:sz="36" w:space="6" w:color="C0392B"/>
        </w:pBdr>
      </w:pPr>
      <w:r>
        <w:rPr>
          <w:rFonts w:ascii="Arial" w:hAnsi="Arial"/>
          <w:b/>
          <w:color w:val="1B3A5C"/>
          <w:sz w:val="28"/>
        </w:rPr>
        <w:t>Экология и климатическая адаптация / Глобальные климатические риски и ESG</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Физические климатические риски и переходное регулирование (CBAM, SEC) монетизируют ESG: снижение углеродного следа приносит до 264 тыс. руб./год от продажи квот.</w:t>
      </w:r>
    </w:p>
    <w:p>
      <w:r>
        <w:rPr>
          <w:rFonts w:ascii="Arial" w:hAnsi="Arial"/>
          <w:b/>
          <w:color w:val="1B3A5C"/>
        </w:rPr>
        <w:t xml:space="preserve">Сильнейшая цифра: </w:t>
      </w:r>
      <w:r>
        <w:rPr>
          <w:rFonts w:ascii="Arial" w:hAnsi="Arial"/>
          <w:b/>
          <w:color w:val="2E86C1"/>
        </w:rPr>
        <w:t>К 2050 году 70% арктической инфраструктуры столкнётся с деградацией мерзлоты, а ESG-премия повышает стоимость активов на 9% (UNECE, RGUD).</w:t>
      </w:r>
    </w:p>
    <w:p>
      <w:r>
        <w:rPr>
          <w:rFonts w:ascii="Arial" w:hAnsi="Arial"/>
          <w:b/>
          <w:color w:val="1B3A5C"/>
        </w:rPr>
        <w:t xml:space="preserve">Главный пробел: </w:t>
      </w:r>
      <w:r>
        <w:rPr>
          <w:rFonts w:ascii="Arial" w:hAnsi="Arial"/>
        </w:rPr>
        <w:t>Найти прямые тексты финальных правил SEC и регламентов EU CBAM с количественной оценкой влияния на EBITDA девелоперов.</w:t>
      </w:r>
    </w:p>
    <w:p>
      <w:r>
        <w:rPr>
          <w:rFonts w:ascii="Arial" w:hAnsi="Arial"/>
          <w:i/>
          <w:color w:val="555555"/>
          <w:sz w:val="18"/>
        </w:rPr>
        <w:t>Оценка: новизна 3/3 · конкретность 3/3 · применимость 2/3</w:t>
      </w:r>
    </w:p>
    <w:p>
      <w:r>
        <w:rPr>
          <w:rFonts w:ascii="Arial" w:hAnsi="Arial"/>
          <w:sz w:val="22"/>
        </w:rPr>
        <w:t>Глобальные климатические риски трансформируют строительный сектор из пассивного объекта регулирования в активный узел финансовых и инфраструктурных решений. Физические угрозы уже требуют пересмотра нормативной базы: по данным UNECE (2025), к 2050 году до 70% арктической транспортной инфраструктуры столкнётся с деградацией вечной мерзлоты, а преодоление порога в 1,5°C в 2030-х годах делает неизбежным снижение выбросов на 28–42% к 2030 году [UNECE, 2025](https://unece.org/sites/default/files/2025-06/ECE-TRANS-WP5-GE3-2025-04r.pdf). В развивающихся регионах риски носят массовый характер: без адаптационных мер к 2030 году засухи и наводнения в Африке затронут до 118 млн человек, что напрямую диктует необходимость модернизации строительных стандартов и систем раннего оповещения [IPCC WGII AR6](https://www.un.org/ru/climatechange/ipcc-wgii-report).</w:t>
      </w:r>
    </w:p>
    <w:p>
      <w:r>
        <w:rPr>
          <w:rFonts w:ascii="Arial" w:hAnsi="Arial"/>
          <w:sz w:val="22"/>
        </w:rPr>
        <w:t>Параллельно ужесточается переходное регулирование. Механизм EU CBAM и требования SEC к раскрытию климатических рисков формируют новый ландшафт для девелоперов, где углеродоёмкость стройматериалов и прозрачность отчётности становятся условиями сохранения экспортной конкурентоспособности и доступа к институциональному капиталу [Sber.pro](https://sber.pro/publication/esg-daidzhest-usilenie-kontrolya-selhozzemel-novie-standarti-i-transgranichnii-uglerodnii-nalog), [MGIMO ESG Library](https://esg-library.mgimo.ru/upload/iblock/71e/9yd7i5wdgcrgsg85hcmafb36txoh6pcn/v5e66p5005w4125gymo6bi3ish3jjw3u.pdf). В России, где строительный сектор генерирует около 40% мировых выбросов CO₂ от энергетики [EcoSociety, 2022](https://www.ecosociety.ru/wp-content/uploads/2022/03/Kareva-M._Uglerodnyi_-sled-stroitelstvo.pdf), стоимость углеродной единицы фиксируется на уровне ~6000 руб. Превышение норматива для здания класса D обходится в 236,4 тыс. руб./год, тогда как снижение следа ниже бенчмарка приносит до 264 тыс. руб./год от продажи квот [Urban Economics](https://www.urbaneconomics.ru/sites/default/files/uglerodnyi_sled_zdanii.pdf). Переход на низкоуглеродные материалы (например, пеностекло за 1300–6000 руб./м³ или деревянное домостроение) сокращает углеродный след на 56% и в 2,6 раза соответственно, напрямую монетизируя ESG-риски [IGPS Journals](https://journals.igps.ru/temp/b91820f94cc8f668427550b1bf54e2d4.pdf). Внедрение таких практик повышает стоимость активов массового жилья на 9% и обеспечивает дисконт по кредитам до 2% от ключевой ставки, тогда как игнорирование стандартов ведёт к потере ликвидности [RGUD](https://rgud.ru/novosti/esg-v-developmente-neobkhodimost-ili-dan-mode/).</w:t>
      </w:r>
    </w:p>
    <w:p>
      <w:r>
        <w:rPr>
          <w:rFonts w:ascii="Arial" w:hAnsi="Arial"/>
          <w:sz w:val="22"/>
        </w:rPr>
        <w:t>В анализе данных прослеживается конкурирующая гипотеза относительно экономической целесообразности ESG-трансформации. Первая версия утверждает, что ужесточение регуляторики (CBAM, SEC, квоты) и затраты на низкоуглеродные материалы неизбежно сжимают маржинальность девелоперских проектов в краткосрочной перспективе. Вторая версия, опирающаяся на эмпирические данные, демонстрирует, что ESG-повестка уже генерирует прямую финансовую премию: 9% к стоимости активов и доступ к дешёвому капиталу. На текущем этапе вторая гипотеза выглядит сильнее обоснованной для проектов массового жилья и коммерческой недвижимости, однако первая сохраняет валидность для инфраструктурных инициатив с длительным циклом окупаемости, где капитальные затраты на адаптацию могут не компенсироваться рыночными премиями до 2026–2027 годов. Институциональная адаптация идёт по пути цифровизации: внедрение калькуляторов углеродного следа (ДОМ.РФ) и стандартов учёта жизненного цикла (СП 333.1325800.2020) создаёт инфраструктуру для интеграции климатических рисков в инвестиционные стратегии, закрепляя ESG как системный драйвер роста к 2026 году [CyberLeninka](https://cyberleninka.ru/article/n/analiz-vovlechennosti-rossiyskih-developerov-v-realizatsiyu-kontseptsii-ustoychivogo-razvitiya).</w:t>
      </w:r>
    </w:p>
    <w:p>
      <w:pPr>
        <w:pStyle w:val="Heading3"/>
      </w:pPr>
      <w:r>
        <w:rPr>
          <w:rFonts w:ascii="Arial" w:hAnsi="Arial"/>
          <w:color w:val="1B3A5C"/>
        </w:rPr>
        <w:t>Источники</w:t>
      </w:r>
    </w:p>
    <w:p>
      <w:pPr>
        <w:pStyle w:val="ListBullet"/>
      </w:pPr>
      <w:r>
        <w:rPr>
          <w:rFonts w:ascii="Arial" w:hAnsi="Arial"/>
          <w:color w:val="2E86C1"/>
          <w:sz w:val="20"/>
        </w:rPr>
        <w:t>📊 К 2050 году 70% арктической транспортной инфраструктуры столкнётся с риском просадки грунта из-за таяния вечной мерзлоты, а превышение порога в 1,5°C ожидается в 2030-х годах, что требует пересмотра строительных норм и снижения выбросов на 28–42% к 2030 году.</w:t>
      </w:r>
      <w:r>
        <w:rPr>
          <w:rFonts w:ascii="Arial" w:hAnsi="Arial"/>
          <w:i/>
          <w:color w:val="555555"/>
          <w:sz w:val="18"/>
        </w:rPr>
        <w:t xml:space="preserve">  [primary] </w:t>
      </w:r>
      <w:r>
        <w:rPr>
          <w:rFonts w:ascii="Arial" w:hAnsi="Arial"/>
          <w:color w:val="555555"/>
          <w:sz w:val="18"/>
        </w:rPr>
        <w:t>https://unece.org/sites/default/files/2025-06/ECE-TRANS-WP5-GE3-2025-04r.pdf</w:t>
      </w:r>
    </w:p>
    <w:p>
      <w:pPr>
        <w:pStyle w:val="ListBullet"/>
      </w:pPr>
      <w:r>
        <w:rPr>
          <w:rFonts w:ascii="Arial" w:hAnsi="Arial"/>
          <w:color w:val="2E86C1"/>
          <w:sz w:val="20"/>
        </w:rPr>
        <w:t>📊 Согласно отчёту IPCC WGII AR6, без адаптационных мер к 2030 году риски засух и наводнений в Африке затронут до 118 млн человек, что обуславливает необходимость срочного обновления строительных норм и внедрения систем раннего предупреждения.</w:t>
      </w:r>
      <w:r>
        <w:rPr>
          <w:rFonts w:ascii="Arial" w:hAnsi="Arial"/>
          <w:i/>
          <w:color w:val="555555"/>
          <w:sz w:val="18"/>
        </w:rPr>
        <w:t xml:space="preserve">  [primary] </w:t>
      </w:r>
      <w:r>
        <w:rPr>
          <w:rFonts w:ascii="Arial" w:hAnsi="Arial"/>
          <w:color w:val="555555"/>
          <w:sz w:val="18"/>
        </w:rPr>
        <w:t>https://www.un.org/ru/climatechange/ipcc-wgii-report</w:t>
      </w:r>
    </w:p>
    <w:p>
      <w:pPr>
        <w:pStyle w:val="ListBullet"/>
      </w:pPr>
      <w:r>
        <w:rPr>
          <w:rFonts w:ascii="Arial" w:hAnsi="Arial"/>
          <w:color w:val="2E86C1"/>
          <w:sz w:val="20"/>
        </w:rPr>
        <w:t>📊 В России стоимость углеродного следа зданий привязана к цене углеродных единиц (~6000 руб./УЕ), где превышение норматива энергоэффективности ведет к затратам на закупку квот (236,4 тыс. руб./год для здания класса D), а снижение следа ниже бенчмарка генерирует доход от продажи квот (до 264 тыс. руб./год).</w:t>
      </w:r>
      <w:r>
        <w:rPr>
          <w:rFonts w:ascii="Arial" w:hAnsi="Arial"/>
          <w:i/>
          <w:color w:val="555555"/>
          <w:sz w:val="18"/>
        </w:rPr>
        <w:t xml:space="preserve">  [secondary] </w:t>
      </w:r>
      <w:r>
        <w:rPr>
          <w:rFonts w:ascii="Arial" w:hAnsi="Arial"/>
          <w:color w:val="555555"/>
          <w:sz w:val="18"/>
        </w:rPr>
        <w:t>https://www.urbaneconomics.ru/sites/default/files/uglerodnyi_sled_zdanii.pdf</w:t>
      </w:r>
    </w:p>
    <w:p>
      <w:pPr>
        <w:pStyle w:val="ListBullet"/>
      </w:pPr>
      <w:r>
        <w:rPr>
          <w:rFonts w:ascii="Arial" w:hAnsi="Arial"/>
          <w:color w:val="2E86C1"/>
          <w:sz w:val="20"/>
        </w:rPr>
        <w:t>📊 Применение низкоуглеродных материалов снижает углеродный след на 56% (пеностекло стоимостью 1300–6000 руб./м³) и в 2,6 раза (деревянные дома против квартир), что напрямую повышает инвестиционную привлекательность объектов.</w:t>
      </w:r>
      <w:r>
        <w:rPr>
          <w:rFonts w:ascii="Arial" w:hAnsi="Arial"/>
          <w:i/>
          <w:color w:val="555555"/>
          <w:sz w:val="18"/>
        </w:rPr>
        <w:t xml:space="preserve">  [secondary] </w:t>
      </w:r>
      <w:r>
        <w:rPr>
          <w:rFonts w:ascii="Arial" w:hAnsi="Arial"/>
          <w:color w:val="555555"/>
          <w:sz w:val="18"/>
        </w:rPr>
        <w:t>https://journals.igps.ru/temp/b91820f94cc8f668427550b1bf54e2d4.pdf</w:t>
      </w:r>
    </w:p>
    <w:p>
      <w:pPr>
        <w:pStyle w:val="ListBullet"/>
      </w:pPr>
      <w:r>
        <w:rPr>
          <w:rFonts w:ascii="Arial" w:hAnsi="Arial"/>
          <w:color w:val="2E86C1"/>
          <w:sz w:val="20"/>
        </w:rPr>
        <w:t>📊 Внедрение ESG-практик в девелопменте повышает стоимость активов массового жилья на 9% и открывает доступ к кредитованию с дисконтом до 2% от ключевой ставки, тогда как игнорирование стандартов ведет к снижению ликвидности.</w:t>
      </w:r>
      <w:r>
        <w:rPr>
          <w:rFonts w:ascii="Arial" w:hAnsi="Arial"/>
          <w:i/>
          <w:color w:val="555555"/>
          <w:sz w:val="18"/>
        </w:rPr>
        <w:t xml:space="preserve">  [secondary] </w:t>
      </w:r>
      <w:r>
        <w:rPr>
          <w:rFonts w:ascii="Arial" w:hAnsi="Arial"/>
          <w:color w:val="555555"/>
          <w:sz w:val="18"/>
        </w:rPr>
        <w:t>https://rgud.ru/novosti/esg-v-developmente-neobkhodimost-ili-dan-mode/</w:t>
      </w:r>
    </w:p>
    <w:p>
      <w:pPr>
        <w:pStyle w:val="ListBullet"/>
      </w:pPr>
      <w:r>
        <w:rPr>
          <w:rFonts w:ascii="Arial" w:hAnsi="Arial"/>
          <w:color w:val="2E86C1"/>
          <w:sz w:val="20"/>
        </w:rPr>
        <w:t>📊 Анализ 105 крупнейших девелоперов фиксирует растущую, но фрагментарную вовлеченность в устойчивое развитие, где к 2026 году ESG окончательно закрепится как драйвер роста бизнеса.</w:t>
      </w:r>
      <w:r>
        <w:rPr>
          <w:rFonts w:ascii="Arial" w:hAnsi="Arial"/>
          <w:i/>
          <w:color w:val="555555"/>
          <w:sz w:val="18"/>
        </w:rPr>
        <w:t xml:space="preserve">  [secondary] </w:t>
      </w:r>
      <w:r>
        <w:rPr>
          <w:rFonts w:ascii="Arial" w:hAnsi="Arial"/>
          <w:color w:val="555555"/>
          <w:sz w:val="18"/>
        </w:rPr>
        <w:t>https://cyberleninka.ru/article/n/analiz-vovlechennosti-rossiyskih-developerov-v-realizatsiyu-kontseptsii-ustoychivogo-razvitiya</w:t>
      </w:r>
    </w:p>
    <w:p>
      <w:pPr>
        <w:pStyle w:val="Heading3"/>
      </w:pPr>
      <w:r>
        <w:rPr>
          <w:rFonts w:ascii="Arial" w:hAnsi="Arial"/>
          <w:color w:val="1B3A5C"/>
        </w:rPr>
        <w:t>Ключевые допущения</w:t>
      </w:r>
    </w:p>
    <w:p>
      <w:pPr>
        <w:pStyle w:val="ListBullet"/>
      </w:pPr>
      <w:r>
        <w:rPr>
          <w:rFonts w:ascii="Arial" w:hAnsi="Arial"/>
          <w:sz w:val="20"/>
        </w:rPr>
        <w:t>Тренд на ужесточение климатического регулирования и раскрытия ESG-рисков сохранится без существенных политических откатов до 2030 года.</w:t>
      </w:r>
    </w:p>
    <w:p>
      <w:pPr>
        <w:pStyle w:val="ListBullet"/>
      </w:pPr>
      <w:r>
        <w:rPr>
          <w:rFonts w:ascii="Arial" w:hAnsi="Arial"/>
          <w:sz w:val="20"/>
        </w:rPr>
        <w:t>Российские методики расчёта углеродного следа и стандарты (СП 333.1325800.2020) сопоставимы с международными практиками учёта жизненного цикла зданий.</w:t>
      </w:r>
    </w:p>
    <w:p>
      <w:pPr>
        <w:pStyle w:val="ListBullet"/>
      </w:pPr>
      <w:r>
        <w:rPr>
          <w:rFonts w:ascii="Arial" w:hAnsi="Arial"/>
          <w:sz w:val="20"/>
        </w:rPr>
        <w:t>Данные о 9% премии к стоимости активов и 2% кредитном дисконте репрезентативны для массового сегмента жилья и не являются единичными кейсами.</w:t>
      </w:r>
    </w:p>
    <w:p>
      <w:pPr>
        <w:pStyle w:val="ListBullet"/>
      </w:pPr>
      <w:r>
        <w:rPr>
          <w:rFonts w:ascii="Arial" w:hAnsi="Arial"/>
          <w:sz w:val="20"/>
        </w:rPr>
        <w:t>Цена углеродной единицы (~6000 руб.) и механизмы торговли квотами останутся стабильными в среднесрочной перспективе, обеспечивая прогнозируемость затрат.</w:t>
      </w:r>
    </w:p>
    <w:p>
      <w:pPr>
        <w:pStyle w:val="ListBullet"/>
      </w:pPr>
      <w:r>
        <w:rPr>
          <w:rFonts w:ascii="Arial" w:hAnsi="Arial"/>
          <w:sz w:val="20"/>
        </w:rPr>
        <w:t>Внедрение цифровых калькуляторов (ДОМ.РФ) приведёт к стандартизации отчётности, а не к формальному соблюдению требований без реального снижения выбросов.</w:t>
      </w:r>
    </w:p>
    <w:p>
      <w:pPr>
        <w:pStyle w:val="Heading3"/>
      </w:pPr>
      <w:r>
        <w:rPr>
          <w:rFonts w:ascii="Arial" w:hAnsi="Arial"/>
          <w:color w:val="1B3A5C"/>
        </w:rPr>
        <w:t>Пробелы / куда копать</w:t>
      </w:r>
    </w:p>
    <w:p>
      <w:pPr>
        <w:pStyle w:val="ListBullet"/>
      </w:pPr>
      <w:r>
        <w:rPr>
          <w:rFonts w:ascii="Arial" w:hAnsi="Arial"/>
          <w:sz w:val="20"/>
        </w:rPr>
        <w:t>Найти прямые тексты финальных правил SEC и регламентов EU CBAM с количественной оценкой влияния на EBITDA и CAPEX девелоперов в ЕС и США за 2023–2025 гг.</w:t>
      </w:r>
    </w:p>
    <w:p>
      <w:pPr>
        <w:pStyle w:val="ListBullet"/>
      </w:pPr>
      <w:r>
        <w:rPr>
          <w:rFonts w:ascii="Arial" w:hAnsi="Arial"/>
          <w:sz w:val="20"/>
        </w:rPr>
        <w:t>Оценить динамику цен на углеродные единицы в РФ и ЕС за последние 3 года и спрогнозировать их влияние на себестоимость строительства при сценариях 1,5°C и 2°C.</w:t>
      </w:r>
    </w:p>
    <w:p>
      <w:pPr>
        <w:pStyle w:val="ListBullet"/>
      </w:pPr>
      <w:r>
        <w:rPr>
          <w:rFonts w:ascii="Arial" w:hAnsi="Arial"/>
          <w:sz w:val="20"/>
        </w:rPr>
        <w:t>Собрать данные о фактической реализации ESG-премий (9% к стоимости активов) в сделках M&amp;A и IPO на рынке недвижимости за 2024–2025 гг., чтобы проверить репрезентативность заявленных цифр.</w:t>
      </w:r>
    </w:p>
    <w:p>
      <w:pPr>
        <w:pStyle w:val="ListBullet"/>
      </w:pPr>
      <w:r>
        <w:rPr>
          <w:rFonts w:ascii="Arial" w:hAnsi="Arial"/>
          <w:sz w:val="20"/>
        </w:rPr>
        <w:t>Найти отчёты GRESB/MSCI за 2024–2025 гг. с разбивкой по регионам для верификации тренда фрагментарной вовлечённости девелоперов в ESG.</w:t>
      </w:r>
    </w:p>
    <w:p/>
    <w:p>
      <w:pPr>
        <w:pBdr>
          <w:left w:val="single" w:sz="36" w:space="6" w:color="C0392B"/>
        </w:pBdr>
      </w:pPr>
      <w:r>
        <w:rPr>
          <w:rFonts w:ascii="Arial" w:hAnsi="Arial"/>
          <w:b/>
          <w:color w:val="1B3A5C"/>
          <w:sz w:val="28"/>
        </w:rPr>
        <w:t>Экология и климатическая адаптация / Климатические изменения в РФ</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Рост температур на 2–5°C и увеличение интенсивности ливней до 50 мм/час требуют срочного пересмотра дренажных норм и адаптации фундаментов.</w:t>
      </w:r>
    </w:p>
    <w:p>
      <w:r>
        <w:rPr>
          <w:rFonts w:ascii="Arial" w:hAnsi="Arial"/>
          <w:b/>
          <w:color w:val="1B3A5C"/>
        </w:rPr>
        <w:t xml:space="preserve">Сильнейшая цифра: </w:t>
      </w:r>
      <w:r>
        <w:rPr>
          <w:rFonts w:ascii="Arial" w:hAnsi="Arial"/>
          <w:b/>
          <w:color w:val="2E86C1"/>
        </w:rPr>
        <w:t>К 2030–2039 гг. ожидается рост температуры в европейской части РФ и Сибири на 2–4°C летом при увеличении осадков на 10–20% (ГГО им. Воейкова).</w:t>
      </w:r>
    </w:p>
    <w:p>
      <w:r>
        <w:rPr>
          <w:rFonts w:ascii="Arial" w:hAnsi="Arial"/>
          <w:b/>
          <w:color w:val="1B3A5C"/>
        </w:rPr>
        <w:t xml:space="preserve">Главный пробел: </w:t>
      </w:r>
      <w:r>
        <w:rPr>
          <w:rFonts w:ascii="Arial" w:hAnsi="Arial"/>
        </w:rPr>
        <w:t>Запросить прямые количественные прогнозы деградации вечной мерзлоты до 2030 года из отчётов Института мерзлотоведения СО РАН.</w:t>
      </w:r>
    </w:p>
    <w:p>
      <w:r>
        <w:rPr>
          <w:rFonts w:ascii="Arial" w:hAnsi="Arial"/>
          <w:i/>
          <w:color w:val="555555"/>
          <w:sz w:val="18"/>
        </w:rPr>
        <w:t>Оценка: новизна 2/3 · конкретность 3/3 · применимость 3/3</w:t>
      </w:r>
    </w:p>
    <w:p>
      <w:r>
        <w:rPr>
          <w:rFonts w:ascii="Arial" w:hAnsi="Arial"/>
          <w:sz w:val="22"/>
        </w:rPr>
        <w:t>Климатическая траектория Российской Федерации до 2030 года характеризуется выраженной сценарной зависимостью и региональной асимметрией физических процессов. Согласно региональным расчётам Главной геофизической обсерватории им. Воейкова на базе моделей CMIP5, к периоду 2030–2039 гг. относительно базового климата ожидается рост средних температур в европейской части России и Сибири на 2–4°C летом и на 3–5°C зимой при сохранении исторического тренда потепления около 0,51°C за десятилетие [Главная геофизическая обсерватория им. Воейкова](https://cc.voeikovmgo.ru/ru/klimat/izmenenie-klimata-rossii-v-21-veke). В то же время эксперты Гидрометцентра России в рамках мягкого сценария прогнозируют более умеренный рост — 1,5–2°C к 2030 году, что, по их оценке, не повлечёт катастрофических последствий, но закрепит тенденцию к жаркому лету и мягким зимам [Гидрометцентр России, 2018](https://rg.ru/2018/09/16/v-gidrometcentre-rasskazali-o-klimate-v-rossii-2087-goda.html). Это расхождение отражает фундаментальную неопределённость, связанную с траекторией глобальных выбросов (RCP4.5/RCP8.5), и требует параллельного учёта обоих сценариев при долгосрочном территориальном планировании.</w:t>
      </w:r>
    </w:p>
    <w:p>
      <w:r>
        <w:rPr>
          <w:rFonts w:ascii="Arial" w:hAnsi="Arial"/>
          <w:sz w:val="22"/>
        </w:rPr>
        <w:t>Гидрологический режим трансформируется быстрее температурного. В европейской части РФ прогнозируется увеличение суммарных осадков на 10–20%, сопровождающееся ростом интенсивности ливней до 50 мм/час и фиксацией новых суточных рекордов в Москве [Главная геофизическая обсерватория им. Воейкова](https://cc.voeikovmgo.ru/ru/klimat/lf-hr). Усиление экстремальных осадков напрямую коррелирует с каскадными рисками для жилой застройки. Ярким примером служит Горный район Якутии, где лесные пожары 2022 года уничтожили растительный покров, что привело к резкому увеличению поверхностного стока и масштабным подтоплениям населённых пунктов уже в 2023 году [Tatar-Inform, 2023](https://www.tatar-inform.ru/news/ekspert-predupredil-o-riskax-pavodkov-i-erozii-pocv-iz-za-obilnyx-snegopadov-6018510). Аналогичные процессы фиксируются в ХМАО-Югре, где долгосрочный прогноз МЧС на 2024 год указывает на ускорение овражной эрозии вблизи населённых пунктов вследствие повышения влажности грунтов и изменения режима выпадения осадков [МЧС России, 2024](https://86.mchs.gov.ru/uploads/resource/2023-12-07/5-5-dolgosrochnye-prognozy_1701942465143569321.pdf).</w:t>
      </w:r>
    </w:p>
    <w:p>
      <w:r>
        <w:rPr>
          <w:rFonts w:ascii="Arial" w:hAnsi="Arial"/>
          <w:sz w:val="22"/>
        </w:rPr>
        <w:t>Прямые количественные прогнозы деградации вечной мерзлоты до 2030 года в Третьем оценочном докладе Росгидромета и материалах РАН отсутствуют. Косвенные оценки указывают на ускорение таяния в Арктике и Сибири при региональном потеплении на 3–5°C, однако отсутствие детализированных метрик затрудняет точную оценку рисков для фундаментов и инфраструктуры в зоне многолетней мерзлоты [Росгидромет, 2023](https://www.meteorf.gov.ru/upload/pdf_download/compressed.pdf).</w:t>
      </w:r>
    </w:p>
    <w:p>
      <w:r>
        <w:rPr>
          <w:rFonts w:ascii="Arial" w:hAnsi="Arial"/>
          <w:sz w:val="22"/>
        </w:rPr>
        <w:t>Реакция нормативно-технической базы носит адаптивный, но фрагментарный характер. Действующий СП 20.13330.2016 уже дифференцирует расчётные ветровые и температурные нагрузки по климатическим районам, допуская снижение нагрузок на 20% для специфических строительных условий [Flamax, 2016](https://www.flamax.ru/upload/%D0%A1%D0%9F%2020.13330.2016.pdf). Более свежая адаптация зафиксирована в изменении №3 к СП 82.13330.2016 (приказ Минстроя №933/пр от 27.12.2024), которое устанавливает толщину дренажных слоёв в диапазоне 7–25 см в зависимости от типа почв и климатических порогов (январь ≤–25°C, июль ≥+25°C) [Контур.Норматив, 2024](https://normativ.kontur.ru/document?moduleId=9&amp;documentId=488657). Это свидетельствует о постепенной калибровке норм под новые гидрологические реалии, однако прямые данные НИИ строительной физики или свежие метеосводки за 2024–2025 гг., подтверждающие расхождение эмпирических нагрузок с расчётными значениями СП, в открытых источниках отсутствуют.</w:t>
      </w:r>
    </w:p>
    <w:p>
      <w:r>
        <w:rPr>
          <w:rFonts w:ascii="Arial" w:hAnsi="Arial"/>
          <w:sz w:val="22"/>
        </w:rPr>
        <w:t>Экономическое последствие климатических сдвигов уже проявляется на рынке имущественного страхования. Рост частоты паводков и лесных пожаров в пригородных зонах ведёт к повышению тарифов, при этом до 90% возгораний носят антропогенный характер и создают прямую угрозу жилой инфраструктуре через повреждение линий ЛЭП и газопроводов [ЛесПромИнформ, 2023](https://lesprominform.ru/jarticles.html?id=5371). Точные актуальные значения страховых тарифов по регионам за 2023–2025 гг. не раскрыты, но подтверждена прямая корреляция между ростом климатических рисков и стоимостью полисов.</w:t>
      </w:r>
    </w:p>
    <w:p>
      <w:r>
        <w:rPr>
          <w:rFonts w:ascii="Arial" w:hAnsi="Arial"/>
          <w:sz w:val="22"/>
        </w:rPr>
        <w:t>Конкурирующие гипотезы (ACH): Базовый сценарий предполагает, что текущие темпы адаптации строительных норм и страховых механизмов будут достаточны для компенсации климатических рисков до 2030 года. Альтернативная гипотеза, опирающаяся на сценарии CMIP5 с ростом температур до +5°C зимой, указывает на высокую вероятность опережающей деградации инфраструктуры, особенно в зоне вечной мерзлоты и регионах с высокой овражной эрозией, где нормативная база может оказаться неадекватной скорости физических процессов. На текущем этапе вторая гипотеза слабее обоснована количественно из-за отсутствия прямых прогнозов деградации мерзлоты и закрытых данных по страховым тарифам, но её нельзя исключать при стресс-тестировании долгосрочных проектов.</w:t>
      </w:r>
    </w:p>
    <w:p>
      <w:pPr>
        <w:pStyle w:val="Heading3"/>
      </w:pPr>
      <w:r>
        <w:rPr>
          <w:rFonts w:ascii="Arial" w:hAnsi="Arial"/>
          <w:color w:val="1B3A5C"/>
        </w:rPr>
        <w:t>Источники</w:t>
      </w:r>
    </w:p>
    <w:p>
      <w:pPr>
        <w:pStyle w:val="ListBullet"/>
      </w:pPr>
      <w:r>
        <w:rPr>
          <w:rFonts w:ascii="Arial" w:hAnsi="Arial"/>
          <w:color w:val="2E86C1"/>
          <w:sz w:val="20"/>
        </w:rPr>
        <w:t>📊 По сценарным моделям CMIP5 и региональным расчетам Главной геофизической обсерватории им. Воейкова, к 2030–2039 гг. ожидается рост температуры в европейской части России и Сибири на 2–4°C летом и на 3–5°C зимой при тренде 0,51°C за 10 лет.</w:t>
      </w:r>
      <w:r>
        <w:rPr>
          <w:rFonts w:ascii="Arial" w:hAnsi="Arial"/>
          <w:i/>
          <w:color w:val="555555"/>
          <w:sz w:val="18"/>
        </w:rPr>
        <w:t xml:space="preserve">  [primary] </w:t>
      </w:r>
      <w:r>
        <w:rPr>
          <w:rFonts w:ascii="Arial" w:hAnsi="Arial"/>
          <w:color w:val="555555"/>
          <w:sz w:val="18"/>
        </w:rPr>
        <w:t>https://cc.voeikovmgo.ru/ru/klimat/izmenenie-klimata-rossii-v-21-veke</w:t>
      </w:r>
    </w:p>
    <w:p>
      <w:pPr>
        <w:pStyle w:val="ListBullet"/>
      </w:pPr>
      <w:r>
        <w:rPr>
          <w:rFonts w:ascii="Arial" w:hAnsi="Arial"/>
          <w:color w:val="2E86C1"/>
          <w:sz w:val="20"/>
        </w:rPr>
        <w:t>📊 По оценке Гидрометцентра России (мягкий сценарий) к 2030 году рост средней температуры составит 1,5–2°C, что не приведет к катастрофическим последствиям, но вызовет более жаркое лето и мягкие зимы.</w:t>
      </w:r>
      <w:r>
        <w:rPr>
          <w:rFonts w:ascii="Arial" w:hAnsi="Arial"/>
          <w:i/>
          <w:color w:val="555555"/>
          <w:sz w:val="18"/>
        </w:rPr>
        <w:t xml:space="preserve">  [secondary] </w:t>
      </w:r>
      <w:r>
        <w:rPr>
          <w:rFonts w:ascii="Arial" w:hAnsi="Arial"/>
          <w:color w:val="555555"/>
          <w:sz w:val="18"/>
        </w:rPr>
        <w:t>https://rg.ru/2018/09/16/v-gidrometcentre-rasskazali-o-klimate-v-rossii-2087-goda.html</w:t>
      </w:r>
    </w:p>
    <w:p>
      <w:pPr>
        <w:pStyle w:val="ListBullet"/>
      </w:pPr>
      <w:r>
        <w:rPr>
          <w:rFonts w:ascii="Arial" w:hAnsi="Arial"/>
          <w:color w:val="2E86C1"/>
          <w:sz w:val="20"/>
        </w:rPr>
        <w:t>📊 До 2030–2039 гг. в европейской части России прогнозируется увеличение суммарных осадков на 10–20%, с ростом интенсивности ливней до 50 мм/час.</w:t>
      </w:r>
      <w:r>
        <w:rPr>
          <w:rFonts w:ascii="Arial" w:hAnsi="Arial"/>
          <w:i/>
          <w:color w:val="555555"/>
          <w:sz w:val="18"/>
        </w:rPr>
        <w:t xml:space="preserve">  [primary] </w:t>
      </w:r>
      <w:r>
        <w:rPr>
          <w:rFonts w:ascii="Arial" w:hAnsi="Arial"/>
          <w:color w:val="555555"/>
          <w:sz w:val="18"/>
        </w:rPr>
        <w:t>https://cc.voeikovmgo.ru/ru/klimat/lf-hr</w:t>
      </w:r>
    </w:p>
    <w:p>
      <w:pPr>
        <w:pStyle w:val="ListBullet"/>
      </w:pPr>
      <w:r>
        <w:rPr>
          <w:rFonts w:ascii="Arial" w:hAnsi="Arial"/>
          <w:color w:val="2E86C1"/>
          <w:sz w:val="20"/>
        </w:rPr>
        <w:t>📊 Лесные пожары 2022 года в Якутии привели к усилению поверхностного стока и подтоплениям жилых районов в Горном районе в 2023 году из-за уничтожения растительного покрова.</w:t>
      </w:r>
      <w:r>
        <w:rPr>
          <w:rFonts w:ascii="Arial" w:hAnsi="Arial"/>
          <w:i/>
          <w:color w:val="555555"/>
          <w:sz w:val="18"/>
        </w:rPr>
        <w:t xml:space="preserve">  [secondary] </w:t>
      </w:r>
      <w:r>
        <w:rPr>
          <w:rFonts w:ascii="Arial" w:hAnsi="Arial"/>
          <w:color w:val="555555"/>
          <w:sz w:val="18"/>
        </w:rPr>
        <w:t>https://www.tatar-inform.ru/news/ekspert-predupredil-o-riskax-pavodkov-i-erozii-pocv-iz-za-obilnyx-snegopadov-6018510</w:t>
      </w:r>
    </w:p>
    <w:p>
      <w:pPr>
        <w:pStyle w:val="ListBullet"/>
      </w:pPr>
      <w:r>
        <w:rPr>
          <w:rFonts w:ascii="Arial" w:hAnsi="Arial"/>
          <w:color w:val="2E86C1"/>
          <w:sz w:val="20"/>
        </w:rPr>
        <w:t>📊 Изменение №3 к СП 82.13330.2016 (приказ Минстроя №933/пр от 27.12.2024) устанавливает толщину дренажных слоев 7–25 см в зависимости от типа почв и климатических порогов.</w:t>
      </w:r>
      <w:r>
        <w:rPr>
          <w:rFonts w:ascii="Arial" w:hAnsi="Arial"/>
          <w:i/>
          <w:color w:val="555555"/>
          <w:sz w:val="18"/>
        </w:rPr>
        <w:t xml:space="preserve">  [primary] </w:t>
      </w:r>
      <w:r>
        <w:rPr>
          <w:rFonts w:ascii="Arial" w:hAnsi="Arial"/>
          <w:color w:val="555555"/>
          <w:sz w:val="18"/>
        </w:rPr>
        <w:t>https://normativ.kontur.ru/document?moduleId=9&amp;documentId=488657</w:t>
      </w:r>
    </w:p>
    <w:p>
      <w:pPr>
        <w:pStyle w:val="ListBullet"/>
      </w:pPr>
      <w:r>
        <w:rPr>
          <w:rFonts w:ascii="Arial" w:hAnsi="Arial"/>
          <w:color w:val="2E86C1"/>
          <w:sz w:val="20"/>
        </w:rPr>
        <w:t>📊 Увеличение рисков паводков и лесных пожаров в пригородных зонах РФ ведёт к росту тарифов на имущественное страхование, при этом 90% возгораний носят антропогенный характер.</w:t>
      </w:r>
      <w:r>
        <w:rPr>
          <w:rFonts w:ascii="Arial" w:hAnsi="Arial"/>
          <w:i/>
          <w:color w:val="555555"/>
          <w:sz w:val="18"/>
        </w:rPr>
        <w:t xml:space="preserve">  [secondary] </w:t>
      </w:r>
      <w:r>
        <w:rPr>
          <w:rFonts w:ascii="Arial" w:hAnsi="Arial"/>
          <w:color w:val="555555"/>
          <w:sz w:val="18"/>
        </w:rPr>
        <w:t>https://lesprominform.ru/jarticles.html?id=5371</w:t>
      </w:r>
    </w:p>
    <w:p>
      <w:pPr>
        <w:pStyle w:val="Heading3"/>
      </w:pPr>
      <w:r>
        <w:rPr>
          <w:rFonts w:ascii="Arial" w:hAnsi="Arial"/>
          <w:color w:val="1B3A5C"/>
        </w:rPr>
        <w:t>Ключевые допущения</w:t>
      </w:r>
    </w:p>
    <w:p>
      <w:pPr>
        <w:pStyle w:val="ListBullet"/>
      </w:pPr>
      <w:r>
        <w:rPr>
          <w:rFonts w:ascii="Arial" w:hAnsi="Arial"/>
          <w:sz w:val="20"/>
        </w:rPr>
        <w:t>Исторический тренд потепления 0,51°C за десятилетие сохранится линейно до 2030 года без учёта возможных климатических tipping points.</w:t>
      </w:r>
    </w:p>
    <w:p>
      <w:pPr>
        <w:pStyle w:val="ListBullet"/>
      </w:pPr>
      <w:r>
        <w:rPr>
          <w:rFonts w:ascii="Arial" w:hAnsi="Arial"/>
          <w:sz w:val="20"/>
        </w:rPr>
        <w:t>Региональные downscaling-модели CMIP5 адекватно отражают локальные микроклиматические особенности европейской части РФ и Сибири.</w:t>
      </w:r>
    </w:p>
    <w:p>
      <w:pPr>
        <w:pStyle w:val="ListBullet"/>
      </w:pPr>
      <w:r>
        <w:rPr>
          <w:rFonts w:ascii="Arial" w:hAnsi="Arial"/>
          <w:sz w:val="20"/>
        </w:rPr>
        <w:t>Антропогенный фактор возгораний (90%) останется стабильным и не будет существенно снижен за счёт превентивных мер до 2030 года.</w:t>
      </w:r>
    </w:p>
    <w:p>
      <w:pPr>
        <w:pStyle w:val="ListBullet"/>
      </w:pPr>
      <w:r>
        <w:rPr>
          <w:rFonts w:ascii="Arial" w:hAnsi="Arial"/>
          <w:sz w:val="20"/>
        </w:rPr>
        <w:t>Внесённые в 2024 году изменения в СП будут равномерно внедрены в региональное строительство без значительных задержек или отступлений.</w:t>
      </w:r>
    </w:p>
    <w:p>
      <w:pPr>
        <w:pStyle w:val="ListBullet"/>
      </w:pPr>
      <w:r>
        <w:rPr>
          <w:rFonts w:ascii="Arial" w:hAnsi="Arial"/>
          <w:sz w:val="20"/>
        </w:rPr>
        <w:t>Рост страховых тарифов пропорционален росту физических рисков и не искажён макроэкономическими факторами (инфляция, изменение регуляторики ЦБ).</w:t>
      </w:r>
    </w:p>
    <w:p>
      <w:pPr>
        <w:pStyle w:val="Heading3"/>
      </w:pPr>
      <w:r>
        <w:rPr>
          <w:rFonts w:ascii="Arial" w:hAnsi="Arial"/>
          <w:color w:val="1B3A5C"/>
        </w:rPr>
        <w:t>Пробелы / куда копать</w:t>
      </w:r>
    </w:p>
    <w:p>
      <w:pPr>
        <w:pStyle w:val="ListBullet"/>
      </w:pPr>
      <w:r>
        <w:rPr>
          <w:rFonts w:ascii="Arial" w:hAnsi="Arial"/>
          <w:sz w:val="20"/>
        </w:rPr>
        <w:t>Запросить прямые количественные прогнозы деградации вечной мерзлоты (глубина протаивания, смещение границ) до 2030 года из специализированных отчётов Института мерзлотоведения СО РАН или Росгидромета.</w:t>
      </w:r>
    </w:p>
    <w:p>
      <w:pPr>
        <w:pStyle w:val="ListBullet"/>
      </w:pPr>
      <w:r>
        <w:rPr>
          <w:rFonts w:ascii="Arial" w:hAnsi="Arial"/>
          <w:sz w:val="20"/>
        </w:rPr>
        <w:t>Найти актуальные региональные данные по страховым тарифам на имущество физических лиц за 2023–2025 гг. в отчётах ЦБ РФ или крупнейших страховых компаний для верификации корреляции с климатическими рисками.</w:t>
      </w:r>
    </w:p>
    <w:p>
      <w:pPr>
        <w:pStyle w:val="ListBullet"/>
      </w:pPr>
      <w:r>
        <w:rPr>
          <w:rFonts w:ascii="Arial" w:hAnsi="Arial"/>
          <w:sz w:val="20"/>
        </w:rPr>
        <w:t>Запросить у НИИ строительной физики или профильных вузов данные о фактическом расхождении эмпирических климатических нагрузок (ветер, температура, осадки) за 2020–2024 гг. с расчётными значениями действующих СП.</w:t>
      </w:r>
    </w:p>
    <w:p>
      <w:pPr>
        <w:pStyle w:val="ListBullet"/>
      </w:pPr>
      <w:r>
        <w:rPr>
          <w:rFonts w:ascii="Arial" w:hAnsi="Arial"/>
          <w:sz w:val="20"/>
        </w:rPr>
        <w:t>Собрать статистику ущерба жилой инфраструктуре от каскадных событий (пожар → эрозия → паводок) в Якутии и ХМАО за 2022–2024 гг. для оценки экономической эффективности текущих дренажных норм.</w:t>
      </w:r>
    </w:p>
    <w:p/>
    <w:p>
      <w:pPr>
        <w:pBdr>
          <w:left w:val="single" w:sz="36" w:space="6" w:color="C0392B"/>
        </w:pBdr>
      </w:pPr>
      <w:r>
        <w:rPr>
          <w:rFonts w:ascii="Arial" w:hAnsi="Arial"/>
          <w:b/>
          <w:color w:val="1B3A5C"/>
          <w:sz w:val="28"/>
        </w:rPr>
        <w:t>Социокультурные паттерны и урбанистика / Архитектурно-планировочные решения</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Переход к гибким планировкам и mixed-use экосистемам ускоряет продажи на 30%, но жёсткие нормы перепланировки и слабая smart-интеграция тормозят массовое внедрение.</w:t>
      </w:r>
    </w:p>
    <w:p>
      <w:r>
        <w:rPr>
          <w:rFonts w:ascii="Arial" w:hAnsi="Arial"/>
          <w:b/>
          <w:color w:val="1B3A5C"/>
        </w:rPr>
        <w:t xml:space="preserve">Сильнейшая цифра: </w:t>
      </w:r>
      <w:r>
        <w:rPr>
          <w:rFonts w:ascii="Arial" w:hAnsi="Arial"/>
          <w:b/>
          <w:color w:val="2E86C1"/>
        </w:rPr>
        <w:t>Жильё в mixed-use проектах продаётся на 30% быстрее с премией 20–30% к стоимости, а объём инвестиций превысил 1,1 трлн руб. (Capital Group).</w:t>
      </w:r>
    </w:p>
    <w:p>
      <w:r>
        <w:rPr>
          <w:rFonts w:ascii="Arial" w:hAnsi="Arial"/>
          <w:b/>
          <w:color w:val="1B3A5C"/>
        </w:rPr>
        <w:t xml:space="preserve">Главный пробел: </w:t>
      </w:r>
      <w:r>
        <w:rPr>
          <w:rFonts w:ascii="Arial" w:hAnsi="Arial"/>
        </w:rPr>
        <w:t>Отсутствуют данные о реальной доле smart-home систем в сданных ЖК РФ и их влиянии на цену квадратного метра.</w:t>
      </w:r>
    </w:p>
    <w:p>
      <w:r>
        <w:rPr>
          <w:rFonts w:ascii="Arial" w:hAnsi="Arial"/>
          <w:i/>
          <w:color w:val="555555"/>
          <w:sz w:val="18"/>
        </w:rPr>
        <w:t>Оценка: новизна 2/3 · конкретность 2/3 · применимость 3/3</w:t>
      </w:r>
    </w:p>
    <w:p>
      <w:r>
        <w:rPr>
          <w:rFonts w:ascii="Arial" w:hAnsi="Arial"/>
          <w:sz w:val="22"/>
        </w:rPr>
        <w:t>Архитектурно-планировочные решения в российской жилой застройке переживают структурный сдвиг: от типовых монофункциональных объёмов к адаптивным средам, реагирующим на изменение социокультурных паттернов и экономические реалии. Ключевым вектором становится внедрение гибких планировок, позволяющих жильцам кастомизировать пространство под меняющиеся жизненные сценарии. Так, во владимирском ЖК GloraX Октябрьский реализовано более 30 вариантов трансформации студий в евродвушки за счёт минимизации несущих стен [GloraX Октябрьский, 2024](https://kluch.media/materials/kvartira-kotoraya-podstraivaetsya-pod-vashu-zhizn-gibkie-planirovki-v-glorax-oktyabrskiy/?erid=2VfnxyK1zor). В Санкт-Петербурге девелопер ЖК Легенда развивает концепцию гранд-квартир с открытым зонированием, ориентированную на большие семьи и хобби-пространства [ЖК Легенда](https://legenda-s.ru/realty/grand-flats/). Однако технологическая интеграция отстаёт: массовое внедрение smart-home (IoT, автоматизация климата и безопасности) в новых ЖК РФ за 2023–2025 гг. не зафиксировано, ограничиваясь лишь базовой электрической разводкой под будущую мебель. Правовая рамка трансформации остаётся жёсткой: согласно ст. 26 и 29 ЖК РФ, легализация перепланировки требует согласования с муниципалитетом и занимает до 45 дней, при этом перенос мокрых зон и лоджий шириной менее 1,2 м прямо запрещён [Перепланировка СПб, 2024](https://spb.pereplan-one.ru/blog/chto-schitayetsya-pereplanirovkoy-kvartiry-polniy-spisok-rabot-i-pravil/).</w:t>
      </w:r>
    </w:p>
    <w:p>
      <w:r>
        <w:rPr>
          <w:rFonts w:ascii="Arial" w:hAnsi="Arial"/>
          <w:sz w:val="22"/>
        </w:rPr>
        <w:t>Параллельно формируется тренд на mixed-use проекты, которые в Москве уже стали отраслевым стандартом для комплексов свыше 500 квартир. Жильё в таких экосистемах продаётся на 30% быстрее и с премией 20–30% к стоимости моноформатов, а объём инвестиций в сегмент превысил 1,1 трлн руб. в 2024 году при ожидаемых сделках на ~350 млрд руб. в 2025 году [Capital Group, 2025](https://www.vedomosti.ru/press_releases/2025/10/16/v-capital-group-rasskazali-ob-usloviyah-uspeshnoi-realizatsii-proektov-kommercheskoi-nedvizhimosti). В регионах (на примере Новосибирска) mixed-use прогнозируется как базовый стандарт с ростом коммерческой составляющей на 15–20% в 2025–2026 гг., при этом половина складских сделок уже смещается за пределы Москвы и Петербурга [VC.ru, 2025](https://vc.ru/id1373515/2284009-kommercheskaya-nedvizhimost-v-novosibirske-2025). Драйвером выступает острый дефицит качественных офисов: ставки в Москва-Сити достигают 70 тыс. руб./м²/год, а спрос в 2024 году составил 2,24 млн м² при прогнозе 1,9 млн м² на 2025 год [NF Group, 2025](https://office-news.ru/rynok-kommercheskoj-nedvizhimosti-rossii-v-i-polugodii-2025-goda-kljuchevye-trendy-i-prognozy-ot-nf-group/analitika/). К 2026 году 43% нового строительства ТЦ и МФК в РФ будет реализовано в гибридном формате, а до 70% рынка торговых центров займут непрофильные девелоперы, вытесненные высокими ставками финансирования [CRE, 2025](https://cre.ru/analytics/101286).</w:t>
      </w:r>
    </w:p>
    <w:p>
      <w:r>
        <w:rPr>
          <w:rFonts w:ascii="Arial" w:hAnsi="Arial"/>
          <w:sz w:val="22"/>
        </w:rPr>
        <w:t>Фундаментальное отличие российской урбанистики от западной кроется в нормативной базе, напрямую влияющей на комфорт и ценообразование. Российские стандарты освещённости и инсоляции существенно мягче: коэффициент естественной освещённости (КЕО) установлен на уровне ≥0,5% против ≥2–3% в ЕС (EN 17037) и США (IES/ASHRAE), а искусственная освещённость на входах — ≥6 лк против 100–300 лк [СП 52.13330.2010](https://docs.cntd.ru/document/871001026). Инсоляция в РФ варьируется от 1,5 до 3 часов в сутки в зависимости от широты, тогда как западные нормы (LEED, ГОСТ Р 21.514-2025) требуют годового баланса полезного света (Daylight Factor ≥2%, sDA ≥55%) [НСП, 2025](https://nsp.ru/42095-novyi-gost-po-insolyacii-i-osveshheniyu-vstupil-v-silu-cto-izmenitsya-v-proektnoi-dokumentacii). По шумоизоляции межквартирных конструкций РФ допускает Rw ≥52–62 дБ, в то время как DIN 4109 (ЕС) и ASTM E90 (США) требуют ≥55–70 дБ с учётом ударного шума [Cyberleninka, 2024](https://cyberleninka.ru/article/n/otechestvennye-i-zarubezhnye-normy-po-zvukoizolyacii).</w:t>
      </w:r>
    </w:p>
    <w:p>
      <w:r>
        <w:rPr>
          <w:rFonts w:ascii="Arial" w:hAnsi="Arial"/>
          <w:sz w:val="22"/>
        </w:rPr>
        <w:t>Возникает конкурирующая гипотеза относительно природы ценовой премии. Согласно первой версии, строгие экологические и акустические стандарты в ЕС/США формируют прямую премию к стоимости жилья на 10–25% за счёт гарантированного комфорта и энергоэффективности, тогда как мягкие нормы РФ позволяют девелоперам максимизировать плотность застройки, создавая ценовой разрыв в 20–50% между Москвой и городами Запада [ARD Expert, 2024](https://ardexpert.ru/article/7472). Альтернативная версия предполагает, что в РФ премия формируется не физическими параметрами здания, а качеством mixed-use инфраструктуры, локацией и сервисами, что компенсирует более низкие базовые строительные нормы. Вторая гипотеза слабее обоснована прямыми инструментальными замерами, но сильнее подтверждается рыночной динамикой продаж и инвестиционными потоками в гибридные проекты. Обе модели сосуществуют: в премиум-сегменте девелоперы добровольно повышают стандарты (шум, свет, smart-подготовка) для оправдания цены, в масс-маркете опираются на минимальные требования СП для снижения себестоимости.</w:t>
      </w:r>
    </w:p>
    <w:p>
      <w:pPr>
        <w:pStyle w:val="Heading3"/>
      </w:pPr>
      <w:r>
        <w:rPr>
          <w:rFonts w:ascii="Arial" w:hAnsi="Arial"/>
          <w:color w:val="1B3A5C"/>
        </w:rPr>
        <w:t>Источники</w:t>
      </w:r>
    </w:p>
    <w:p>
      <w:pPr>
        <w:pStyle w:val="ListBullet"/>
      </w:pPr>
      <w:r>
        <w:rPr>
          <w:rFonts w:ascii="Arial" w:hAnsi="Arial"/>
          <w:color w:val="2E86C1"/>
          <w:sz w:val="20"/>
        </w:rPr>
        <w:t>📊 В ЖК GloraX Октябрьский внедрено более 30 вариантов гибких планировок с минимизацией несущих стен для трансформации студий в евродвушки.</w:t>
      </w:r>
      <w:r>
        <w:rPr>
          <w:rFonts w:ascii="Arial" w:hAnsi="Arial"/>
          <w:i/>
          <w:color w:val="555555"/>
          <w:sz w:val="18"/>
        </w:rPr>
        <w:t xml:space="preserve">  [secondary] </w:t>
      </w:r>
      <w:r>
        <w:rPr>
          <w:rFonts w:ascii="Arial" w:hAnsi="Arial"/>
          <w:color w:val="555555"/>
          <w:sz w:val="18"/>
        </w:rPr>
        <w:t>https://kluch.media/materials/kvartira-kotoraya-podstraivaetsya-pod-vashu-zhizn-gibkie-planirovki-v-glorax-oktyabrskiy/?erid=2VfnxyK1zor</w:t>
      </w:r>
    </w:p>
    <w:p>
      <w:pPr>
        <w:pStyle w:val="ListBullet"/>
      </w:pPr>
      <w:r>
        <w:rPr>
          <w:rFonts w:ascii="Arial" w:hAnsi="Arial"/>
          <w:sz w:val="20"/>
        </w:rPr>
        <w:t>ЖК Легенда (СПб) реализует концепцию гранд-квартир с открытым зонированием под большие семьи и хобби-зоны.</w:t>
      </w:r>
      <w:r>
        <w:rPr>
          <w:rFonts w:ascii="Arial" w:hAnsi="Arial"/>
          <w:i/>
          <w:color w:val="555555"/>
          <w:sz w:val="18"/>
        </w:rPr>
        <w:t xml:space="preserve">  [primary] </w:t>
      </w:r>
      <w:r>
        <w:rPr>
          <w:rFonts w:ascii="Arial" w:hAnsi="Arial"/>
          <w:color w:val="555555"/>
          <w:sz w:val="18"/>
        </w:rPr>
        <w:t>https://legenda-s.ru/realty/grand-flats/</w:t>
      </w:r>
    </w:p>
    <w:p>
      <w:pPr>
        <w:pStyle w:val="ListBullet"/>
      </w:pPr>
      <w:r>
        <w:rPr>
          <w:rFonts w:ascii="Arial" w:hAnsi="Arial"/>
          <w:color w:val="2E86C1"/>
          <w:sz w:val="20"/>
        </w:rPr>
        <w:t>📊 Легализация перепланировки по ЖК РФ требует согласования до 45 дней, запрещён перенос мокрых зон и лоджий &lt;1,2 м.</w:t>
      </w:r>
      <w:r>
        <w:rPr>
          <w:rFonts w:ascii="Arial" w:hAnsi="Arial"/>
          <w:i/>
          <w:color w:val="555555"/>
          <w:sz w:val="18"/>
        </w:rPr>
        <w:t xml:space="preserve">  [secondary] </w:t>
      </w:r>
      <w:r>
        <w:rPr>
          <w:rFonts w:ascii="Arial" w:hAnsi="Arial"/>
          <w:color w:val="555555"/>
          <w:sz w:val="18"/>
        </w:rPr>
        <w:t>https://spb.pereplan-one.ru/blog/chto-schitayetsya-pereplanirovkoy-kvartiry-polniy-spisok-rabot-i-pravil/</w:t>
      </w:r>
    </w:p>
    <w:p>
      <w:pPr>
        <w:pStyle w:val="ListBullet"/>
      </w:pPr>
      <w:r>
        <w:rPr>
          <w:rFonts w:ascii="Arial" w:hAnsi="Arial"/>
          <w:color w:val="2E86C1"/>
          <w:sz w:val="20"/>
        </w:rPr>
        <w:t>📊 В Москве mixed-use (&gt;500 квартир) продаётся на 30% быстрее и на 20–30% дороже; инвестиции в 2024 г. &gt;1,1 трлн руб.</w:t>
      </w:r>
      <w:r>
        <w:rPr>
          <w:rFonts w:ascii="Arial" w:hAnsi="Arial"/>
          <w:i/>
          <w:color w:val="555555"/>
          <w:sz w:val="18"/>
        </w:rPr>
        <w:t xml:space="preserve">  [secondary] </w:t>
      </w:r>
      <w:r>
        <w:rPr>
          <w:rFonts w:ascii="Arial" w:hAnsi="Arial"/>
          <w:color w:val="555555"/>
          <w:sz w:val="18"/>
        </w:rPr>
        <w:t>https://www.vedomosti.ru/press_releases/2025/10/16/v-capital-group-rasskazali-ob-usloviyah-uspeshnoi-realizatsii-proektov-kommercheskoi-nedvizhimosti</w:t>
      </w:r>
    </w:p>
    <w:p>
      <w:pPr>
        <w:pStyle w:val="ListBullet"/>
      </w:pPr>
      <w:r>
        <w:rPr>
          <w:rFonts w:ascii="Arial" w:hAnsi="Arial"/>
          <w:color w:val="2E86C1"/>
          <w:sz w:val="20"/>
        </w:rPr>
        <w:t>📊 Дефицит офисов (ставки до 70 тыс. руб./м²/год, спрос 2,24 млн м² в 2024) стимулирует спрос на гибридные проекты.</w:t>
      </w:r>
      <w:r>
        <w:rPr>
          <w:rFonts w:ascii="Arial" w:hAnsi="Arial"/>
          <w:i/>
          <w:color w:val="555555"/>
          <w:sz w:val="18"/>
        </w:rPr>
        <w:t xml:space="preserve">  [secondary] </w:t>
      </w:r>
      <w:r>
        <w:rPr>
          <w:rFonts w:ascii="Arial" w:hAnsi="Arial"/>
          <w:color w:val="555555"/>
          <w:sz w:val="18"/>
        </w:rPr>
        <w:t>https://office-news.ru/rynok-kommercheskoj-nedvizhimosti-rossii-v-i-polugodii-2025-goda-kljuchevye-trendy-i-prognozy-ot-nf-group/analitika/</w:t>
      </w:r>
    </w:p>
    <w:p>
      <w:pPr>
        <w:pStyle w:val="ListBullet"/>
      </w:pPr>
      <w:r>
        <w:rPr>
          <w:rFonts w:ascii="Arial" w:hAnsi="Arial"/>
          <w:color w:val="2E86C1"/>
          <w:sz w:val="20"/>
        </w:rPr>
        <w:t>📊 К 2026 г. 43% нового строительства ТЦ/МФК в РФ будет в формате mixed-use, до 70% рынка займут непрофильные девелоперы.</w:t>
      </w:r>
      <w:r>
        <w:rPr>
          <w:rFonts w:ascii="Arial" w:hAnsi="Arial"/>
          <w:i/>
          <w:color w:val="555555"/>
          <w:sz w:val="18"/>
        </w:rPr>
        <w:t xml:space="preserve">  [secondary] </w:t>
      </w:r>
      <w:r>
        <w:rPr>
          <w:rFonts w:ascii="Arial" w:hAnsi="Arial"/>
          <w:color w:val="555555"/>
          <w:sz w:val="18"/>
        </w:rPr>
        <w:t>https://cre.ru/analytics/101286</w:t>
      </w:r>
    </w:p>
    <w:p>
      <w:pPr>
        <w:pStyle w:val="ListBullet"/>
      </w:pPr>
      <w:r>
        <w:rPr>
          <w:rFonts w:ascii="Arial" w:hAnsi="Arial"/>
          <w:color w:val="2E86C1"/>
          <w:sz w:val="20"/>
        </w:rPr>
        <w:t>📊 Нормы РФ по свету и инсоляции (КЕО ≥0,5%, 1,5–3 ч/сут) мягче западных (EN 17037/LEED: ≥2–3%, DF≥2%, sDA≥55%).</w:t>
      </w:r>
      <w:r>
        <w:rPr>
          <w:rFonts w:ascii="Arial" w:hAnsi="Arial"/>
          <w:i/>
          <w:color w:val="555555"/>
          <w:sz w:val="18"/>
        </w:rPr>
        <w:t xml:space="preserve">  [secondary] </w:t>
      </w:r>
      <w:r>
        <w:rPr>
          <w:rFonts w:ascii="Arial" w:hAnsi="Arial"/>
          <w:color w:val="555555"/>
          <w:sz w:val="18"/>
        </w:rPr>
        <w:t>https://docs.cntd.ru/document/871001026</w:t>
      </w:r>
    </w:p>
    <w:p>
      <w:pPr>
        <w:pStyle w:val="ListBullet"/>
      </w:pPr>
      <w:r>
        <w:rPr>
          <w:rFonts w:ascii="Arial" w:hAnsi="Arial"/>
          <w:color w:val="2E86C1"/>
          <w:sz w:val="20"/>
        </w:rPr>
        <w:t>📊 Шумоизоляция в РФ (Rw ≥52–62 дБ) уступает стандартам ЕС/США (≥55–70 дБ, STC ≥50–65) с учётом ударного шума.</w:t>
      </w:r>
      <w:r>
        <w:rPr>
          <w:rFonts w:ascii="Arial" w:hAnsi="Arial"/>
          <w:i/>
          <w:color w:val="555555"/>
          <w:sz w:val="18"/>
        </w:rPr>
        <w:t xml:space="preserve">  [secondary] </w:t>
      </w:r>
      <w:r>
        <w:rPr>
          <w:rFonts w:ascii="Arial" w:hAnsi="Arial"/>
          <w:color w:val="555555"/>
          <w:sz w:val="18"/>
        </w:rPr>
        <w:t>https://cyberleninka.ru/article/n/otechestvennye-i-zarubezhnye-normy-po-zvukoizolyacii</w:t>
      </w:r>
    </w:p>
    <w:p>
      <w:pPr>
        <w:pStyle w:val="ListBullet"/>
      </w:pPr>
      <w:r>
        <w:rPr>
          <w:rFonts w:ascii="Arial" w:hAnsi="Arial"/>
          <w:color w:val="2E86C1"/>
          <w:sz w:val="20"/>
        </w:rPr>
        <w:t>📊 Мягкие нормы РФ позволяют увеличить плотность застройки, создавая ценовой разрыв 20–50% с городами ЕС/США.</w:t>
      </w:r>
      <w:r>
        <w:rPr>
          <w:rFonts w:ascii="Arial" w:hAnsi="Arial"/>
          <w:i/>
          <w:color w:val="555555"/>
          <w:sz w:val="18"/>
        </w:rPr>
        <w:t xml:space="preserve">  [secondary] </w:t>
      </w:r>
      <w:r>
        <w:rPr>
          <w:rFonts w:ascii="Arial" w:hAnsi="Arial"/>
          <w:color w:val="555555"/>
          <w:sz w:val="18"/>
        </w:rPr>
        <w:t>https://ardexpert.ru/article/7472</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рыночные премии в mixed-use проектах (20–30%) сохраняются при текущей макроэкономической волатильности и ставках по ипотеке.</w:t>
      </w:r>
    </w:p>
    <w:p>
      <w:pPr>
        <w:pStyle w:val="ListBullet"/>
      </w:pPr>
      <w:r>
        <w:rPr>
          <w:rFonts w:ascii="Arial" w:hAnsi="Arial"/>
          <w:sz w:val="20"/>
        </w:rPr>
        <w:t>Данные NF Group и Capital Group по инвестициям и спросу считаются репрезентативными для всего рынка коммерческой и жилой недвижимости РФ.</w:t>
      </w:r>
    </w:p>
    <w:p>
      <w:pPr>
        <w:pStyle w:val="ListBullet"/>
      </w:pPr>
      <w:r>
        <w:rPr>
          <w:rFonts w:ascii="Arial" w:hAnsi="Arial"/>
          <w:sz w:val="20"/>
        </w:rPr>
        <w:t>Нормативные показатели (КЕО, Rw, инсоляция) принимаются как фактические проектные значения, без учёта возможных отклонений при строительстве и эксплуатации.</w:t>
      </w:r>
    </w:p>
    <w:p>
      <w:pPr>
        <w:pStyle w:val="ListBullet"/>
      </w:pPr>
      <w:r>
        <w:rPr>
          <w:rFonts w:ascii="Arial" w:hAnsi="Arial"/>
          <w:sz w:val="20"/>
        </w:rPr>
        <w:t>Тренд на смешанную застройку в регионах экстраполируется на основе данных по Новосибирску и общероссийской складской логистике.</w:t>
      </w:r>
    </w:p>
    <w:p>
      <w:pPr>
        <w:pStyle w:val="ListBullet"/>
      </w:pPr>
      <w:r>
        <w:rPr>
          <w:rFonts w:ascii="Arial" w:hAnsi="Arial"/>
          <w:sz w:val="20"/>
        </w:rPr>
        <w:t>Сравнение цен РФ и ЕС/США базируется на экспертных мультипликаторах, а не на прямых транзакционных данных вторичного рынка.</w:t>
      </w:r>
    </w:p>
    <w:p>
      <w:pPr>
        <w:pStyle w:val="Heading3"/>
      </w:pPr>
      <w:r>
        <w:rPr>
          <w:rFonts w:ascii="Arial" w:hAnsi="Arial"/>
          <w:color w:val="1B3A5C"/>
        </w:rPr>
        <w:t>Пробелы / куда копать</w:t>
      </w:r>
    </w:p>
    <w:p>
      <w:pPr>
        <w:pStyle w:val="ListBullet"/>
      </w:pPr>
      <w:r>
        <w:rPr>
          <w:rFonts w:ascii="Arial" w:hAnsi="Arial"/>
          <w:sz w:val="20"/>
        </w:rPr>
        <w:t>Отсутствуют данные о реальной доле smart-home систем в сданных ЖК РФ (2023–2025) и их влиянии на цену квадратного метра.</w:t>
      </w:r>
    </w:p>
    <w:p>
      <w:pPr>
        <w:pStyle w:val="ListBullet"/>
      </w:pPr>
      <w:r>
        <w:rPr>
          <w:rFonts w:ascii="Arial" w:hAnsi="Arial"/>
          <w:sz w:val="20"/>
        </w:rPr>
        <w:t>Нет статистики по удовлетворённости жильцов гибкими планировками и частоте легализованных перепланировок после сдачи объекта.</w:t>
      </w:r>
    </w:p>
    <w:p>
      <w:pPr>
        <w:pStyle w:val="ListBullet"/>
      </w:pPr>
      <w:r>
        <w:rPr>
          <w:rFonts w:ascii="Arial" w:hAnsi="Arial"/>
          <w:sz w:val="20"/>
        </w:rPr>
        <w:t>Не найдены муниципальные стратегии развития mixed-use в регионах (кроме Новосибирска) и расчёты рентабельности таких проектов при текущих ставках ЦБ.</w:t>
      </w:r>
    </w:p>
    <w:p>
      <w:pPr>
        <w:pStyle w:val="ListBullet"/>
      </w:pPr>
      <w:r>
        <w:rPr>
          <w:rFonts w:ascii="Arial" w:hAnsi="Arial"/>
          <w:sz w:val="20"/>
        </w:rPr>
        <w:t>Отсутствуют прямые сравнительные замеры фактической инсоляции и уровня шума в типовых новостройках РФ против заявленных нормативов СП.</w:t>
      </w:r>
    </w:p>
    <w:p>
      <w:pPr>
        <w:pStyle w:val="ListBullet"/>
      </w:pPr>
      <w:r>
        <w:rPr>
          <w:rFonts w:ascii="Arial" w:hAnsi="Arial"/>
          <w:sz w:val="20"/>
        </w:rPr>
        <w:t>Нет данных о том, как девелоперы компенсируют мягкие нормативы (шум, свет) в премиум-сегменте: используются ли дополнительные материалы или архитектурные приёмы.</w:t>
      </w:r>
    </w:p>
    <w:p/>
    <w:p>
      <w:pPr>
        <w:pBdr>
          <w:left w:val="single" w:sz="36" w:space="6" w:color="C0392B"/>
        </w:pBdr>
      </w:pPr>
      <w:r>
        <w:rPr>
          <w:rFonts w:ascii="Arial" w:hAnsi="Arial"/>
          <w:b/>
          <w:color w:val="1B3A5C"/>
          <w:sz w:val="28"/>
        </w:rPr>
        <w:t>Технологии и цифровизация строительства / Экономика внедрения</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ROI цифровизации варьируется от 25% до 1500% в зависимости от методологии учёта скрытых издержек интеграции.</w:t>
      </w:r>
    </w:p>
    <w:p>
      <w:r>
        <w:rPr>
          <w:rFonts w:ascii="Arial" w:hAnsi="Arial"/>
          <w:b/>
          <w:color w:val="1B3A5C"/>
        </w:rPr>
        <w:t xml:space="preserve">Сильнейшая цифра: </w:t>
      </w:r>
      <w:r>
        <w:rPr>
          <w:rFonts w:ascii="Arial" w:hAnsi="Arial"/>
          <w:b/>
          <w:color w:val="2E86C1"/>
        </w:rPr>
        <w:t>Системы умного дома формируют ценовую премию 5–15% к стоимости 1 м² и ускоряют продажи на 20–30% (kanschool43.ru).</w:t>
      </w:r>
    </w:p>
    <w:p>
      <w:r>
        <w:rPr>
          <w:rFonts w:ascii="Arial" w:hAnsi="Arial"/>
          <w:b/>
          <w:color w:val="1B3A5C"/>
        </w:rPr>
        <w:t xml:space="preserve">Главный пробел: </w:t>
      </w:r>
      <w:r>
        <w:rPr>
          <w:rFonts w:ascii="Arial" w:hAnsi="Arial"/>
        </w:rPr>
        <w:t>Найти внутренние управленческие отчёты ПИК/Самолет с разбивкой IT-CAPEX/OPEX для расчёта реального ROI.</w:t>
      </w:r>
    </w:p>
    <w:p>
      <w:r>
        <w:rPr>
          <w:rFonts w:ascii="Arial" w:hAnsi="Arial"/>
          <w:i/>
          <w:color w:val="555555"/>
          <w:sz w:val="18"/>
        </w:rPr>
        <w:t>Оценка: новизна 2/3 · конкретность 2/3 · применимость 3/3</w:t>
      </w:r>
    </w:p>
    <w:p>
      <w:r>
        <w:rPr>
          <w:rFonts w:ascii="Arial" w:hAnsi="Arial"/>
          <w:sz w:val="22"/>
        </w:rPr>
        <w:t>Прямой расчет возврата инвестиций (ROI) от внедрения BIM-технологий и искусственного интеллекта в крупнейших российских девелоперских холдингах (ПИК, ГК «Самолет», ЛСР) на основе публичной финансовой отчетности невозможен. Компании не выделяют статьи затрат на цифровизацию в РСБУ/МСФО и не раскрывают изолированный экономический эффект по отдельным проектам. Доступные оценки носят экспертно-модельный характер и базируются на отраслевых обзорах, пилотных кейсах и расчетах вендоров. Тем не менее, агрегация вторичных данных позволяет выстроить экономическую модель внедрения.</w:t>
      </w:r>
    </w:p>
    <w:p>
      <w:r>
        <w:rPr>
          <w:rFonts w:ascii="Arial" w:hAnsi="Arial"/>
          <w:sz w:val="22"/>
        </w:rPr>
        <w:t>Базовые отраслевые оценки указывают на срок окупаемости цифровых решений в диапазоне 1–3 лет при ROI от 25% до 180%, сопровождаясь сокращением прямых затрат на 5–30% и ускорением реализации проектов на 10–40% ([vstuplenie-sro.com](https://vstuplenie-sro.com/2025/06/30/iskusstvennyj-intellekt-v-stroitelnoj-otrasli-obzor-rossijskogo-i-mezhdunarodnogo-opyta/)). Однако существует заметное расхождение с вендорскими моделями: на примере проекта со сметой 1 млрд руб. расчеты показывают экономию 80–150 млн руб. (8–15%) при затратах на ПО в 10–20 млн руб., что формирует расчетный ROI 300–1500% за первый год и окупаемость менее 2 лет ([secrets.tbank.ru](https://secrets.tbank.ru/blogi-kompanij/ai-resheniya-dlya-zastrojshikov/)). Данное противоречие объясняется различием в методологии учета: отраслевые отчеты включают накладные расходы на интеграцию, обучение персонала и временное снижение производительности на этапе перехода, тогда как вендорские расчеты фокусируются исключительно на прямых операционных выгодах без учета стоимости организационных изменений. Слабее обоснована вендорская модель, так как она игнорирует скрытые издержки трансформации бизнес-процессов и риски адаптации legacy-систем.</w:t>
      </w:r>
    </w:p>
    <w:p>
      <w:r>
        <w:rPr>
          <w:rFonts w:ascii="Arial" w:hAnsi="Arial"/>
          <w:sz w:val="22"/>
        </w:rPr>
        <w:t>Экономический эффект цифровизации проявляется не только в снижении себестоимости строительства, но и в изменении структуры выручки. Внедрение систем умного дома (IoT, BMS) формирует ценовую премию на уровне 5–15% к стоимости 1 м² готового жилья, одновременно ускоряя темпы продаж на 20–30% и сокращая долгосрочные эксплуатационные расходы (OPEX) до 50% ([kanschool43.ru](https://kanschool43.ru/kak-tehnologii-vliyayut-na-stoimost-zagorodnoy-nedvizhimosti-vliyanie-smart-domov-i-ustoychivyh-tehnologiy-na-tsenovye-trendy/)). Эта динамика полностью коррелирует с глобальными бенчмарками, где устойчивые и автоматизированные решения обеспечивают премию 4–15% на рынках США и ЕС ([insyte.ru](https://insyte.ru/kak-tehnologii-umnogo-doma-povyshayut-stoimost-nedvizhimosti)). Парадоксально, но цифровизация и стандартизация процессов способны снизить себестоимость строительства на 10–20% и ускорить ввод объектов на 20–30% ([fittin.ru](https://fittin.ru/contentzavod/view/kak-standartizatsiya-i-tsifrovizatsiya-menyayut-stroitelnuyu-otrasl-ot-zhilischnogo-stroitelstva-do)), однако в РФ при объеме ввода 100,6 млн м² в год конечная стоимость жилья остается высокой из-за макроэкономических факторов и низкой платежеспособности спроса. Таким образом, экономия на этапе строительства не транслируется напрямую в снижение цен для покупателя, а конвертируется в маржинальность девелопера или инвестируется в повышение класса объекта.</w:t>
      </w:r>
    </w:p>
    <w:p>
      <w:r>
        <w:rPr>
          <w:rFonts w:ascii="Arial" w:hAnsi="Arial"/>
          <w:sz w:val="22"/>
        </w:rPr>
        <w:t>На операционном уровне крупные игроки фиксируют измеримые эффекты: ПИК экономит сотни миллионов рублей на автоматизированном контроле качества, а ГК «Самолет» добивается снижения производственного травматизма на 30% за счет ИИ-мониторинга площадок ([softmedialab.com](https://softmedialab.com/how-ai-is-changing-development)). ДОМ.РФ, в свою очередь, применяет ИИ-сервисы для прогнозирования ликвидности и темпов ввода, что оптимизирует кассовые разрывы и снижает стоимость привлечения проектного финансирования.</w:t>
      </w:r>
    </w:p>
    <w:p>
      <w:r>
        <w:rPr>
          <w:rFonts w:ascii="Arial" w:hAnsi="Arial"/>
          <w:sz w:val="22"/>
        </w:rPr>
        <w:t>Структура капитальных затрат на цифровизацию в 2023–2025 гг. существенно искажена санкционными ограничениями. Отток западных вендоров и переход на параллельный импорт оборудования и лицензий формирует наценку на уровне 20–50%, что удлиняет срок окупаемости. Для компенсации этих издержек девелоперы активно используют механизмы государственной поддержки. В Москве действуют субсидии на ИТ-обучение персонала, покрывающие до 95% стоимости курсов с лимитом 120 тыс. руб. на сотрудника и 10 млн руб. на компанию при наличии аккредитации ([ppt.ru](https://ppt.ru/question/vozmeshchenie-rashodov/kak-vozmestit-zatraty-na-obuchenie-sotrudnikov-kommercheskoy-organizatsii)). Дополнительно, ИТ-аккредитованные компании, внедряющие отечественное ПО, получают налоговые преференции: ставка налога на прибыль снижена до 5%, а страховые взносы — до 7,6% ([moedelo.org](https://www.moedelo.org/club/nalogovyj-uchet/raskhody-na-obuchenie-sotrudnikov-nalog-na-pribyl)). Эти меры частично нивелируют рост CAPEX на закупку софта и переобучение команд, делая экономику внедрения устойчивой даже в условиях технологической изоляции.</w:t>
      </w:r>
    </w:p>
    <w:p>
      <w:r>
        <w:rPr>
          <w:rFonts w:ascii="Arial" w:hAnsi="Arial"/>
          <w:sz w:val="22"/>
        </w:rPr>
        <w:t>В целом, экономика цифровизации в российском строительстве смещается от модели «снижения издержек» к модели «управления рисками и повышения ценовой привлекательности». ROI остается положительным, но его реализация требует учета скрытых затрат на интеграцию, санкционных наценок на оборудование и активного использования налоговых льгот.</w:t>
      </w:r>
    </w:p>
    <w:p>
      <w:pPr>
        <w:pStyle w:val="Heading3"/>
      </w:pPr>
      <w:r>
        <w:rPr>
          <w:rFonts w:ascii="Arial" w:hAnsi="Arial"/>
          <w:color w:val="1B3A5C"/>
        </w:rPr>
        <w:t>Источники</w:t>
      </w:r>
    </w:p>
    <w:p>
      <w:pPr>
        <w:pStyle w:val="ListBullet"/>
      </w:pPr>
      <w:r>
        <w:rPr>
          <w:rFonts w:ascii="Arial" w:hAnsi="Arial"/>
          <w:color w:val="2E86C1"/>
          <w:sz w:val="20"/>
        </w:rPr>
        <w:t>📊 Отраслевые оценки указывают на окупаемость 1–3 года при ROI 25–180%, сокращении затрат на 5–30% и сроков на 10–40%.</w:t>
      </w:r>
      <w:r>
        <w:rPr>
          <w:rFonts w:ascii="Arial" w:hAnsi="Arial"/>
          <w:i/>
          <w:color w:val="555555"/>
          <w:sz w:val="18"/>
        </w:rPr>
        <w:t xml:space="preserve">  [secondary] </w:t>
      </w:r>
      <w:r>
        <w:rPr>
          <w:rFonts w:ascii="Arial" w:hAnsi="Arial"/>
          <w:color w:val="555555"/>
          <w:sz w:val="18"/>
        </w:rPr>
        <w:t>https://vstuplenie-sro.com/2025/06/30/iskusstvennyj-intellekt-v-stroitelnoj-otrasli-obzor-rossijskogo-i-mezhdunarodnogo-opyta/</w:t>
      </w:r>
    </w:p>
    <w:p>
      <w:pPr>
        <w:pStyle w:val="ListBullet"/>
      </w:pPr>
      <w:r>
        <w:rPr>
          <w:rFonts w:ascii="Arial" w:hAnsi="Arial"/>
          <w:color w:val="2E86C1"/>
          <w:sz w:val="20"/>
        </w:rPr>
        <w:t>📊 Вендорские модели на примере проекта в 1 млрд руб. прогнозируют экономию 80–150 млн руб. при затратах на ПО 10–20 млн руб., что дает ROI 300–1500% и окупаемость &lt;2 лет.</w:t>
      </w:r>
      <w:r>
        <w:rPr>
          <w:rFonts w:ascii="Arial" w:hAnsi="Arial"/>
          <w:i/>
          <w:color w:val="555555"/>
          <w:sz w:val="18"/>
        </w:rPr>
        <w:t xml:space="preserve">  [secondary] </w:t>
      </w:r>
      <w:r>
        <w:rPr>
          <w:rFonts w:ascii="Arial" w:hAnsi="Arial"/>
          <w:color w:val="555555"/>
          <w:sz w:val="18"/>
        </w:rPr>
        <w:t>https://secrets.tbank.ru/blogi-kompanij/ai-resheniya-dlya-zastrojshikov/</w:t>
      </w:r>
    </w:p>
    <w:p>
      <w:pPr>
        <w:pStyle w:val="ListBullet"/>
      </w:pPr>
      <w:r>
        <w:rPr>
          <w:rFonts w:ascii="Arial" w:hAnsi="Arial"/>
          <w:color w:val="2E86C1"/>
          <w:sz w:val="20"/>
        </w:rPr>
        <w:t>📊 Внедрение IoT и BMS повышает стоимость 1 м² на 5–15%, ускоряет продажи на 20–30% и снижает OPEX на 50%.</w:t>
      </w:r>
      <w:r>
        <w:rPr>
          <w:rFonts w:ascii="Arial" w:hAnsi="Arial"/>
          <w:i/>
          <w:color w:val="555555"/>
          <w:sz w:val="18"/>
        </w:rPr>
        <w:t xml:space="preserve">  [secondary] </w:t>
      </w:r>
      <w:r>
        <w:rPr>
          <w:rFonts w:ascii="Arial" w:hAnsi="Arial"/>
          <w:color w:val="555555"/>
          <w:sz w:val="18"/>
        </w:rPr>
        <w:t>https://kanschool43.ru/kak-tehnologii-vliyayut-na-stoimost-zagorodnoy-nedvizhimosti-vliyanie-smart-domov-i-ustoychivyh-tehnologiy-na-tsenovye-trendy/</w:t>
      </w:r>
    </w:p>
    <w:p>
      <w:pPr>
        <w:pStyle w:val="ListBullet"/>
      </w:pPr>
      <w:r>
        <w:rPr>
          <w:rFonts w:ascii="Arial" w:hAnsi="Arial"/>
          <w:color w:val="2E86C1"/>
          <w:sz w:val="20"/>
        </w:rPr>
        <w:t>📊 Цифровизация и стандартизация снижают себестоимость на 10–20% и ускоряют ввод на 20–30%, но высокая конечная цена сохраняется из-за макрофакторов при объеме ввода 100,6 млн м²/год.</w:t>
      </w:r>
      <w:r>
        <w:rPr>
          <w:rFonts w:ascii="Arial" w:hAnsi="Arial"/>
          <w:i/>
          <w:color w:val="555555"/>
          <w:sz w:val="18"/>
        </w:rPr>
        <w:t xml:space="preserve">  [secondary] </w:t>
      </w:r>
      <w:r>
        <w:rPr>
          <w:rFonts w:ascii="Arial" w:hAnsi="Arial"/>
          <w:color w:val="555555"/>
          <w:sz w:val="18"/>
        </w:rPr>
        <w:t>https://fittin.ru/contentzavod/view/kak-standartizatsiya-i-tsifrovizatsiya-menyayut-stroitelnuyu-otrasl-ot-zhilischnogo-stroitelstva-do</w:t>
      </w:r>
    </w:p>
    <w:p>
      <w:pPr>
        <w:pStyle w:val="ListBullet"/>
      </w:pPr>
      <w:r>
        <w:rPr>
          <w:rFonts w:ascii="Arial" w:hAnsi="Arial"/>
          <w:color w:val="2E86C1"/>
          <w:sz w:val="20"/>
        </w:rPr>
        <w:t>📊 ПИК экономит сотни млн руб. на контроле качества, Самолет снижает травматизм на 30% ИИ-мониторингом, ДОМ.РФ использует ИИ для прогнозирования ликвидности.</w:t>
      </w:r>
      <w:r>
        <w:rPr>
          <w:rFonts w:ascii="Arial" w:hAnsi="Arial"/>
          <w:i/>
          <w:color w:val="555555"/>
          <w:sz w:val="18"/>
        </w:rPr>
        <w:t xml:space="preserve">  [secondary] </w:t>
      </w:r>
      <w:r>
        <w:rPr>
          <w:rFonts w:ascii="Arial" w:hAnsi="Arial"/>
          <w:color w:val="555555"/>
          <w:sz w:val="18"/>
        </w:rPr>
        <w:t>https://softmedialab.com/how-ai-is-changing-development</w:t>
      </w:r>
    </w:p>
    <w:p>
      <w:pPr>
        <w:pStyle w:val="ListBullet"/>
      </w:pPr>
      <w:r>
        <w:rPr>
          <w:rFonts w:ascii="Arial" w:hAnsi="Arial"/>
          <w:color w:val="2E86C1"/>
          <w:sz w:val="20"/>
        </w:rPr>
        <w:t>📊 Московские субсидии покрывают до 95% затрат на ИТ-обучение (лимит 120 тыс. руб./сотр., 10 млн руб./комп.), а ИТ-аккредитация снижает налог на прибыль до 5% и взносы до 7,6%.</w:t>
      </w:r>
      <w:r>
        <w:rPr>
          <w:rFonts w:ascii="Arial" w:hAnsi="Arial"/>
          <w:i/>
          <w:color w:val="555555"/>
          <w:sz w:val="18"/>
        </w:rPr>
        <w:t xml:space="preserve">  [secondary] </w:t>
      </w:r>
      <w:r>
        <w:rPr>
          <w:rFonts w:ascii="Arial" w:hAnsi="Arial"/>
          <w:color w:val="555555"/>
          <w:sz w:val="18"/>
        </w:rPr>
        <w:t>https://ppt.ru/question/vozmeshchenie-rashodov/kak-vozmestit-zatraty-na-obuchenie-sotrudnikov-kommercheskoy-organizatsii</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экспертные оценки ROI из вторичных источников репрезентативны для средних по рынку проектов, несмотря на отсутствие публичной финансовой детализации.</w:t>
      </w:r>
    </w:p>
    <w:p>
      <w:pPr>
        <w:pStyle w:val="ListBullet"/>
      </w:pPr>
      <w:r>
        <w:rPr>
          <w:rFonts w:ascii="Arial" w:hAnsi="Arial"/>
          <w:sz w:val="20"/>
        </w:rPr>
        <w:t>Считается, что наценка 20–50% на оборудование и ПО при параллельном импорте сохраняется стабильной в 2024–2025 гг. без учета возможных изменений логистических цепочек.</w:t>
      </w:r>
    </w:p>
    <w:p>
      <w:pPr>
        <w:pStyle w:val="ListBullet"/>
      </w:pPr>
      <w:r>
        <w:rPr>
          <w:rFonts w:ascii="Arial" w:hAnsi="Arial"/>
          <w:sz w:val="20"/>
        </w:rPr>
        <w:t>Принимается, что государственные субсидии и налоговые льготы доступны большинству крупных девелоперов при условии формальной ИТ-аккредитации дочерних структур.</w:t>
      </w:r>
    </w:p>
    <w:p>
      <w:pPr>
        <w:pStyle w:val="ListBullet"/>
      </w:pPr>
      <w:r>
        <w:rPr>
          <w:rFonts w:ascii="Arial" w:hAnsi="Arial"/>
          <w:sz w:val="20"/>
        </w:rPr>
        <w:t>Моделируется, что снижение себестоимости строительства на 10–20% не транслируется в розничную цену, а поглощается маржой или инвестируется в повышение класса объекта.</w:t>
      </w:r>
    </w:p>
    <w:p>
      <w:pPr>
        <w:pStyle w:val="ListBullet"/>
      </w:pPr>
      <w:r>
        <w:rPr>
          <w:rFonts w:ascii="Arial" w:hAnsi="Arial"/>
          <w:sz w:val="20"/>
        </w:rPr>
        <w:t>Данные по снижению травматизма и OPEX экстраполируются на отрасль в целом, хотя они получены из единичных пилотных кейсов конкретных компаний.</w:t>
      </w:r>
    </w:p>
    <w:p>
      <w:pPr>
        <w:pStyle w:val="Heading3"/>
      </w:pPr>
      <w:r>
        <w:rPr>
          <w:rFonts w:ascii="Arial" w:hAnsi="Arial"/>
          <w:color w:val="1B3A5C"/>
        </w:rPr>
        <w:t>Пробелы / куда копать</w:t>
      </w:r>
    </w:p>
    <w:p>
      <w:pPr>
        <w:pStyle w:val="ListBullet"/>
      </w:pPr>
      <w:r>
        <w:rPr>
          <w:rFonts w:ascii="Arial" w:hAnsi="Arial"/>
          <w:sz w:val="20"/>
        </w:rPr>
        <w:t>Запросить у Минцифры и ФНС агрегированные данные о фактических затратах девелоперов на параллельный импорт BIM-оборудования и лицензий в 2023–2025 гг. для верификации экспертной оценки наценки 20–50%.</w:t>
      </w:r>
    </w:p>
    <w:p>
      <w:pPr>
        <w:pStyle w:val="ListBullet"/>
      </w:pPr>
      <w:r>
        <w:rPr>
          <w:rFonts w:ascii="Arial" w:hAnsi="Arial"/>
          <w:sz w:val="20"/>
        </w:rPr>
        <w:t>Найти внутренние управленческие отчеты или презентации для инвесторов ПИК/Самолет с разбивкой IT-CAPEX и OPEX по направлениям (BIM, ИИ, ERP, IoT) для расчета реального ROI.</w:t>
      </w:r>
    </w:p>
    <w:p>
      <w:pPr>
        <w:pStyle w:val="ListBullet"/>
      </w:pPr>
      <w:r>
        <w:rPr>
          <w:rFonts w:ascii="Arial" w:hAnsi="Arial"/>
          <w:sz w:val="20"/>
        </w:rPr>
        <w:t>Заказать анализ влияния цифровизации на себестоимость 1 м² в сегментах эконом/комфорт/бизнес через отраслевые отчеты ЦИАН, ДОМ.РФ или Knight Frank за 2024–2025 гг.</w:t>
      </w:r>
    </w:p>
    <w:p>
      <w:pPr>
        <w:pStyle w:val="ListBullet"/>
      </w:pPr>
      <w:r>
        <w:rPr>
          <w:rFonts w:ascii="Arial" w:hAnsi="Arial"/>
          <w:sz w:val="20"/>
        </w:rPr>
        <w:t>Собрать данные о доле девелоперов, использующих отечественное ПО (1С, Renga, NanoCAD) вместо западных аналогов (Autodesk, Bentley), и сравнить стоимость владения (TCO) за 3 года.</w:t>
      </w:r>
    </w:p>
    <w:p/>
    <w:p>
      <w:pPr>
        <w:pBdr>
          <w:left w:val="single" w:sz="36" w:space="6" w:color="C0392B"/>
        </w:pBdr>
      </w:pPr>
      <w:r>
        <w:rPr>
          <w:rFonts w:ascii="Arial" w:hAnsi="Arial"/>
          <w:b/>
          <w:color w:val="1B3A5C"/>
          <w:sz w:val="28"/>
        </w:rPr>
        <w:t>Экология и климатическая адаптация / Зелёные материалы и рыночный спрос</w:t>
      </w:r>
    </w:p>
    <w:p>
      <w:r>
        <w:rPr>
          <w:rFonts w:ascii="Arial" w:hAnsi="Arial"/>
          <w:b/>
          <w:sz w:val="20"/>
        </w:rPr>
        <w:t>Приоритет: 🔴 Высокий</w:t>
      </w:r>
    </w:p>
    <w:p>
      <w:r>
        <w:rPr>
          <w:rFonts w:ascii="Arial" w:hAnsi="Arial"/>
          <w:b/>
          <w:color w:val="1B3A5C"/>
        </w:rPr>
        <w:t xml:space="preserve">Главный вывод: </w:t>
      </w:r>
      <w:r>
        <w:rPr>
          <w:rFonts w:ascii="Arial" w:hAnsi="Arial"/>
        </w:rPr>
        <w:t>Национальная система Green Zoom вытесняет BREEAM/LEED, но добровольный статус и высокая себестоимость сдерживают массовый спрос, ограничивая сертификацию 30 жилыми объектами.</w:t>
      </w:r>
    </w:p>
    <w:p>
      <w:r>
        <w:rPr>
          <w:rFonts w:ascii="Arial" w:hAnsi="Arial"/>
          <w:b/>
          <w:color w:val="1B3A5C"/>
        </w:rPr>
        <w:t xml:space="preserve">Сильнейшая цифра: </w:t>
      </w:r>
      <w:r>
        <w:rPr>
          <w:rFonts w:ascii="Arial" w:hAnsi="Arial"/>
          <w:b/>
          <w:color w:val="2E86C1"/>
        </w:rPr>
        <w:t>Green Zoom адаптирована под российские нормы на 90%, но сертифицировано не более 30 жилых зданий по всей России (Green Zoom, Коммерсантъ).</w:t>
      </w:r>
    </w:p>
    <w:p>
      <w:r>
        <w:rPr>
          <w:rFonts w:ascii="Arial" w:hAnsi="Arial"/>
          <w:b/>
          <w:color w:val="1B3A5C"/>
        </w:rPr>
        <w:t xml:space="preserve">Главный пробел: </w:t>
      </w:r>
      <w:r>
        <w:rPr>
          <w:rFonts w:ascii="Arial" w:hAnsi="Arial"/>
        </w:rPr>
        <w:t>Найти прямые данные по премии к арендным ставкам и цене продажи для объектов с сертификацией Green Zoom в РФ за 2023–2025 гг.</w:t>
      </w:r>
    </w:p>
    <w:p>
      <w:r>
        <w:rPr>
          <w:rFonts w:ascii="Arial" w:hAnsi="Arial"/>
          <w:i/>
          <w:color w:val="555555"/>
          <w:sz w:val="18"/>
        </w:rPr>
        <w:t>Оценка: новизна 2/3 · конкретность 3/3 · применимость 2/3</w:t>
      </w:r>
    </w:p>
    <w:p>
      <w:r>
        <w:rPr>
          <w:rFonts w:ascii="Arial" w:hAnsi="Arial"/>
          <w:sz w:val="22"/>
        </w:rPr>
        <w:t>Российский рынок экологичных стройматериалов находится в стадии институционализации, опираясь на рекомендательные национальные стандарты и целевое госфинансирование. С 2022 года введены ГОСТ Р 70346-2022 для жилого строительства и система «Клевер» для коммерческих объектов, однако их добровольный статус ограничивает массовое внедрение [Forest-save, 2024](https://forest-save.ru/esg-blog/ekologicheskoe-stroitelstvo-v-rossii). Параллельно Фонд развития промышленности с 2016 года профинансировал 101 проект на 49 млрд рублей, из которых 43 уже вышли в серийное производство, охватывая клинкерную плитку, кирпич и теплоизоляцию [Ведомости, 2025](https://www.vedomosti.ru/esg/ecology/articles/2025/04/25/1106796-zelenaya-stroika-nuzhdaetsya-v-proverennih-ekomaterialah). Производители активно внедряют циклические модели: переработка каменной ваты, экструзионного пенополистирола и ПВХ-мембран, а также локализация сырья в радиусе до 800 км для снижения углеродного следа [DP.ru, 2024](https://www.dp.ru/a/2024/02/01/strojka-bez-vreda-kogo-v). Тем не менее, развитие сегмента сдерживается высокой себестоимостью «зелёных» решений и отсутствием обязательной сертификации, что стимулирует исследовательский интерес к альтернативным био-материалам (древесина, конопля, солома, мицелий) [APNI, 2024](https://apni.ru/article/10170-eko-materialy-v-sovremennom-stroitelstve-i-arhitekture-rossii-specifika-i-problemy-primeneniya).</w:t>
      </w:r>
    </w:p>
    <w:p>
      <w:r>
        <w:rPr>
          <w:rFonts w:ascii="Arial" w:hAnsi="Arial"/>
          <w:sz w:val="22"/>
        </w:rPr>
        <w:t>Геополитическая изоляция привела к структурному сдвигу в системе сертификации: международные стандарты BREEAM и LEED вытеснены национальной системой Green Zoom, которая к ноябрю 2023 года получила статус национального стандарта [Green Zoom, 2023](https://greenzoom.ru/strapi/uploads/origin_1579988561_2019_43eb0b8ce2.pdf). Система адаптирована под российские нормы на 90%, сохраняя сопоставимость с BREEAM (74%) и LEED (87%) [Green Zoom, 2023](https://greenzoom.ru/strapi/uploads/origin_1579988561_2019_43eb0b8ce2.pdf). Спрос концентрируется в Москве и Санкт-Петербурге: к 2022 году сертифицировано свыше 150 объектов (около 700 тыс. м² за 2021–2022 гг.), тогда как в жилом сегменте по всей России насчитывается не более 30 зданий [Коммерсантъ, 2023](https://www.kommersant.ru/doc/5733137). Коммерческая привлекательность сертификации подтверждается зарубежными метриками: «зелёные» офисы продаются с премией от 10%, а эксплуатационные расходы снижаются на 28–35%, что генерирует экономию до 5 млн руб. в год и формирует устойчивый запрос со стороны ESG-ориентированных арендаторов [CRE.ru, 2023](https://cre.ru/rus/analytics/1/0/41815/). В российском контексте эта экономия компенсирует первоначальные CAPEX, однако прямые данные о премии к арендным ставкам в РФ остаются фрагментарными.</w:t>
      </w:r>
    </w:p>
    <w:p>
      <w:r>
        <w:rPr>
          <w:rFonts w:ascii="Arial" w:hAnsi="Arial"/>
          <w:sz w:val="22"/>
        </w:rPr>
        <w:t>Экономическая эффективность энергоадаптивных решений в жилом строительстве демонстрирует высокую вариативность в зависимости от климатических зон и тарифной политики. Внедрение тепловых насосов сокращает операционные расходы в 4–5 раз по сравнению с дизельными и электрическими котлами, обеспечивая экономию 10–17 тыс. руб./кВт мощности при окупаемости 2–4,5 года [PEA, 2024](https://www.pea.ru/docs/articles/heatpumps-econom-aspect/). В Северо-Западном регионе показатели достигают 17 637 руб./кВт экономии и окупаемости 1–2,5 года благодаря высокому коэффициенту эффективности (COP до 4) и тарифу 6,5 руб./кВт·ч, тогда как в Центральном и Южном ФО окупаемость растягивается до 3 лет при экономии 10,5–12,8 тыс. руб./кВт [IClim, 2024](https://iclim.ru/articles/vygodno_li_ispolzovat_teplovye_nasosy_dlya_otopleniya/). Эти расчёты подтверждают, что «зелёная» трансформация экономически оправдана в регионах с высокими базовыми затратами на отопление, но требует точной привязки к локальным тарифам.</w:t>
      </w:r>
    </w:p>
    <w:p>
      <w:r>
        <w:rPr>
          <w:rFonts w:ascii="Arial" w:hAnsi="Arial"/>
          <w:sz w:val="22"/>
        </w:rPr>
        <w:t>В анализе рынка выявлены две конкурирующие гипотезы относительно драйверов спроса. Первая предполагает, что рост обусловлен экономикой жизненного цикла: снижение OPEX на 28–35% и быстрая окупаемость тепловых насосов делают «зелёные» решения рентабельными без жёсткого регулирования. Вторая гипотеза указывает на институционально-репутационный драйвер: поскольку стандарты носят рекомендательный характер, а себестоимость материалов остаётся высокой, реальный спрос генерируется преимущественно ESG-повесткой крупных девелоперов и арендаторов, стремящихся к сертификации Green Zoom для сохранения инвестиционной привлекательности. На текущем этапе вторая гипотеза выглядит слабее обоснованной в массовом жилом сегменте (≤30 сертифицированных домов), но сильнее подтверждается в коммерческой недвижимости Москвы и Санкт-Петербурга, где премия к стоимости и экономия на эксплуатации создают замкнутый цикл инвестиций.</w:t>
      </w:r>
    </w:p>
    <w:p>
      <w:pPr>
        <w:pStyle w:val="Heading3"/>
      </w:pPr>
      <w:r>
        <w:rPr>
          <w:rFonts w:ascii="Arial" w:hAnsi="Arial"/>
          <w:color w:val="1B3A5C"/>
        </w:rPr>
        <w:t>Источники</w:t>
      </w:r>
    </w:p>
    <w:p>
      <w:pPr>
        <w:pStyle w:val="ListBullet"/>
      </w:pPr>
      <w:r>
        <w:rPr>
          <w:rFonts w:ascii="Arial" w:hAnsi="Arial"/>
          <w:color w:val="2E86C1"/>
          <w:sz w:val="20"/>
        </w:rPr>
        <w:t>📊 Фонд развития промышленности с 2016 по 2024 год профинансировал 101 проект на сумму 49 млрд рублей, из которых 43 проекта уже запущены в серийное производство.</w:t>
      </w:r>
      <w:r>
        <w:rPr>
          <w:rFonts w:ascii="Arial" w:hAnsi="Arial"/>
          <w:i/>
          <w:color w:val="555555"/>
          <w:sz w:val="18"/>
        </w:rPr>
        <w:t xml:space="preserve">  [secondary] </w:t>
      </w:r>
      <w:r>
        <w:rPr>
          <w:rFonts w:ascii="Arial" w:hAnsi="Arial"/>
          <w:color w:val="555555"/>
          <w:sz w:val="18"/>
        </w:rPr>
        <w:t>https://www.vedomosti.ru/esg/ecology/articles/2025/04/25/1106796-zelenaya-stroika-nuzhdaetsya-v-proverennih-ekomaterialah</w:t>
      </w:r>
    </w:p>
    <w:p>
      <w:pPr>
        <w:pStyle w:val="ListBullet"/>
      </w:pPr>
      <w:r>
        <w:rPr>
          <w:rFonts w:ascii="Arial" w:hAnsi="Arial"/>
          <w:color w:val="2E86C1"/>
          <w:sz w:val="20"/>
        </w:rPr>
        <w:t>📊 С 2022 года в РФ действуют рекомендательные национальные стандарты зелёного строительства: ГОСТ Р 70346-2022 для жилого сегмента и система «Клевер» для коммерческих зданий.</w:t>
      </w:r>
      <w:r>
        <w:rPr>
          <w:rFonts w:ascii="Arial" w:hAnsi="Arial"/>
          <w:i/>
          <w:color w:val="555555"/>
          <w:sz w:val="18"/>
        </w:rPr>
        <w:t xml:space="preserve">  [secondary] </w:t>
      </w:r>
      <w:r>
        <w:rPr>
          <w:rFonts w:ascii="Arial" w:hAnsi="Arial"/>
          <w:color w:val="555555"/>
          <w:sz w:val="18"/>
        </w:rPr>
        <w:t>https://forest-save.ru/esg-blog/ekologicheskoe-stroitelstvo-v-rossii</w:t>
      </w:r>
    </w:p>
    <w:p>
      <w:pPr>
        <w:pStyle w:val="ListBullet"/>
      </w:pPr>
      <w:r>
        <w:rPr>
          <w:rFonts w:ascii="Arial" w:hAnsi="Arial"/>
          <w:color w:val="2E86C1"/>
          <w:sz w:val="20"/>
        </w:rPr>
        <w:t>📊 Российские производители внедряют возврат в цикл теплоизоляции и локализуют сырьё в радиусе до 800 км для снижения углеродного следа.</w:t>
      </w:r>
      <w:r>
        <w:rPr>
          <w:rFonts w:ascii="Arial" w:hAnsi="Arial"/>
          <w:i/>
          <w:color w:val="555555"/>
          <w:sz w:val="18"/>
        </w:rPr>
        <w:t xml:space="preserve">  [secondary] </w:t>
      </w:r>
      <w:r>
        <w:rPr>
          <w:rFonts w:ascii="Arial" w:hAnsi="Arial"/>
          <w:color w:val="555555"/>
          <w:sz w:val="18"/>
        </w:rPr>
        <w:t>https://www.dp.ru/a/2024/02/01/strojka-bez-vreda-kogo-v</w:t>
      </w:r>
    </w:p>
    <w:p>
      <w:pPr>
        <w:pStyle w:val="ListBullet"/>
      </w:pPr>
      <w:r>
        <w:rPr>
          <w:rFonts w:ascii="Arial" w:hAnsi="Arial"/>
          <w:color w:val="2E86C1"/>
          <w:sz w:val="20"/>
        </w:rPr>
        <w:t>📊 Система Green Zoom вытеснила BREEAM и LEED в Москве и СПб, к 2022 году сертифицировано &gt;150 объектов, в жилом сегменте по РФ — ≤30 домов.</w:t>
      </w:r>
      <w:r>
        <w:rPr>
          <w:rFonts w:ascii="Arial" w:hAnsi="Arial"/>
          <w:i/>
          <w:color w:val="555555"/>
          <w:sz w:val="18"/>
        </w:rPr>
        <w:t xml:space="preserve">  [secondary] </w:t>
      </w:r>
      <w:r>
        <w:rPr>
          <w:rFonts w:ascii="Arial" w:hAnsi="Arial"/>
          <w:color w:val="555555"/>
          <w:sz w:val="18"/>
        </w:rPr>
        <w:t>https://www.kommersant.ru/doc/5733137</w:t>
      </w:r>
    </w:p>
    <w:p>
      <w:pPr>
        <w:pStyle w:val="ListBullet"/>
      </w:pPr>
      <w:r>
        <w:rPr>
          <w:rFonts w:ascii="Arial" w:hAnsi="Arial"/>
          <w:color w:val="2E86C1"/>
          <w:sz w:val="20"/>
        </w:rPr>
        <w:t>📊 Green Zoom адаптирована под национальные нормы на 90%, соответствует BREEAM на 74% и LEED на 87%, с ноября 2023 года стала национальным стандартом.</w:t>
      </w:r>
      <w:r>
        <w:rPr>
          <w:rFonts w:ascii="Arial" w:hAnsi="Arial"/>
          <w:i/>
          <w:color w:val="555555"/>
          <w:sz w:val="18"/>
        </w:rPr>
        <w:t xml:space="preserve">  [primary] </w:t>
      </w:r>
      <w:r>
        <w:rPr>
          <w:rFonts w:ascii="Arial" w:hAnsi="Arial"/>
          <w:color w:val="555555"/>
          <w:sz w:val="18"/>
        </w:rPr>
        <w:t>https://greenzoom.ru/strapi/uploads/origin_1579988561_2019_43eb0b8ce2.pdf</w:t>
      </w:r>
    </w:p>
    <w:p>
      <w:pPr>
        <w:pStyle w:val="ListBullet"/>
      </w:pPr>
      <w:r>
        <w:rPr>
          <w:rFonts w:ascii="Arial" w:hAnsi="Arial"/>
          <w:color w:val="2E86C1"/>
          <w:sz w:val="20"/>
        </w:rPr>
        <w:t>📊 Сертификация повышает цену продажи офисов на 10%+ и снижает OPEX на 28–35% (экономия до 5 млн руб./год), формируя спрос ESG-арендаторов.</w:t>
      </w:r>
      <w:r>
        <w:rPr>
          <w:rFonts w:ascii="Arial" w:hAnsi="Arial"/>
          <w:i/>
          <w:color w:val="555555"/>
          <w:sz w:val="18"/>
        </w:rPr>
        <w:t xml:space="preserve">  [secondary] </w:t>
      </w:r>
      <w:r>
        <w:rPr>
          <w:rFonts w:ascii="Arial" w:hAnsi="Arial"/>
          <w:color w:val="555555"/>
          <w:sz w:val="18"/>
        </w:rPr>
        <w:t>https://cre.ru/rus/analytics/1/0/41815/</w:t>
      </w:r>
    </w:p>
    <w:p>
      <w:pPr>
        <w:pStyle w:val="ListBullet"/>
      </w:pPr>
      <w:r>
        <w:rPr>
          <w:rFonts w:ascii="Arial" w:hAnsi="Arial"/>
          <w:color w:val="2E86C1"/>
          <w:sz w:val="20"/>
        </w:rPr>
        <w:t>📊 Тепловые насосы снижают OPEX в 4–5 раз, экономя 10–17 тыс. руб./кВт при окупаемости 2–4,5 года.</w:t>
      </w:r>
      <w:r>
        <w:rPr>
          <w:rFonts w:ascii="Arial" w:hAnsi="Arial"/>
          <w:i/>
          <w:color w:val="555555"/>
          <w:sz w:val="18"/>
        </w:rPr>
        <w:t xml:space="preserve">  [secondary] </w:t>
      </w:r>
      <w:r>
        <w:rPr>
          <w:rFonts w:ascii="Arial" w:hAnsi="Arial"/>
          <w:color w:val="555555"/>
          <w:sz w:val="18"/>
        </w:rPr>
        <w:t>https://www.pea.ru/docs/articles/heatpumps-econom-aspect/</w:t>
      </w:r>
    </w:p>
    <w:p>
      <w:pPr>
        <w:pStyle w:val="ListBullet"/>
      </w:pPr>
      <w:r>
        <w:rPr>
          <w:rFonts w:ascii="Arial" w:hAnsi="Arial"/>
          <w:color w:val="2E86C1"/>
          <w:sz w:val="20"/>
        </w:rPr>
        <w:t>📊 В СЗФО экономия достигает 17 637 руб./кВт при окупаемости 1–2,5 года (COP до 4), в ЦФО и ЮФО — 10,5–12,8 тыс. руб./кВт при окупаемости до 3 лет.</w:t>
      </w:r>
      <w:r>
        <w:rPr>
          <w:rFonts w:ascii="Arial" w:hAnsi="Arial"/>
          <w:i/>
          <w:color w:val="555555"/>
          <w:sz w:val="18"/>
        </w:rPr>
        <w:t xml:space="preserve">  [secondary] </w:t>
      </w:r>
      <w:r>
        <w:rPr>
          <w:rFonts w:ascii="Arial" w:hAnsi="Arial"/>
          <w:color w:val="555555"/>
          <w:sz w:val="18"/>
        </w:rPr>
        <w:t>https://iclim.ru/articles/vygodno_li_ispolzovat_teplovye_nasosy_dlya_otopleniya/</w:t>
      </w:r>
    </w:p>
    <w:p>
      <w:pPr>
        <w:pStyle w:val="Heading3"/>
      </w:pPr>
      <w:r>
        <w:rPr>
          <w:rFonts w:ascii="Arial" w:hAnsi="Arial"/>
          <w:color w:val="1B3A5C"/>
        </w:rPr>
        <w:t>Ключевые допущения</w:t>
      </w:r>
    </w:p>
    <w:p>
      <w:pPr>
        <w:pStyle w:val="ListBullet"/>
      </w:pPr>
      <w:r>
        <w:rPr>
          <w:rFonts w:ascii="Arial" w:hAnsi="Arial"/>
          <w:sz w:val="20"/>
        </w:rPr>
        <w:t>Показатели премии к стоимости офисов (10%+) и снижения OPEX (28–35%) из британского рынка частично транслируются на российскую коммерческую недвижимость.</w:t>
      </w:r>
    </w:p>
    <w:p>
      <w:pPr>
        <w:pStyle w:val="ListBullet"/>
      </w:pPr>
      <w:r>
        <w:rPr>
          <w:rFonts w:ascii="Arial" w:hAnsi="Arial"/>
          <w:sz w:val="20"/>
        </w:rPr>
        <w:t>Тариф 6,5 руб./кВт·ч и коэффициенты COP тепловых насосов остаются стабильными в среднесрочной перспективе без учёта инфляционных корректировок.</w:t>
      </w:r>
    </w:p>
    <w:p>
      <w:pPr>
        <w:pStyle w:val="ListBullet"/>
      </w:pPr>
      <w:r>
        <w:rPr>
          <w:rFonts w:ascii="Arial" w:hAnsi="Arial"/>
          <w:sz w:val="20"/>
        </w:rPr>
        <w:t>Добровольный характер стандартов зелёного строительства сохранится до 2026 года, не создавая принудительного спроса со стороны регулятора.</w:t>
      </w:r>
    </w:p>
    <w:p>
      <w:pPr>
        <w:pStyle w:val="ListBullet"/>
      </w:pPr>
      <w:r>
        <w:rPr>
          <w:rFonts w:ascii="Arial" w:hAnsi="Arial"/>
          <w:sz w:val="20"/>
        </w:rPr>
        <w:t>Данные по окупаемости тепловых насосов рассчитаны на базе средних региональных тарифов и не учитывают субсидии или льготные кредитные программы для девелоперов.</w:t>
      </w:r>
    </w:p>
    <w:p>
      <w:pPr>
        <w:pStyle w:val="ListBullet"/>
      </w:pPr>
      <w:r>
        <w:rPr>
          <w:rFonts w:ascii="Arial" w:hAnsi="Arial"/>
          <w:sz w:val="20"/>
        </w:rPr>
        <w:t>Сертификация Green Zoom будет продолжать признаваться иностранными инвесторами как эквивалент международных ESG-стандартов в условиях геополитической изоляции.</w:t>
      </w:r>
    </w:p>
    <w:p>
      <w:pPr>
        <w:pStyle w:val="Heading3"/>
      </w:pPr>
      <w:r>
        <w:rPr>
          <w:rFonts w:ascii="Arial" w:hAnsi="Arial"/>
          <w:color w:val="1B3A5C"/>
        </w:rPr>
        <w:t>Пробелы / куда копать</w:t>
      </w:r>
    </w:p>
    <w:p>
      <w:pPr>
        <w:pStyle w:val="ListBullet"/>
      </w:pPr>
      <w:r>
        <w:rPr>
          <w:rFonts w:ascii="Arial" w:hAnsi="Arial"/>
          <w:sz w:val="20"/>
        </w:rPr>
        <w:t>Найти прямые данные по премии к арендным ставкам и цене продажи для объектов с сертификацией Green Zoom в РФ за 2023–2025 гг. (заменить зарубежные аналоги локальной аналитикой ЦИАН/ДОМ.РФ).</w:t>
      </w:r>
    </w:p>
    <w:p>
      <w:pPr>
        <w:pStyle w:val="ListBullet"/>
      </w:pPr>
      <w:r>
        <w:rPr>
          <w:rFonts w:ascii="Arial" w:hAnsi="Arial"/>
          <w:sz w:val="20"/>
        </w:rPr>
        <w:t>Запросить отраслевые отчёты производителей по объёмам рынка CLT, переработанного бетона и низкоуглеродного цемента в РФ.</w:t>
      </w:r>
    </w:p>
    <w:p>
      <w:pPr>
        <w:pStyle w:val="ListBullet"/>
      </w:pPr>
      <w:r>
        <w:rPr>
          <w:rFonts w:ascii="Arial" w:hAnsi="Arial"/>
          <w:sz w:val="20"/>
        </w:rPr>
        <w:t>Найти кейсы энергоаудита реальных ЖК с тепловыми насосами и рекуперацией за 2023–2024 гг. для верификации расчётных показателей OPEX.</w:t>
      </w:r>
    </w:p>
    <w:p>
      <w:pPr>
        <w:pStyle w:val="ListBullet"/>
      </w:pPr>
      <w:r>
        <w:rPr>
          <w:rFonts w:ascii="Arial" w:hAnsi="Arial"/>
          <w:sz w:val="20"/>
        </w:rPr>
        <w:t>Оценить влияние потенциального ужесточения тарифов на электроэнергию и газ на срок окупаемости энергоэффективных решений в разных регионах РФ.</w:t>
      </w:r>
    </w:p>
    <w:p/>
    <w:p>
      <w:pPr>
        <w:pBdr>
          <w:left w:val="single" w:sz="36" w:space="6" w:color="F1C40F"/>
        </w:pBdr>
      </w:pPr>
      <w:r>
        <w:rPr>
          <w:rFonts w:ascii="Arial" w:hAnsi="Arial"/>
          <w:b/>
          <w:color w:val="1B3A5C"/>
          <w:sz w:val="28"/>
        </w:rPr>
        <w:t>Демография и миграционные потоки / Глобальные демографические сдвиги</w:t>
      </w:r>
    </w:p>
    <w:p>
      <w:r>
        <w:rPr>
          <w:rFonts w:ascii="Arial" w:hAnsi="Arial"/>
          <w:b/>
          <w:sz w:val="20"/>
        </w:rPr>
        <w:t>Приоритет: 🟡 Средний</w:t>
      </w:r>
    </w:p>
    <w:p>
      <w:r>
        <w:rPr>
          <w:rFonts w:ascii="Arial" w:hAnsi="Arial"/>
          <w:b/>
          <w:color w:val="1B3A5C"/>
        </w:rPr>
        <w:t xml:space="preserve">Главный вывод: </w:t>
      </w:r>
      <w:r>
        <w:rPr>
          <w:rFonts w:ascii="Arial" w:hAnsi="Arial"/>
        </w:rPr>
        <w:t>Урбанизация до 60% и рост доли одиноких домохозяйств глобально трансформируют спрос в пользу компактных форматов и senior living.</w:t>
      </w:r>
    </w:p>
    <w:p>
      <w:r>
        <w:rPr>
          <w:rFonts w:ascii="Arial" w:hAnsi="Arial"/>
          <w:b/>
          <w:color w:val="1B3A5C"/>
        </w:rPr>
        <w:t xml:space="preserve">Сильнейшая цифра: </w:t>
      </w:r>
      <w:r>
        <w:rPr>
          <w:rFonts w:ascii="Arial" w:hAnsi="Arial"/>
          <w:b/>
          <w:color w:val="2E86C1"/>
        </w:rPr>
        <w:t>К 2030 году доля городского населения мира достигнет 60%, а число мегаполисов &gt;10 млн вырастет до 43 (ДЭСВ ООН).</w:t>
      </w:r>
    </w:p>
    <w:p>
      <w:r>
        <w:rPr>
          <w:rFonts w:ascii="Arial" w:hAnsi="Arial"/>
          <w:b/>
          <w:color w:val="1B3A5C"/>
        </w:rPr>
        <w:t xml:space="preserve">Главный пробел: </w:t>
      </w:r>
      <w:r>
        <w:rPr>
          <w:rFonts w:ascii="Arial" w:hAnsi="Arial"/>
        </w:rPr>
        <w:t>Запросить прямые прогнозы ООН/World Bank по среднему размеру домохозяйств и доле населения старше 65 лет к 2030 году.</w:t>
      </w:r>
    </w:p>
    <w:p>
      <w:r>
        <w:rPr>
          <w:rFonts w:ascii="Arial" w:hAnsi="Arial"/>
          <w:i/>
          <w:color w:val="555555"/>
          <w:sz w:val="18"/>
        </w:rPr>
        <w:t>Оценка: новизна 1/3 · конкретность 3/3 · применимость 2/3</w:t>
      </w:r>
    </w:p>
    <w:p>
      <w:r>
        <w:rPr>
          <w:rFonts w:ascii="Arial" w:hAnsi="Arial"/>
          <w:sz w:val="22"/>
        </w:rPr>
        <w:t>Глобальная демографическая траектория к 2030 году задаётся двумя синхронными процессами: замедлением общего роста населения при одновременной структурной перестройке домохозяйств и ускоренной пространственной концентрации. По оценкам ДЭСВ ООН, к 2030 году численность мирового населения достигнет 8,5–8,6 млрд человек, при этом доля городских жителей вырастет с 56% (2020) до 60%, а количество мегаполисов с населением свыше 10 млн увеличится до 43 [ДЭСВ ООН, 2022](https://news.un.org/ru/story/2022/04/1422732). Параллельно фиксируется долгосрочный тренд на рост доли населения старше 80 лет, что трансформирует базовые требования к жилой среде и инфраструктуре [ДЭСВ ООН, 2017](https://www.un.org/ru/desa/world-population-prospects-2017). Эти макро-сдвиги напрямую сегментируют спрос на недвижимость, разрывая связь между общим ростом населения и потребностью в квадратных метрах.</w:t>
      </w:r>
    </w:p>
    <w:p>
      <w:r>
        <w:rPr>
          <w:rFonts w:ascii="Arial" w:hAnsi="Arial"/>
          <w:sz w:val="22"/>
        </w:rPr>
        <w:t>Увеличение числа одиноких домохозяйств и концентрации молодых специалистов (25–40 лет) в городах формирует устойчивый спрос на компактные форматы: доля студий и однокомнатных квартир уже превышает 50% предложения в крупных агломерациях [ruinformer](https://ruinformer.com/page/demografija-i-zhile-kak-izmenitsja-spros-na-rynke-rossijskoj-nedvizhimosti). Миграционные потоки и внутренняя урбанизация дополнительно обеспечивают 10–20% сбыта на рынке аренды компактного жилья, вынуждая девелоперов пересматривать продуктовые линейки в пользу малогабаритных лотов с высокой оборачиваемостью [metrtv](https://www.metrtv.ru/articles/new_buildings/19921). На противоположном фланге наблюдается структурное сжатие спроса на семейное жильё (2–3 комнаты). Демографическая яма поколения 1990-х (16% населения) не способна заместить объёмный когортный кластер 1980-х (23%, ~34 млн чел.), что ведёт к долгосрочному снижению потребности в больших квартирах и перепрофилированию существующего фонда [kommersant](https://www.kommersant.ru/doc/8139747).</w:t>
      </w:r>
    </w:p>
    <w:p>
      <w:r>
        <w:rPr>
          <w:rFonts w:ascii="Arial" w:hAnsi="Arial"/>
          <w:sz w:val="22"/>
        </w:rPr>
        <w:t>Параллельно старение населения в развитых экономиках создаёт растущий рынок senior living и адаптированного однокомнатного жилья, усиленный внутренней и внешней миграцией [zagorodna](https://www.zagorodna.com/ru/stati/demografiya-i-rynok-zhilya-evropy-klyuchevye-trendy-na-10-let.html). Однако климатический фактор вносит существенную неопределённость в прогнозы распределения миграционных потоков. По сценариям Всемирного банка (Groundswell, 2021), к 2050 году ожидается до 216 млн внутренних климатических мигрантов, из которых 17–40 млн будут перемещаться внутри Восточной Европы и Центральной Азии [Всемирный банк, 2021](https://cyberleninka.ru/article/n/klimaticheskaya-migratsiya-kak-odna-iz-glavnyh-problem-sovremennosti). МОМ и МГЭИК оценивают глобальный потенциал климатических перемещений в 200 млн человек к 2050 году, а число жителей прибрежных зон под риском превышает 1 млрд [МОМ/МГЭИК, 2020–2025](https://www.un.org/ru/climatechange/reports).</w:t>
      </w:r>
    </w:p>
    <w:p>
      <w:r>
        <w:rPr>
          <w:rFonts w:ascii="Arial" w:hAnsi="Arial"/>
          <w:sz w:val="22"/>
        </w:rPr>
        <w:t>В анализе влияния этих потоков на рынки жилья умеренных широт формируются две конкурирующие гипотезы. Первая предполагает, что климатическая миграция создаст локальные ценовые пузыри в «безопасных» регионах умеренного пояса, аналогичные эффектам от традиционной урбанизации, так как спрос будет концентрироваться в ограниченных географических зонах с устойчивым климатом. Вторая гипотеза, опирающаяся на текущие отчёты 2020–2025 гг., указывает на отсутствие подтверждённого экономического моделирования: потоки остаются преимущественно внутренними, а адаптационная политика и социальная инфраструктура принимающих регионов пока не демонстрируют признаков перегрева жилищного спроса. На текущем этапе вторая версия выглядит слабее обоснованной в части долгосрочных прогнозов, так как опирается на отсутствие данных, а не на их отрицание, однако первая гипотеза остаётся спекулятивной без прямых корреляций «климатический поток → цена/спрос на жильё».</w:t>
      </w:r>
    </w:p>
    <w:p>
      <w:r>
        <w:rPr>
          <w:rFonts w:ascii="Arial" w:hAnsi="Arial"/>
          <w:sz w:val="22"/>
        </w:rPr>
        <w:t>Синтез данных указывает на переход рынка от количественного роста к качественной сегментации. Девелопмент будет вынужден балансировать между сокращением семейных лотов, масштабированием компактной аренды и созданием специализированной инфраструктуры для пожилых. При этом климатический фактор выступает как структурный риск, способный резко изменить региональные балансы спроса, если внутренние миграционные коридоры начнут пересекать границы умеренных широт в масштабах, превышающих текущие адаптационные возможности городов.</w:t>
      </w:r>
    </w:p>
    <w:p>
      <w:pPr>
        <w:pStyle w:val="Heading3"/>
      </w:pPr>
      <w:r>
        <w:rPr>
          <w:rFonts w:ascii="Arial" w:hAnsi="Arial"/>
          <w:color w:val="1B3A5C"/>
        </w:rPr>
        <w:t>Источники</w:t>
      </w:r>
    </w:p>
    <w:p>
      <w:pPr>
        <w:pStyle w:val="ListBullet"/>
      </w:pPr>
      <w:r>
        <w:rPr>
          <w:rFonts w:ascii="Arial" w:hAnsi="Arial"/>
          <w:color w:val="2E86C1"/>
          <w:sz w:val="20"/>
        </w:rPr>
        <w:t>📊 По прогнозам ДЭСВ ООН, к 2030 году доля городского населения мира достигнет 60%, а число мегаполисов с населением свыше 10 млн человек вырастет до 43.</w:t>
      </w:r>
      <w:r>
        <w:rPr>
          <w:rFonts w:ascii="Arial" w:hAnsi="Arial"/>
          <w:i/>
          <w:color w:val="555555"/>
          <w:sz w:val="18"/>
        </w:rPr>
        <w:t xml:space="preserve">  [primary] </w:t>
      </w:r>
      <w:r>
        <w:rPr>
          <w:rFonts w:ascii="Arial" w:hAnsi="Arial"/>
          <w:color w:val="555555"/>
          <w:sz w:val="18"/>
        </w:rPr>
        <w:t>https://news.un.org/ru/story/2022/04/1422732</w:t>
      </w:r>
    </w:p>
    <w:p>
      <w:pPr>
        <w:pStyle w:val="ListBullet"/>
      </w:pPr>
      <w:r>
        <w:rPr>
          <w:rFonts w:ascii="Arial" w:hAnsi="Arial"/>
          <w:color w:val="2E86C1"/>
          <w:sz w:val="20"/>
        </w:rPr>
        <w:t>📊 Общая численность мирового населения к 2030 году прогнозируется на уровне 8,5–8,6 млрд человек, при этом отмечается долгосрочный тренд на увеличение доли населения старше 80 лет.</w:t>
      </w:r>
      <w:r>
        <w:rPr>
          <w:rFonts w:ascii="Arial" w:hAnsi="Arial"/>
          <w:i/>
          <w:color w:val="555555"/>
          <w:sz w:val="18"/>
        </w:rPr>
        <w:t xml:space="preserve">  [primary] </w:t>
      </w:r>
      <w:r>
        <w:rPr>
          <w:rFonts w:ascii="Arial" w:hAnsi="Arial"/>
          <w:color w:val="555555"/>
          <w:sz w:val="18"/>
        </w:rPr>
        <w:t>https://www.un.org/ru/desa/world-population-prospects-2017</w:t>
      </w:r>
    </w:p>
    <w:p>
      <w:pPr>
        <w:pStyle w:val="ListBullet"/>
      </w:pPr>
      <w:r>
        <w:rPr>
          <w:rFonts w:ascii="Arial" w:hAnsi="Arial"/>
          <w:color w:val="2E86C1"/>
          <w:sz w:val="20"/>
        </w:rPr>
        <w:t>📊 Рост числа одиноких домохозяйств и молодых специалистов (25–40 лет) положительно коррелирует со спросом на студии и однокомнатные квартиры, доля которых уже превышает 50% предложения в крупных городах.</w:t>
      </w:r>
      <w:r>
        <w:rPr>
          <w:rFonts w:ascii="Arial" w:hAnsi="Arial"/>
          <w:i/>
          <w:color w:val="555555"/>
          <w:sz w:val="18"/>
        </w:rPr>
        <w:t xml:space="preserve">  [secondary] </w:t>
      </w:r>
      <w:r>
        <w:rPr>
          <w:rFonts w:ascii="Arial" w:hAnsi="Arial"/>
          <w:color w:val="555555"/>
          <w:sz w:val="18"/>
        </w:rPr>
        <w:t>https://ruinformer.com/page/demografija-i-zhile-kak-izmenitsja-spros-na-rynke-rossijskoj-nedvizhimosti</w:t>
      </w:r>
    </w:p>
    <w:p>
      <w:pPr>
        <w:pStyle w:val="ListBullet"/>
      </w:pPr>
      <w:r>
        <w:rPr>
          <w:rFonts w:ascii="Arial" w:hAnsi="Arial"/>
          <w:color w:val="2E86C1"/>
          <w:sz w:val="20"/>
        </w:rPr>
        <w:t>📊 Миграционные потоки и урбанизация обеспечивают 10–20% сбыта на рынке аренды компактного жилья, смещая фокус девелоперов в сторону студий в крупных городах.</w:t>
      </w:r>
      <w:r>
        <w:rPr>
          <w:rFonts w:ascii="Arial" w:hAnsi="Arial"/>
          <w:i/>
          <w:color w:val="555555"/>
          <w:sz w:val="18"/>
        </w:rPr>
        <w:t xml:space="preserve">  [secondary] </w:t>
      </w:r>
      <w:r>
        <w:rPr>
          <w:rFonts w:ascii="Arial" w:hAnsi="Arial"/>
          <w:color w:val="555555"/>
          <w:sz w:val="18"/>
        </w:rPr>
        <w:t>https://www.metrtv.ru/articles/new_buildings/19921</w:t>
      </w:r>
    </w:p>
    <w:p>
      <w:pPr>
        <w:pStyle w:val="ListBullet"/>
      </w:pPr>
      <w:r>
        <w:rPr>
          <w:rFonts w:ascii="Arial" w:hAnsi="Arial"/>
          <w:color w:val="2E86C1"/>
          <w:sz w:val="20"/>
        </w:rPr>
        <w:t>📊 Спрос на семейное жилье (2–3-комнатные квартиры) демонстрирует отрицательную корреляцию с демографическим кризисом: малочисленное поколение 1990-х (16% населения) не способно заменить спрос поколения 1980-х (23%, 34 млн чел.).</w:t>
      </w:r>
      <w:r>
        <w:rPr>
          <w:rFonts w:ascii="Arial" w:hAnsi="Arial"/>
          <w:i/>
          <w:color w:val="555555"/>
          <w:sz w:val="18"/>
        </w:rPr>
        <w:t xml:space="preserve">  [secondary] </w:t>
      </w:r>
      <w:r>
        <w:rPr>
          <w:rFonts w:ascii="Arial" w:hAnsi="Arial"/>
          <w:color w:val="555555"/>
          <w:sz w:val="18"/>
        </w:rPr>
        <w:t>https://www.kommersant.ru/doc/8139747</w:t>
      </w:r>
    </w:p>
    <w:p>
      <w:pPr>
        <w:pStyle w:val="ListBullet"/>
      </w:pPr>
      <w:r>
        <w:rPr>
          <w:rFonts w:ascii="Arial" w:hAnsi="Arial"/>
          <w:color w:val="2E86C1"/>
          <w:sz w:val="20"/>
        </w:rPr>
        <w:t>📊 Старение населения в развитых странах формирует устойчивую положительную корреляцию со спросом на senior living и адаптированные однокомнатные квартиры, усиленную миграцией.</w:t>
      </w:r>
      <w:r>
        <w:rPr>
          <w:rFonts w:ascii="Arial" w:hAnsi="Arial"/>
          <w:i/>
          <w:color w:val="555555"/>
          <w:sz w:val="18"/>
        </w:rPr>
        <w:t xml:space="preserve">  [secondary] </w:t>
      </w:r>
      <w:r>
        <w:rPr>
          <w:rFonts w:ascii="Arial" w:hAnsi="Arial"/>
          <w:color w:val="555555"/>
          <w:sz w:val="18"/>
        </w:rPr>
        <w:t>https://www.zagorodna.com/ru/stati/demografiya-i-rynok-zhilya-evropy-klyuchevye-trendy-na-10-let.html</w:t>
      </w:r>
    </w:p>
    <w:p>
      <w:pPr>
        <w:pStyle w:val="ListBullet"/>
      </w:pPr>
      <w:r>
        <w:rPr>
          <w:rFonts w:ascii="Arial" w:hAnsi="Arial"/>
          <w:color w:val="2E86C1"/>
          <w:sz w:val="20"/>
        </w:rPr>
        <w:t>📊 По сценариям Всемирного банка (Groundswell, 2021), к 2050 году прогнозируется до 216 млн внутренних климатических мигрантов глобально, из которых 17–40 млн будут перемещаться внутри Восточной Европы и Центральной Азии.</w:t>
      </w:r>
      <w:r>
        <w:rPr>
          <w:rFonts w:ascii="Arial" w:hAnsi="Arial"/>
          <w:i/>
          <w:color w:val="555555"/>
          <w:sz w:val="18"/>
        </w:rPr>
        <w:t xml:space="preserve">  [primary] </w:t>
      </w:r>
      <w:r>
        <w:rPr>
          <w:rFonts w:ascii="Arial" w:hAnsi="Arial"/>
          <w:color w:val="555555"/>
          <w:sz w:val="18"/>
        </w:rPr>
        <w:t>https://cyberleninka.ru/article/n/klimaticheskaya-migratsiya-kak-odna-iz-glavnyh-problem-sovremennosti</w:t>
      </w:r>
    </w:p>
    <w:p>
      <w:pPr>
        <w:pStyle w:val="ListBullet"/>
      </w:pPr>
      <w:r>
        <w:rPr>
          <w:rFonts w:ascii="Arial" w:hAnsi="Arial"/>
          <w:color w:val="2E86C1"/>
          <w:sz w:val="20"/>
        </w:rPr>
        <w:t>📊 МОМ оценивает до 200 млн глобальных мигрантов к 2050 году из-за климатических катастроф, а МГЭИК указывает на риск для более чем 1 млрд человек в прибрежных зонах.</w:t>
      </w:r>
      <w:r>
        <w:rPr>
          <w:rFonts w:ascii="Arial" w:hAnsi="Arial"/>
          <w:i/>
          <w:color w:val="555555"/>
          <w:sz w:val="18"/>
        </w:rPr>
        <w:t xml:space="preserve">  [primary] </w:t>
      </w:r>
      <w:r>
        <w:rPr>
          <w:rFonts w:ascii="Arial" w:hAnsi="Arial"/>
          <w:color w:val="555555"/>
          <w:sz w:val="18"/>
        </w:rPr>
        <w:t>https://www.un.org/ru/climatechange/reports</w:t>
      </w:r>
    </w:p>
    <w:p>
      <w:pPr>
        <w:pStyle w:val="Heading3"/>
      </w:pPr>
      <w:r>
        <w:rPr>
          <w:rFonts w:ascii="Arial" w:hAnsi="Arial"/>
          <w:color w:val="1B3A5C"/>
        </w:rPr>
        <w:t>Ключевые допущения</w:t>
      </w:r>
    </w:p>
    <w:p>
      <w:pPr>
        <w:pStyle w:val="ListBullet"/>
      </w:pPr>
      <w:r>
        <w:rPr>
          <w:rFonts w:ascii="Arial" w:hAnsi="Arial"/>
          <w:sz w:val="20"/>
        </w:rPr>
        <w:t>Региональные данные по России и Европе экстраполируются на глобальные развитые рынки ввиду отсутствия прямых международных агрегированных метрик за 2023–2025 гг.</w:t>
      </w:r>
    </w:p>
    <w:p>
      <w:pPr>
        <w:pStyle w:val="ListBullet"/>
      </w:pPr>
      <w:r>
        <w:rPr>
          <w:rFonts w:ascii="Arial" w:hAnsi="Arial"/>
          <w:sz w:val="20"/>
        </w:rPr>
        <w:t>Климатическая миграция до 2030 года останется преимущественно внутренней, но к 2040–2050 гг. начнёт формировать устойчивые трансграничные потоки в умеренные широты.</w:t>
      </w:r>
    </w:p>
    <w:p>
      <w:pPr>
        <w:pStyle w:val="ListBullet"/>
      </w:pPr>
      <w:r>
        <w:rPr>
          <w:rFonts w:ascii="Arial" w:hAnsi="Arial"/>
          <w:sz w:val="20"/>
        </w:rPr>
        <w:t>Эластичность предложения жилья в крупных агломерациях будет отставать от демографических сдвигов, поддерживая ценовые премии на компактные форматы.</w:t>
      </w:r>
    </w:p>
    <w:p>
      <w:pPr>
        <w:pStyle w:val="ListBullet"/>
      </w:pPr>
      <w:r>
        <w:rPr>
          <w:rFonts w:ascii="Arial" w:hAnsi="Arial"/>
          <w:sz w:val="20"/>
        </w:rPr>
        <w:t>Прогноз урбанизации в 60% к 2030 году предполагает стабильные макроэкономические условия без масштабных пандемий или геополитических разрывов цепочек поставок.</w:t>
      </w:r>
    </w:p>
    <w:p>
      <w:pPr>
        <w:pStyle w:val="ListBullet"/>
      </w:pPr>
      <w:r>
        <w:rPr>
          <w:rFonts w:ascii="Arial" w:hAnsi="Arial"/>
          <w:sz w:val="20"/>
        </w:rPr>
        <w:t>Рост спроса на senior living предполагает параллельное развитие медицинской и социальной инфраструктуры, а не только девелоперских проектов.</w:t>
      </w:r>
    </w:p>
    <w:p>
      <w:pPr>
        <w:pStyle w:val="Heading3"/>
      </w:pPr>
      <w:r>
        <w:rPr>
          <w:rFonts w:ascii="Arial" w:hAnsi="Arial"/>
          <w:color w:val="1B3A5C"/>
        </w:rPr>
        <w:t>Пробелы / куда копать</w:t>
      </w:r>
    </w:p>
    <w:p>
      <w:pPr>
        <w:pStyle w:val="ListBullet"/>
      </w:pPr>
      <w:r>
        <w:rPr>
          <w:rFonts w:ascii="Arial" w:hAnsi="Arial"/>
          <w:sz w:val="20"/>
        </w:rPr>
        <w:t>Запросить прямые прогнозы ООН/World Bank по среднему размеру домохозяйств и доле населения старше 65 лет к 2030 году с разбивкой по регионам.</w:t>
      </w:r>
    </w:p>
    <w:p>
      <w:pPr>
        <w:pStyle w:val="ListBullet"/>
      </w:pPr>
      <w:r>
        <w:rPr>
          <w:rFonts w:ascii="Arial" w:hAnsi="Arial"/>
          <w:sz w:val="20"/>
        </w:rPr>
        <w:t>Найти количественные отчёты (Eurostat, JLL Residential, McKinsey 2023–2025) с коэффициентами корреляции между демографическими когортами и спросом на конкретные типы жилья в США, ЕС и Азии.</w:t>
      </w:r>
    </w:p>
    <w:p>
      <w:pPr>
        <w:pStyle w:val="ListBullet"/>
      </w:pPr>
      <w:r>
        <w:rPr>
          <w:rFonts w:ascii="Arial" w:hAnsi="Arial"/>
          <w:sz w:val="20"/>
        </w:rPr>
        <w:t>Запросить экономическое моделирование влияния внутренних климатических миграционных коридоров на цены аренды и покупки жилья в умеренных широтах (Северная Америка, Северная Европа, Юг России).</w:t>
      </w:r>
    </w:p>
    <w:p>
      <w:pPr>
        <w:pStyle w:val="ListBullet"/>
      </w:pPr>
      <w:r>
        <w:rPr>
          <w:rFonts w:ascii="Arial" w:hAnsi="Arial"/>
          <w:sz w:val="20"/>
        </w:rPr>
        <w:t>Выявить данные о текущей ёмкости и темпах ввода специализированного жилья (senior living) в развивающихся экономиках vs развитых рынках для оценки глобального масштаба тренда.</w:t>
      </w:r>
    </w:p>
    <w:p/>
    <w:p>
      <w:pPr>
        <w:pBdr>
          <w:left w:val="single" w:sz="36" w:space="6" w:color="F1C40F"/>
        </w:pBdr>
      </w:pPr>
      <w:r>
        <w:rPr>
          <w:rFonts w:ascii="Arial" w:hAnsi="Arial"/>
          <w:b/>
          <w:color w:val="1B3A5C"/>
          <w:sz w:val="28"/>
        </w:rPr>
        <w:t>Макроэкономика и финансирование девелопмента / Глобальные финансовые и логистические тренды</w:t>
      </w:r>
    </w:p>
    <w:p>
      <w:r>
        <w:rPr>
          <w:rFonts w:ascii="Arial" w:hAnsi="Arial"/>
          <w:b/>
          <w:sz w:val="20"/>
        </w:rPr>
        <w:t>Приоритет: 🟡 Средний</w:t>
      </w:r>
    </w:p>
    <w:p>
      <w:r>
        <w:rPr>
          <w:rFonts w:ascii="Arial" w:hAnsi="Arial"/>
          <w:b/>
          <w:color w:val="1B3A5C"/>
        </w:rPr>
        <w:t xml:space="preserve">Главный вывод: </w:t>
      </w:r>
      <w:r>
        <w:rPr>
          <w:rFonts w:ascii="Arial" w:hAnsi="Arial"/>
        </w:rPr>
        <w:t>Эпоха дешёвого капитала завершена, а протекционизм и логистические разрывы разгоняют инфляцию стройматериалов до 15–20% в год.</w:t>
      </w:r>
    </w:p>
    <w:p>
      <w:r>
        <w:rPr>
          <w:rFonts w:ascii="Arial" w:hAnsi="Arial"/>
          <w:b/>
          <w:color w:val="1B3A5C"/>
        </w:rPr>
        <w:t xml:space="preserve">Сильнейшая цифра: </w:t>
      </w:r>
      <w:r>
        <w:rPr>
          <w:rFonts w:ascii="Arial" w:hAnsi="Arial"/>
          <w:b/>
          <w:color w:val="2E86C1"/>
        </w:rPr>
        <w:t>Доходность 3-месячных облигаций США зафиксирована на 4,3%, а рост цен на стройматериалы в РФ ускорится до 15–20% (МВФ, glavportal.com).</w:t>
      </w:r>
    </w:p>
    <w:p>
      <w:r>
        <w:rPr>
          <w:rFonts w:ascii="Arial" w:hAnsi="Arial"/>
          <w:b/>
          <w:color w:val="1B3A5C"/>
        </w:rPr>
        <w:t xml:space="preserve">Главный пробел: </w:t>
      </w:r>
      <w:r>
        <w:rPr>
          <w:rFonts w:ascii="Arial" w:hAnsi="Arial"/>
        </w:rPr>
        <w:t>Запросить данные из IMF Global Financial Stability Report по прямым прогнозам cap rates и WACC для недвижимости.</w:t>
      </w:r>
    </w:p>
    <w:p>
      <w:r>
        <w:rPr>
          <w:rFonts w:ascii="Arial" w:hAnsi="Arial"/>
          <w:i/>
          <w:color w:val="555555"/>
          <w:sz w:val="18"/>
        </w:rPr>
        <w:t>Оценка: новизна 1/3 · конкретность 3/3 · применимость 2/3</w:t>
      </w:r>
    </w:p>
    <w:p>
      <w:r>
        <w:rPr>
          <w:rFonts w:ascii="Arial" w:hAnsi="Arial"/>
          <w:sz w:val="22"/>
        </w:rPr>
        <w:t>Глобальная макроэкономическая среда для девелопмента в 2025–2030 гг. характеризуется переходом от эпохи дешёвого капитала к режиму структурно повышенной стоимости финансирования. Прямые отраслевые прогнозы МВФ и ОЭСР по ключевым ставкам для недвижимости отсутствуют, однако рабочие гипотезы по суверенным кривым задают жёсткую нижнюю границу стоимости долга: доходность 3-месячных казначейских обязательств США зафиксирована на уровне 4,3% (2025) с ожидаемым снижением до 3,7% к 2026 году, тогда как 10-летние облигации Еврозоны стабилизируются в коридоре 2,5–2,6% [МВФ, 2025](https://www.imf.org/-/media/files/publications/weo/2025/october/russian/text.pdf). ОЭСР оценивает глобальный рост ВВП на уровне 3,1% в 2025 г. и 3,0% в 2026 г., что указывает на умеренную стагнацию без рецессионного шока [ОЭСР, 2025](https://www.rbc.ru/industries/news/6809efef9a794784b633d019). В этих условиях WACC для девелоперских проектов формируется как суверенная ставка плюс премия за отраслевой риск (ликвидность, регуляторика, длительность цикла), что объективно выводит стоимость проектного финансирования на уровень, недоступный для традиционных банковских моделей с высокой долей заёмных средств. Детальные отраслевые метрики требуют анализа IMF Global Financial Stability Report, однако макро-сигнал однозначен: эпоха левериджа завершена.</w:t>
      </w:r>
    </w:p>
    <w:p>
      <w:r>
        <w:rPr>
          <w:rFonts w:ascii="Arial" w:hAnsi="Arial"/>
          <w:sz w:val="22"/>
        </w:rPr>
        <w:t>Параллельно реструктуризация глобальных логистических цепочек трансформирует себестоимость строительства. В России цены на арматуру в 2025 году колеблются в диапазоне 47 820–50 635 руб/т, тогда как китайские стальные фьючерсы торгуются на уровне 3 082 CNY/т [gostmetal.ru, 2025](https://gostmetal.ru/dinamika/). Ключевым драйвером выступает не только сырьевая инфляция, но и протекционистские барьеры: введение ЕС тарифов на импортную сталь до 50% и сокращение беспошлинных квот на 47% перенаправляют потоки на восточные рынки, увеличивая логистическое плечо и волатильность поставок. В результате стоимость бетона в РФ выросла с 12 588 до 16 561 руб/м³, а темпы роста цен на стройматериалы, замедлившись до 11% в 2024 году (против 15% в 2023-м), вновь ускорятся до 15–20% в 2025–2026 гг. под давлением тарифов РЖД и удвоения кредитной нагрузки на производителей [glavportal.com, 2025](https://glavportal.com/materials/industriya-strojmaterialov-2025-stagnaciya-ili-stabilnost); [Tadviser, 2025](https://www.tadviser.ru/index.php/%D0%A1%D1%82%D0%B0%D1%82%D1%8C%D1%8F:%D0%A1%D1%82%D1%80%D0%BE%D0%B8%D1%82%D0%B5%D0%BB%D1%8C%D0%BD%D1%8B%D0%B5_%D0%BC%D0%B0%D1%82%D0%B5%D1%80%D0%B8%D0%B0%D0%BB%D1%8B_(%D1%80%D1%8B%D0%BD%D0%BE%D0%BA_%D0%A0%D0%BE%D1%81%D1%81%D0%B8%D0%B8)). Это создаёт двойной пресс на маржинальность: рост CAPEX на фоне сжатия доступного кредита вынуждает девелоперов пересматривать технологические карты и искать локальные аналоги.</w:t>
      </w:r>
    </w:p>
    <w:p>
      <w:r>
        <w:rPr>
          <w:rFonts w:ascii="Arial" w:hAnsi="Arial"/>
          <w:sz w:val="22"/>
        </w:rPr>
        <w:t>Ответом на сжатие традиционного банковского кредитования становится структурная трансформация проектного финансирования. Глобальный рынок частного кредитования (private credit) прогнозируется на уровне $1,5 трлн к 2026 году, а в России сегмент растёт на 40% ежегодно с 2023 года, компенсируя дефицит ликвидности и предлагая гибкие условия под cash flow проектов [pmpractice.ru, 2025](https://pmpractice.ru/solution/proektnaya_transformaciya/). Параллельно развивается рынок зелёных облигаций: глобальный объём превысил $1 трлн к 2025 году, при этом российские эмитенты разместили более 500 млрд руб. с 2021 года, стимулируемые ESG-регуляторикой и налоговыми преференциями [cyberleninka.ru, 2025](https://cyberleninka.ru/article/n/transformatsiya-bankovskoy-deyatelnosti-v-usloviyah-tsifrovizatsii-ekonomiki-na-primere-proektnogo-finansirovaniya). Российский рынок REITs преодолел отметку в 100 млрд руб., предлагая механизм рефинансирования операционных активов без создания новых проектных компаний и снижая риски инициатора за счёт диверсификации инвесторов [sber.pro, 2025](https://sber.pro/publication/pomosch-v-proektnom-finansirovanii/). В условиях высоких ставок оптимальная структура финансирования смещается к гибридным моделям с долей собственного капитала 20–30% и сроками привлечения средств 3–10 лет, что требует пересмотра распределения рисков между девелопером, фондами и банками [royalfinance.ru, 2025](https://www.royalfinance.ru/business/proektnoe-finansirovanie/).</w:t>
      </w:r>
    </w:p>
    <w:p>
      <w:r>
        <w:rPr>
          <w:rFonts w:ascii="Arial" w:hAnsi="Arial"/>
          <w:sz w:val="22"/>
        </w:rPr>
        <w:t>**Конкурирующие гипотезы.** Существует два сценария развития ситуации. **Гипотеза А (Стагфляционное сжатие):** Высокая стоимость капитала в сочетании с инфляцией стройматериалов (15–20% в 2025–2026 гг.) приведёт к рентабельности ниже WACC для большинства проектов, вызывая заморозку новых стартов и консолидацию рынка вокруг игроков с балансовой ликвидностью. **Гипотеза Б (Адаптивная трансформация):** Рост альтернативного финансирования (private credit, REITs, green bonds) и оптимизация логистики (локализация, цифровизация закупок) компенсируют макроэкономическое давление, сохраняя объёмы ввода за счёт повышения маржинальности операционных активов и перехода к модели «строительство-эксплуатация-рефинансирование». На текущем этапе Гипотеза Б выглядит более обоснованной для крупных игроков с доступом к институциональному капиталу, однако для среднего девелопмента риски Гипотезы А остаются критическими из-за ограниченного доступа к небанковским инструментам и высокой зависимости от эскроу-схем.</w:t>
      </w:r>
    </w:p>
    <w:p>
      <w:pPr>
        <w:pStyle w:val="Heading3"/>
      </w:pPr>
      <w:r>
        <w:rPr>
          <w:rFonts w:ascii="Arial" w:hAnsi="Arial"/>
          <w:color w:val="1B3A5C"/>
        </w:rPr>
        <w:t>Источники</w:t>
      </w:r>
    </w:p>
    <w:p>
      <w:pPr>
        <w:pStyle w:val="ListBullet"/>
      </w:pPr>
      <w:r>
        <w:rPr>
          <w:rFonts w:ascii="Arial" w:hAnsi="Arial"/>
          <w:color w:val="2E86C1"/>
          <w:sz w:val="20"/>
        </w:rPr>
        <w:t>📊 МВФ не публикует прямых ставок для недвижимости, но фиксирует доходность 3-месячных облигаций США на уровне 4,3% (2025) и 3,7% (2026), а 10-летних облигаций Еврозоны — 2,5–2,6%, задавая нижнюю границу стоимости долга.</w:t>
      </w:r>
      <w:r>
        <w:rPr>
          <w:rFonts w:ascii="Arial" w:hAnsi="Arial"/>
          <w:i/>
          <w:color w:val="555555"/>
          <w:sz w:val="18"/>
        </w:rPr>
        <w:t xml:space="preserve">  [primary] </w:t>
      </w:r>
      <w:r>
        <w:rPr>
          <w:rFonts w:ascii="Arial" w:hAnsi="Arial"/>
          <w:color w:val="555555"/>
          <w:sz w:val="18"/>
        </w:rPr>
        <w:t>https://www.imf.org/-/media/files/publications/weo/2025/october/russian/text.pdf</w:t>
      </w:r>
    </w:p>
    <w:p>
      <w:pPr>
        <w:pStyle w:val="ListBullet"/>
      </w:pPr>
      <w:r>
        <w:rPr>
          <w:rFonts w:ascii="Arial" w:hAnsi="Arial"/>
          <w:color w:val="2E86C1"/>
          <w:sz w:val="20"/>
        </w:rPr>
        <w:t>📊 Цены на арматуру в РФ составляют 47 820–50 635 руб/т, китайские фьючерсы — 3 082 CNY/т; тарифы ЕС на сталь до 50% и сокращение квот на 47% перенаправляют потоки на восток, увеличивая логистическое плечо.</w:t>
      </w:r>
      <w:r>
        <w:rPr>
          <w:rFonts w:ascii="Arial" w:hAnsi="Arial"/>
          <w:i/>
          <w:color w:val="555555"/>
          <w:sz w:val="18"/>
        </w:rPr>
        <w:t xml:space="preserve">  [secondary] </w:t>
      </w:r>
      <w:r>
        <w:rPr>
          <w:rFonts w:ascii="Arial" w:hAnsi="Arial"/>
          <w:color w:val="555555"/>
          <w:sz w:val="18"/>
        </w:rPr>
        <w:t>https://gostmetal.ru/dinamika/</w:t>
      </w:r>
    </w:p>
    <w:p>
      <w:pPr>
        <w:pStyle w:val="ListBullet"/>
      </w:pPr>
      <w:r>
        <w:rPr>
          <w:rFonts w:ascii="Arial" w:hAnsi="Arial"/>
          <w:color w:val="2E86C1"/>
          <w:sz w:val="20"/>
        </w:rPr>
        <w:t>📊 Стоимость бетона в РФ выросла до 16 561 руб/м³; темпы роста цен на стройматериалы ускорятся до 15–20% в 2025–2026 гг. под давлением тарифов РЖД и удвоения кредитной нагрузки на производителей.</w:t>
      </w:r>
      <w:r>
        <w:rPr>
          <w:rFonts w:ascii="Arial" w:hAnsi="Arial"/>
          <w:i/>
          <w:color w:val="555555"/>
          <w:sz w:val="18"/>
        </w:rPr>
        <w:t xml:space="preserve">  [secondary] </w:t>
      </w:r>
      <w:r>
        <w:rPr>
          <w:rFonts w:ascii="Arial" w:hAnsi="Arial"/>
          <w:color w:val="555555"/>
          <w:sz w:val="18"/>
        </w:rPr>
        <w:t>https://glavportal.com/materials/industriya-strojmaterialov-2025-stagnaciya-ili-stabilnost</w:t>
      </w:r>
    </w:p>
    <w:p>
      <w:pPr>
        <w:pStyle w:val="ListBullet"/>
      </w:pPr>
      <w:r>
        <w:rPr>
          <w:rFonts w:ascii="Arial" w:hAnsi="Arial"/>
          <w:color w:val="2E86C1"/>
          <w:sz w:val="20"/>
        </w:rPr>
        <w:t>📊 Рынок private credit в РФ растёт на 40% ежегодно с 2023 года, глобальный объём достигнет $1,5 трлн к 2026 году; российские REITs превысили 100 млрд руб., а зелёные облигации — 500 млрд руб. с 2021 года.</w:t>
      </w:r>
      <w:r>
        <w:rPr>
          <w:rFonts w:ascii="Arial" w:hAnsi="Arial"/>
          <w:i/>
          <w:color w:val="555555"/>
          <w:sz w:val="18"/>
        </w:rPr>
        <w:t xml:space="preserve">  [secondary] </w:t>
      </w:r>
      <w:r>
        <w:rPr>
          <w:rFonts w:ascii="Arial" w:hAnsi="Arial"/>
          <w:color w:val="555555"/>
          <w:sz w:val="18"/>
        </w:rPr>
        <w:t>https://pmpractice.ru/solution/proektnaya_transformaciya/</w:t>
      </w:r>
    </w:p>
    <w:p>
      <w:pPr>
        <w:pStyle w:val="ListBullet"/>
      </w:pPr>
      <w:r>
        <w:rPr>
          <w:rFonts w:ascii="Arial" w:hAnsi="Arial"/>
          <w:color w:val="2E86C1"/>
          <w:sz w:val="20"/>
        </w:rPr>
        <w:t>📊 Оптимальная структура проектного финансирования при высоких ставках смещается к гибридным схемам с долей собственного капитала 20–30% и сроками 3–10 лет.</w:t>
      </w:r>
      <w:r>
        <w:rPr>
          <w:rFonts w:ascii="Arial" w:hAnsi="Arial"/>
          <w:i/>
          <w:color w:val="555555"/>
          <w:sz w:val="18"/>
        </w:rPr>
        <w:t xml:space="preserve">  [secondary] </w:t>
      </w:r>
      <w:r>
        <w:rPr>
          <w:rFonts w:ascii="Arial" w:hAnsi="Arial"/>
          <w:color w:val="555555"/>
          <w:sz w:val="18"/>
        </w:rPr>
        <w:t>https://www.royalfinance.ru/business/proektnoe-finansirovanie/</w:t>
      </w:r>
    </w:p>
    <w:p>
      <w:pPr>
        <w:pStyle w:val="Heading3"/>
      </w:pPr>
      <w:r>
        <w:rPr>
          <w:rFonts w:ascii="Arial" w:hAnsi="Arial"/>
          <w:color w:val="1B3A5C"/>
        </w:rPr>
        <w:t>Ключевые допущения</w:t>
      </w:r>
    </w:p>
    <w:p>
      <w:pPr>
        <w:pStyle w:val="ListBullet"/>
      </w:pPr>
      <w:r>
        <w:rPr>
          <w:rFonts w:ascii="Arial" w:hAnsi="Arial"/>
          <w:sz w:val="20"/>
        </w:rPr>
        <w:t>Доходность суверенных облигаций используется как прокси-метрика для нижней границы стоимости проектного финансирования в недвижимости.</w:t>
      </w:r>
    </w:p>
    <w:p>
      <w:pPr>
        <w:pStyle w:val="ListBullet"/>
      </w:pPr>
      <w:r>
        <w:rPr>
          <w:rFonts w:ascii="Arial" w:hAnsi="Arial"/>
          <w:sz w:val="20"/>
        </w:rPr>
        <w:t>Прогнозируемый рост цен на стройматериалы на 15–20% в 2025–2026 гг. сохранится при текущей траектории инфляции и тарифной политики.</w:t>
      </w:r>
    </w:p>
    <w:p>
      <w:pPr>
        <w:pStyle w:val="ListBullet"/>
      </w:pPr>
      <w:r>
        <w:rPr>
          <w:rFonts w:ascii="Arial" w:hAnsi="Arial"/>
          <w:sz w:val="20"/>
        </w:rPr>
        <w:t>Доступ к альтернативным инструментам (private credit, REITs, green bonds) остаётся преимущественно ограниченным для крупных и средних девелоперов с прозрачной отчётностью.</w:t>
      </w:r>
    </w:p>
    <w:p>
      <w:pPr>
        <w:pStyle w:val="ListBullet"/>
      </w:pPr>
      <w:r>
        <w:rPr>
          <w:rFonts w:ascii="Arial" w:hAnsi="Arial"/>
          <w:sz w:val="20"/>
        </w:rPr>
        <w:t>Налоговые льготы и ESG-стимулы для зелёных облигаций не будут существенно пересмотрены в ближайшие 2–3 года.</w:t>
      </w:r>
    </w:p>
    <w:p>
      <w:pPr>
        <w:pStyle w:val="ListBullet"/>
      </w:pPr>
      <w:r>
        <w:rPr>
          <w:rFonts w:ascii="Arial" w:hAnsi="Arial"/>
          <w:sz w:val="20"/>
        </w:rPr>
        <w:t>Тарифы РЖД и логистические издержки напрямую транслируются в себестоимость бетона и металлоконструкций без значительного поглощения маржи производителями.</w:t>
      </w:r>
    </w:p>
    <w:p>
      <w:pPr>
        <w:pStyle w:val="Heading3"/>
      </w:pPr>
      <w:r>
        <w:rPr>
          <w:rFonts w:ascii="Arial" w:hAnsi="Arial"/>
          <w:color w:val="1B3A5C"/>
        </w:rPr>
        <w:t>Пробелы / куда копать</w:t>
      </w:r>
    </w:p>
    <w:p>
      <w:pPr>
        <w:pStyle w:val="ListBullet"/>
      </w:pPr>
      <w:r>
        <w:rPr>
          <w:rFonts w:ascii="Arial" w:hAnsi="Arial"/>
          <w:sz w:val="20"/>
        </w:rPr>
        <w:t>Запросить данные из IMF Global Financial Stability Report (2024–2025) по прямым прогнозам cap rates и WACC для коммерческой и жилой недвижимости в развитых и развивающихся экономиках.</w:t>
      </w:r>
    </w:p>
    <w:p>
      <w:pPr>
        <w:pStyle w:val="ListBullet"/>
      </w:pPr>
      <w:r>
        <w:rPr>
          <w:rFonts w:ascii="Arial" w:hAnsi="Arial"/>
          <w:sz w:val="20"/>
        </w:rPr>
        <w:t>Найти детализированные отчёты по рынку строительного стекла (цены, логистические маршруты, доля импорта/экспорта) в условиях переориентации цепочек поставок.</w:t>
      </w:r>
    </w:p>
    <w:p>
      <w:pPr>
        <w:pStyle w:val="ListBullet"/>
      </w:pPr>
      <w:r>
        <w:rPr>
          <w:rFonts w:ascii="Arial" w:hAnsi="Arial"/>
          <w:sz w:val="20"/>
        </w:rPr>
        <w:t>Сравнить фактические условия привлечения private credit в РФ (ставки, ковенанты, сроки) с классическим банковским проектным финансированием для девелопмента.</w:t>
      </w:r>
    </w:p>
    <w:p>
      <w:pPr>
        <w:pStyle w:val="ListBullet"/>
      </w:pPr>
      <w:r>
        <w:rPr>
          <w:rFonts w:ascii="Arial" w:hAnsi="Arial"/>
          <w:sz w:val="20"/>
        </w:rPr>
        <w:t>Оценить количественный эффект ESG-премии и налоговых льгот на снижение стоимости капитала для зелёных строительных проектов в России.</w:t>
      </w:r>
    </w:p>
    <w:p>
      <w:pPr>
        <w:pStyle w:val="ListBullet"/>
      </w:pPr>
      <w:r>
        <w:rPr>
          <w:rFonts w:ascii="Arial" w:hAnsi="Arial"/>
          <w:sz w:val="20"/>
        </w:rPr>
        <w:t>Проанализировать влияние тарифной политики РЖД на себестоимость доставки цемента и металла в ключевые агломерации (Москва, СПб, Екатеринбург, Краснодар).</w:t>
      </w:r>
    </w:p>
    <w:p/>
    <w:p>
      <w:pPr>
        <w:pBdr>
          <w:left w:val="single" w:sz="36" w:space="6" w:color="F1C40F"/>
        </w:pBdr>
      </w:pPr>
      <w:r>
        <w:rPr>
          <w:rFonts w:ascii="Arial" w:hAnsi="Arial"/>
          <w:b/>
          <w:color w:val="1B3A5C"/>
          <w:sz w:val="28"/>
        </w:rPr>
        <w:t>Социокультурные паттерны и урбанистика / Глобальные изменения образа жизни</w:t>
      </w:r>
    </w:p>
    <w:p>
      <w:r>
        <w:rPr>
          <w:rFonts w:ascii="Arial" w:hAnsi="Arial"/>
          <w:b/>
          <w:sz w:val="20"/>
        </w:rPr>
        <w:t>Приоритет: 🟡 Средний</w:t>
      </w:r>
    </w:p>
    <w:p>
      <w:r>
        <w:rPr>
          <w:rFonts w:ascii="Arial" w:hAnsi="Arial"/>
          <w:b/>
          <w:color w:val="1B3A5C"/>
        </w:rPr>
        <w:t xml:space="preserve">Главный вывод: </w:t>
      </w:r>
      <w:r>
        <w:rPr>
          <w:rFonts w:ascii="Arial" w:hAnsi="Arial"/>
        </w:rPr>
        <w:t>Гибридная работа (44% предпочитают) и рост шеринговой экономики до $335 млрд стимулируют спрос на сервисное жильё и пригородную локализацию.</w:t>
      </w:r>
    </w:p>
    <w:p>
      <w:r>
        <w:rPr>
          <w:rFonts w:ascii="Arial" w:hAnsi="Arial"/>
          <w:b/>
          <w:color w:val="1B3A5C"/>
        </w:rPr>
        <w:t xml:space="preserve">Сильнейшая цифра: </w:t>
      </w:r>
      <w:r>
        <w:rPr>
          <w:rFonts w:ascii="Arial" w:hAnsi="Arial"/>
          <w:b/>
          <w:color w:val="2E86C1"/>
        </w:rPr>
        <w:t>71% специалистов ожидают влияния гибридных моделей на рынок труда до 2030 года, а число вакансий на удалёнку выросло на 92% (hh.ru, Work24).</w:t>
      </w:r>
    </w:p>
    <w:p>
      <w:r>
        <w:rPr>
          <w:rFonts w:ascii="Arial" w:hAnsi="Arial"/>
          <w:b/>
          <w:color w:val="1B3A5C"/>
        </w:rPr>
        <w:t xml:space="preserve">Главный пробел: </w:t>
      </w:r>
      <w:r>
        <w:rPr>
          <w:rFonts w:ascii="Arial" w:hAnsi="Arial"/>
        </w:rPr>
        <w:t>Отсутствуют глобальные отчёты JLL/CBRE по ко-ливингу и wellness-жилью на 2023–2025 гг.</w:t>
      </w:r>
    </w:p>
    <w:p>
      <w:r>
        <w:rPr>
          <w:rFonts w:ascii="Arial" w:hAnsi="Arial"/>
          <w:i/>
          <w:color w:val="555555"/>
          <w:sz w:val="18"/>
        </w:rPr>
        <w:t>Оценка: новизна 2/3 · конкретность 2/3 · применимость 2/3</w:t>
      </w:r>
    </w:p>
    <w:p>
      <w:r>
        <w:rPr>
          <w:rFonts w:ascii="Arial" w:hAnsi="Arial"/>
          <w:sz w:val="22"/>
        </w:rPr>
        <w:t>Трансформация социокультурных паттернов и урбанистических моделей к 2030 году определяется тремя взаимосвязанными векторами: пространственной деконцентрацией труда, макроэкономическим ростом шеринговой инфраструктуры и переосмыслением баланса между приватностью и комьюнити в жилой среде. Доступные данные демонстрируют устойчивый сдвиг от централизованных офисно-жилых кластеров к распределённым, гибридным экосистемам. При этом географический фокус исследований смещён в сторону российского рынка, что требует осторожности при экстраполяции на глобальный уровень, но позволяет выявить структурные механизмы адаптации среды к новым поведенческим нормам.</w:t>
      </w:r>
    </w:p>
    <w:p>
      <w:r>
        <w:rPr>
          <w:rFonts w:ascii="Arial" w:hAnsi="Arial"/>
          <w:sz w:val="22"/>
        </w:rPr>
        <w:t>Гибридный формат работы выступает главным драйвером изменения запроса на городскую ткань. По данным исследования hh.ru и «Яков и партнеры», 71% специалистов ожидают глубокого влияния гибридных моделей на рынок труда до 2030 года, при этом 44% уже предпочитают такой формат, а 46% фиксируют рост личной эффективности [hh.ru и «Яков и партнеры», 2024]. В секторах с высокой долей интеллектуального труда (IT, медиа, бизнес-услуги) распространённость гибрида превышает 50%, что подтверждает структурный, а не конъюнктурный характер тренда. Параллельно фиксируется взрывной рост спроса на полностью удалённые позиции: за первые девять месяцев 2024 года количество соответствующих вакансий увеличилось на 92% [Work24, 2025]. Эта динамика напрямую трансформирует урбанистическую логику: снижение привязки к офисным ядрам высвобождает временной и пространственный ресурс для переезда в пригородные локации с предсказуемой логистикой (30–60 минут от мегаполисов), где застройщики активно формируют замкнутую инфраструктуру (детские сады, фитнес, локальные кафе) для компенсации удалённости от городских центров [MegaResearch, 2025].</w:t>
      </w:r>
    </w:p>
    <w:p>
      <w:r>
        <w:rPr>
          <w:rFonts w:ascii="Arial" w:hAnsi="Arial"/>
          <w:sz w:val="22"/>
        </w:rPr>
        <w:t>Параллельно растёт макроэкономический спрос на совместное использование ресурсов, что создаёт экономический фундамент для сервисного жилья. Глобальный объём шеринговой экономики оценивается в $335 млрд в 2025 году с прогнозом роста до $1,8 трлн к 2031 году при CAGR свыше 30% [Коммерсантъ, 2024]. Этот тренд проявляется не только в потребительском сегменте, но и в B2B-инфраструктуре: рынок сервисной аренды (например, текстиля и прачечных услуг для HoReCa) достигнет $16,3 млрд к 2032 году [Т-Банк, 2024]. В контексте жилой недвижимости это снижает барьеры для развития ко-ливингов и сервисных квартир, где жители делегируют бытовые функции внешним провайдерам. Отдельно стоит отметить рост shared mobility: глобальное время использования сервисов достигнет 2,3 млрд минут в 2025 году (+16% г/г) [Т-Банк, 2025], что объективно снижает потребность в личном автомобиле и делает архитектурно возможным проектирование кварталов с концепцией «дворов без машин».</w:t>
      </w:r>
    </w:p>
    <w:p>
      <w:r>
        <w:rPr>
          <w:rFonts w:ascii="Arial" w:hAnsi="Arial"/>
          <w:sz w:val="22"/>
        </w:rPr>
        <w:t>Однако в запросе на жилую среду наблюдается выраженный парадокс: стремление к приватности конкурирует с инструментами комьюнити-билдинга. На рынке 2026 года доминирующим трендом становится малоэтажная застройка (3–4 этажа) с закрытыми территориями, отражающая усталость от плотных многоэтажных массивов [Т-Банк, 2024]. При этом комьюнити-инфраструктура не исчезает, а трансформируется: в более чем 40% новых жилых комплексов Санкт-Петербурга девелоперы внедряют соседские центры и цифровые платформы коммуникации [BN.ru, 2024]. Здесь возникает конкурирующая гипотеза (ACH). Первая версия предполагает, что комьюнити-сервисы отвечают на глубинную социальную потребность в локальной идентичности и снижают атомизацию жителей в условиях гибридной занятости. Вторая, более прагматичная версия, указывает на то, что эти инструменты используются преимущественно как механизм удержания лояльности и повышения маржинальности проектов, не меняя базового запроса на уединение. Судя по структуре внедрения (вспомогательный статус, интеграция в приватные контуры), вторая гипотеза выглядит слабее обоснованной в долгосрочной перспективе, но сильнее подтверждается текущей девелоперской практикой, где комьюнити часто выступает маркетинговой надстройкой.</w:t>
      </w:r>
    </w:p>
    <w:p>
      <w:r>
        <w:rPr>
          <w:rFonts w:ascii="Arial" w:hAnsi="Arial"/>
          <w:sz w:val="22"/>
        </w:rPr>
        <w:t>В совокупности эти паттерны формируют новую урбанистическую парадигму: город перестаёт быть единым организмом, превращаясь в сеть автономных, но связанных цифровыми и транспортными узлами кластеров. Жильё эволюционирует от «квадратных метров» к «сервисной подписке», где приватность обеспечивается архитектурой, а комьюнити — цифровыми и событийными слоями.</w:t>
      </w:r>
    </w:p>
    <w:p>
      <w:pPr>
        <w:pStyle w:val="Heading3"/>
      </w:pPr>
      <w:r>
        <w:rPr>
          <w:rFonts w:ascii="Arial" w:hAnsi="Arial"/>
          <w:color w:val="1B3A5C"/>
        </w:rPr>
        <w:t>Источники</w:t>
      </w:r>
    </w:p>
    <w:p>
      <w:pPr>
        <w:pStyle w:val="ListBullet"/>
      </w:pPr>
      <w:r>
        <w:rPr>
          <w:rFonts w:ascii="Arial" w:hAnsi="Arial"/>
          <w:color w:val="2E86C1"/>
          <w:sz w:val="20"/>
        </w:rPr>
        <w:t>📊 71% россиян ожидают влияния гибридного формата на рынок труда до 2030 года, 44% уже предпочитают его, а 46% отмечают рост эффективности; в IT, медиа и бизнес-услугах распространённость превышает 50%.</w:t>
      </w:r>
      <w:r>
        <w:rPr>
          <w:rFonts w:ascii="Arial" w:hAnsi="Arial"/>
          <w:i/>
          <w:color w:val="555555"/>
          <w:sz w:val="18"/>
        </w:rPr>
        <w:t xml:space="preserve">  [secondary] </w:t>
      </w:r>
      <w:r>
        <w:rPr>
          <w:rFonts w:ascii="Arial" w:hAnsi="Arial"/>
          <w:color w:val="555555"/>
          <w:sz w:val="18"/>
        </w:rPr>
        <w:t>https://www.forbes.ru/svoi-biznes/498509-rossiane-nazvali-klucevye-trendy-na-rynke-truda-do-2030-goda</w:t>
      </w:r>
    </w:p>
    <w:p>
      <w:pPr>
        <w:pStyle w:val="ListBullet"/>
      </w:pPr>
      <w:r>
        <w:rPr>
          <w:rFonts w:ascii="Arial" w:hAnsi="Arial"/>
          <w:color w:val="2E86C1"/>
          <w:sz w:val="20"/>
        </w:rPr>
        <w:t>📊 Рост вакансий на удалённую работу составил 92% за первые 9 месяцев 2024 года, что подтверждает сценарий структурного сдвига занятости.</w:t>
      </w:r>
      <w:r>
        <w:rPr>
          <w:rFonts w:ascii="Arial" w:hAnsi="Arial"/>
          <w:i/>
          <w:color w:val="555555"/>
          <w:sz w:val="18"/>
        </w:rPr>
        <w:t xml:space="preserve">  [secondary] </w:t>
      </w:r>
      <w:r>
        <w:rPr>
          <w:rFonts w:ascii="Arial" w:hAnsi="Arial"/>
          <w:color w:val="555555"/>
          <w:sz w:val="18"/>
        </w:rPr>
        <w:t>https://work24.ru/journal/170-budushchee-udalennoy-raboty-prognozy-na-20252030-gody</w:t>
      </w:r>
    </w:p>
    <w:p>
      <w:pPr>
        <w:pStyle w:val="ListBullet"/>
      </w:pPr>
      <w:r>
        <w:rPr>
          <w:rFonts w:ascii="Arial" w:hAnsi="Arial"/>
          <w:color w:val="2E86C1"/>
          <w:sz w:val="20"/>
        </w:rPr>
        <w:t>📊 Глобальный объем шеринговой экономики достигнет $335 млрд в 2025 году и вырастет до $1,8 трлн к 2031 году при CAGR свыше 30%.</w:t>
      </w:r>
      <w:r>
        <w:rPr>
          <w:rFonts w:ascii="Arial" w:hAnsi="Arial"/>
          <w:i/>
          <w:color w:val="555555"/>
          <w:sz w:val="18"/>
        </w:rPr>
        <w:t xml:space="preserve">  [secondary] </w:t>
      </w:r>
      <w:r>
        <w:rPr>
          <w:rFonts w:ascii="Arial" w:hAnsi="Arial"/>
          <w:color w:val="555555"/>
          <w:sz w:val="18"/>
        </w:rPr>
        <w:t>https://www.kommersant.ru/doc/7798336</w:t>
      </w:r>
    </w:p>
    <w:p>
      <w:pPr>
        <w:pStyle w:val="ListBullet"/>
      </w:pPr>
      <w:r>
        <w:rPr>
          <w:rFonts w:ascii="Arial" w:hAnsi="Arial"/>
          <w:color w:val="2E86C1"/>
          <w:sz w:val="20"/>
        </w:rPr>
        <w:t>📊 B2B-сегмент шеринг-инфраструктуры (аренда текстиля, сервисы стирки) прогнозируется на уровне $16,3 млрд к 2032 году.</w:t>
      </w:r>
      <w:r>
        <w:rPr>
          <w:rFonts w:ascii="Arial" w:hAnsi="Arial"/>
          <w:i/>
          <w:color w:val="555555"/>
          <w:sz w:val="18"/>
        </w:rPr>
        <w:t xml:space="preserve">  [secondary] </w:t>
      </w:r>
      <w:r>
        <w:rPr>
          <w:rFonts w:ascii="Arial" w:hAnsi="Arial"/>
          <w:color w:val="555555"/>
          <w:sz w:val="18"/>
        </w:rPr>
        <w:t>https://secrets.tbank.ru/blogi-kompanij/kak-arenda-pomogaet-snizhat-izderzhki/</w:t>
      </w:r>
    </w:p>
    <w:p>
      <w:pPr>
        <w:pStyle w:val="ListBullet"/>
      </w:pPr>
      <w:r>
        <w:rPr>
          <w:rFonts w:ascii="Arial" w:hAnsi="Arial"/>
          <w:color w:val="2E86C1"/>
          <w:sz w:val="20"/>
        </w:rPr>
        <w:t>📊 Глобальное время использования сервисов shared mobility достигнет 2,3 млрд минут в 2025 году (+16% г/г).</w:t>
      </w:r>
      <w:r>
        <w:rPr>
          <w:rFonts w:ascii="Arial" w:hAnsi="Arial"/>
          <w:i/>
          <w:color w:val="555555"/>
          <w:sz w:val="18"/>
        </w:rPr>
        <w:t xml:space="preserve">  [secondary] </w:t>
      </w:r>
      <w:r>
        <w:rPr>
          <w:rFonts w:ascii="Arial" w:hAnsi="Arial"/>
          <w:color w:val="555555"/>
          <w:sz w:val="18"/>
        </w:rPr>
        <w:t>https://www.tbank.ru/invest/research/review/shared-mobility/</w:t>
      </w:r>
    </w:p>
    <w:p>
      <w:pPr>
        <w:pStyle w:val="ListBullet"/>
      </w:pPr>
      <w:r>
        <w:rPr>
          <w:rFonts w:ascii="Arial" w:hAnsi="Arial"/>
          <w:color w:val="2E86C1"/>
          <w:sz w:val="20"/>
        </w:rPr>
        <w:t>📊 Спрос смещается в загородные поселки в 30–60 минутах от городов, где приватность сочетается с предсказуемой логистикой и внутренней инфраструктурой.</w:t>
      </w:r>
      <w:r>
        <w:rPr>
          <w:rFonts w:ascii="Arial" w:hAnsi="Arial"/>
          <w:i/>
          <w:color w:val="555555"/>
          <w:sz w:val="18"/>
        </w:rPr>
        <w:t xml:space="preserve">  [secondary] </w:t>
      </w:r>
      <w:r>
        <w:rPr>
          <w:rFonts w:ascii="Arial" w:hAnsi="Arial"/>
          <w:color w:val="555555"/>
          <w:sz w:val="18"/>
        </w:rPr>
        <w:t>https://www.megaresearch.ru/new_reality/kak-menyaetsya-spros-na-rynke-zagorodnoy-nedvizhimosti-klyuchevye-signaly-i-povedencheskie-trendy-v-2026-godu</w:t>
      </w:r>
    </w:p>
    <w:p>
      <w:pPr>
        <w:pStyle w:val="ListBullet"/>
      </w:pPr>
      <w:r>
        <w:rPr>
          <w:rFonts w:ascii="Arial" w:hAnsi="Arial"/>
          <w:color w:val="2E86C1"/>
          <w:sz w:val="20"/>
        </w:rPr>
        <w:t>📊 В 2026 году на рынке доминирует запрос на малоэтажные кварталы (3–4 этажа) с закрытыми территориями и дворами без машин.</w:t>
      </w:r>
      <w:r>
        <w:rPr>
          <w:rFonts w:ascii="Arial" w:hAnsi="Arial"/>
          <w:i/>
          <w:color w:val="555555"/>
          <w:sz w:val="18"/>
        </w:rPr>
        <w:t xml:space="preserve">  [secondary] </w:t>
      </w:r>
      <w:r>
        <w:rPr>
          <w:rFonts w:ascii="Arial" w:hAnsi="Arial"/>
          <w:color w:val="555555"/>
          <w:sz w:val="18"/>
        </w:rPr>
        <w:t>https://secrets.tbank.ru/blogi-kompanij/trendah-v-nedvizhimosti-2026/</w:t>
      </w:r>
    </w:p>
    <w:p>
      <w:pPr>
        <w:pStyle w:val="ListBullet"/>
      </w:pPr>
      <w:r>
        <w:rPr>
          <w:rFonts w:ascii="Arial" w:hAnsi="Arial"/>
          <w:color w:val="2E86C1"/>
          <w:sz w:val="20"/>
        </w:rPr>
        <w:t>📊 В &gt;40% новых ЖК Петербурга застройщики внедряют соседские центры и цифровые платформы для коммуникации как инструмент лояльности.</w:t>
      </w:r>
      <w:r>
        <w:rPr>
          <w:rFonts w:ascii="Arial" w:hAnsi="Arial"/>
          <w:i/>
          <w:color w:val="555555"/>
          <w:sz w:val="18"/>
        </w:rPr>
        <w:t xml:space="preserve">  [secondary] </w:t>
      </w:r>
      <w:r>
        <w:rPr>
          <w:rFonts w:ascii="Arial" w:hAnsi="Arial"/>
          <w:color w:val="555555"/>
          <w:sz w:val="18"/>
        </w:rPr>
        <w:t>https://www.bn.ru/gazeta/articles/285267/</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российские тренды 2024–2026 гг. являются релевантным прокси для глобальных сдвигов в условиях схожих макроэкономических ограничений.</w:t>
      </w:r>
    </w:p>
    <w:p>
      <w:pPr>
        <w:pStyle w:val="ListBullet"/>
      </w:pPr>
      <w:r>
        <w:rPr>
          <w:rFonts w:ascii="Arial" w:hAnsi="Arial"/>
          <w:sz w:val="20"/>
        </w:rPr>
        <w:t>Данные по росту шеринговой экономики экстраполируются на жилую недвижимость без учёта регуляторных барьеров и налоговых режимов в разных юрисдикциях.</w:t>
      </w:r>
    </w:p>
    <w:p>
      <w:pPr>
        <w:pStyle w:val="ListBullet"/>
      </w:pPr>
      <w:r>
        <w:rPr>
          <w:rFonts w:ascii="Arial" w:hAnsi="Arial"/>
          <w:sz w:val="20"/>
        </w:rPr>
        <w:t>Принимается, что внедрение цифровых платформ в ЖК действительно отражает социальный запрос, а не только маркетинговую стратегию застройщиков.</w:t>
      </w:r>
    </w:p>
    <w:p>
      <w:pPr>
        <w:pStyle w:val="ListBullet"/>
      </w:pPr>
      <w:r>
        <w:rPr>
          <w:rFonts w:ascii="Arial" w:hAnsi="Arial"/>
          <w:sz w:val="20"/>
        </w:rPr>
        <w:t>Прогнозы до 2030 года строятся на линейной экстраполяции текущих темпов роста без учёта возможных технологических или регуляторных шоков.</w:t>
      </w:r>
    </w:p>
    <w:p>
      <w:pPr>
        <w:pStyle w:val="ListBullet"/>
      </w:pPr>
      <w:r>
        <w:rPr>
          <w:rFonts w:ascii="Arial" w:hAnsi="Arial"/>
          <w:sz w:val="20"/>
        </w:rPr>
        <w:t>Связь между удалённой работой и миграцией в пригород рассматривается как прямая, без учёта факторов стоимости жилья и качества локальной инфраструктуры.</w:t>
      </w:r>
    </w:p>
    <w:p>
      <w:pPr>
        <w:pStyle w:val="Heading3"/>
      </w:pPr>
      <w:r>
        <w:rPr>
          <w:rFonts w:ascii="Arial" w:hAnsi="Arial"/>
          <w:color w:val="1B3A5C"/>
        </w:rPr>
        <w:t>Пробелы / куда копать</w:t>
      </w:r>
    </w:p>
    <w:p>
      <w:pPr>
        <w:pStyle w:val="ListBullet"/>
      </w:pPr>
      <w:r>
        <w:rPr>
          <w:rFonts w:ascii="Arial" w:hAnsi="Arial"/>
          <w:sz w:val="20"/>
        </w:rPr>
        <w:t>Отсутствуют глобальные отчёты JLL, CBRE, McKinsey, Deloitte по ко-ливингу и wellness-жилью на 2023–2025 гг. — требуется поиск в международных базах коммерческой недвижимости.</w:t>
      </w:r>
    </w:p>
    <w:p>
      <w:pPr>
        <w:pStyle w:val="ListBullet"/>
      </w:pPr>
      <w:r>
        <w:rPr>
          <w:rFonts w:ascii="Arial" w:hAnsi="Arial"/>
          <w:sz w:val="20"/>
        </w:rPr>
        <w:t>Нет метрик по фактическому спросу на сервисные квартиры в ЕС, США и Азии за 2024–2025 гг. — необходимо запросить данные по occupancy rates и среднему чеку в сегменте serviced apartments.</w:t>
      </w:r>
    </w:p>
    <w:p>
      <w:pPr>
        <w:pStyle w:val="ListBullet"/>
      </w:pPr>
      <w:r>
        <w:rPr>
          <w:rFonts w:ascii="Arial" w:hAnsi="Arial"/>
          <w:sz w:val="20"/>
        </w:rPr>
        <w:t>Отсутствуют академические исследования и данные Gensler/HOK по балансу приватности и комьюнити в развитых рынках — требуется анализ пост-пандемийных урбанистических отчётов.</w:t>
      </w:r>
    </w:p>
    <w:p>
      <w:pPr>
        <w:pStyle w:val="ListBullet"/>
      </w:pPr>
      <w:r>
        <w:rPr>
          <w:rFonts w:ascii="Arial" w:hAnsi="Arial"/>
          <w:sz w:val="20"/>
        </w:rPr>
        <w:t>Не раскрыта корреляция между ростом shared mobility и фактическим снижением парковочных норм в новых жилых проектах — нужен запрос по градостроительным регламентам и девелоперским кейсам.</w:t>
      </w:r>
    </w:p>
    <w:p/>
    <w:p>
      <w:pPr>
        <w:pBdr>
          <w:left w:val="single" w:sz="36" w:space="6" w:color="F1C40F"/>
        </w:pBdr>
      </w:pPr>
      <w:r>
        <w:rPr>
          <w:rFonts w:ascii="Arial" w:hAnsi="Arial"/>
          <w:b/>
          <w:color w:val="1B3A5C"/>
          <w:sz w:val="28"/>
        </w:rPr>
        <w:t>Технологии и цифровизация строительства / Глобальные инновации</w:t>
      </w:r>
    </w:p>
    <w:p>
      <w:r>
        <w:rPr>
          <w:rFonts w:ascii="Arial" w:hAnsi="Arial"/>
          <w:b/>
          <w:sz w:val="20"/>
        </w:rPr>
        <w:t>Приоритет: 🟡 Средний</w:t>
      </w:r>
    </w:p>
    <w:p>
      <w:r>
        <w:rPr>
          <w:rFonts w:ascii="Arial" w:hAnsi="Arial"/>
          <w:b/>
          <w:color w:val="1B3A5C"/>
        </w:rPr>
        <w:t xml:space="preserve">Главный вывод: </w:t>
      </w:r>
      <w:r>
        <w:rPr>
          <w:rFonts w:ascii="Arial" w:hAnsi="Arial"/>
        </w:rPr>
        <w:t>Цифровые двойники и 3D-печать переходят от пилотов к системному внедрению, но темпы ограничены регуляторной зрелостью и инфраструктурными барьерами.</w:t>
      </w:r>
    </w:p>
    <w:p>
      <w:r>
        <w:rPr>
          <w:rFonts w:ascii="Arial" w:hAnsi="Arial"/>
          <w:b/>
          <w:color w:val="1B3A5C"/>
        </w:rPr>
        <w:t xml:space="preserve">Сильнейшая цифра: </w:t>
      </w:r>
      <w:r>
        <w:rPr>
          <w:rFonts w:ascii="Arial" w:hAnsi="Arial"/>
          <w:b/>
          <w:color w:val="2E86C1"/>
        </w:rPr>
        <w:t>Интеграция цифровых двойников ускоряет реализацию проектов на ~25% (itweek.ru).</w:t>
      </w:r>
    </w:p>
    <w:p>
      <w:r>
        <w:rPr>
          <w:rFonts w:ascii="Arial" w:hAnsi="Arial"/>
          <w:b/>
          <w:color w:val="1B3A5C"/>
        </w:rPr>
        <w:t xml:space="preserve">Главный пробел: </w:t>
      </w:r>
      <w:r>
        <w:rPr>
          <w:rFonts w:ascii="Arial" w:hAnsi="Arial"/>
        </w:rPr>
        <w:t>Найти прямые отчёты McKinsey/BCG/Gartner по цифровизации и автоматизации строительства на 2024–2030 гг.</w:t>
      </w:r>
    </w:p>
    <w:p>
      <w:r>
        <w:rPr>
          <w:rFonts w:ascii="Arial" w:hAnsi="Arial"/>
          <w:i/>
          <w:color w:val="555555"/>
          <w:sz w:val="18"/>
        </w:rPr>
        <w:t>Оценка: новизна 2/3 · конкретность 2/3 · применимость 2/3</w:t>
      </w:r>
    </w:p>
    <w:p>
      <w:r>
        <w:rPr>
          <w:rFonts w:ascii="Arial" w:hAnsi="Arial"/>
          <w:sz w:val="22"/>
        </w:rPr>
        <w:t>Цифровая трансформация строительной отрасли находится в фазе перехода от изолированных пилотов к системной интеграции, однако темпы внедрения сильно зависят от регуляторной зрелости рынков и готовности нормативной базы. Технология цифровых двойников, базирующаяся на BIM-моделях и телеметрии датчиков, демонстрирует измеримый операционный эффект: интеграция данных мониторинга позволяет ускорять реализацию проектов примерно на 25%, что подтверждается практиками контроля деформаций на сложных объектах вроде «Лахта Центра» и электродепо «Бирюлевское» [itweek.ru](https://www.itweek.ru/themes/detail.php?ID=233578). Согласно эволюции кривой зрелости Gartner, цифровые двойники в период 2016–2024 гг. сместились в сторону «плато продуктивности», чему способствует сквозная интеграция с алгоритмами ИИ для предиктивной аналитики [cyberleninka.ru](https://cyberleninka.ru/article/n/evolyutsiya-tehnologii-tsifrovyh-dvoynikov-na-krivoy-gartner-za-period-2016-2024-gg). При этом прямые прогнозные отчёты McKinsey, BCG и Gartner по строительству на 2024–2030 гг. остаются закрытыми или фрагментарными, что вынуждает аналитиков опираться на отраслевые вторичные данные и локальные кейсы.</w:t>
      </w:r>
    </w:p>
    <w:p>
      <w:r>
        <w:rPr>
          <w:rFonts w:ascii="Arial" w:hAnsi="Arial"/>
          <w:sz w:val="22"/>
        </w:rPr>
        <w:t>Аддитивные технологии (3D-печать зданий) иллюстрируют разрыв между амбициозными целевыми показателями и инфраструктурными ограничениями. К 2022–2023 гг. в мире было возведено свыше 1000 напечатанных объектов, и отрасль пытается перейти от единичных демонстраций к комплексной застройке поселков и инфраструктуры [cvetmir3d.ru](https://cvetmir3d.ru/blog/stroitelstvo/stroitelnaya-3d-pechat-v-ozhidanii-proryva/). Муниципалитет Дубая зафиксировал цель довести долю таких зданий до 25% к 2030 году, опираясь на кейс Apis Cor (административное здание 641 м² за несколько дней) и прогноз снижения стоимости в 6 раз [trends.rbc.ru](https://trends.rbc.ru/trends/innovation/60f5ad5f9a7947a81f1e63cf). В России запущена подготовка регуляторной песочницы (февраль 2026 г.), нацеленной на двукратное снижение себестоимости ИЖС и достижение 10% доли аддитивного жилья к 2036 году, включая пилот на 1 млн м² [cnews.ru](https://www.cnews.ru/news/top/2026-02-05_v_gosdume_hotyat_provesti). Китайские инициативы (Shanghai WinSun) демонстрируют потенциал массового тиражирования при использовании вторичного сырья и стоимости объекта около £3100 [siusystem.ru](https://siusystem.ru/news/v_kitae_zapustyat_massovoe_proizvodstvo_domov_napechatannykh_na_3d_printere/).</w:t>
      </w:r>
    </w:p>
    <w:p>
      <w:r>
        <w:rPr>
          <w:rFonts w:ascii="Arial" w:hAnsi="Arial"/>
          <w:sz w:val="22"/>
        </w:rPr>
        <w:t>Однако существует устойчивое противоречие в оценках траектории масштабирования. Гипотеза А (экспоненциальное внедрение): регуляторные песочницы и интеграция ИИ снимут барьеры, позволив технологиям захватить значимую долю рынка к 2030–2036 гг. Гипотеза Б (нишевая стабилизация): отсутствие унифицированных строительных норм, зависимость от специализированных смесей и логистических цепочек ограничат 3D-печать сегментом малоэтажного строительства (ИЖС) и инфраструктурных малых форм. Анализ показывает, что за 7–8 лет с 2014 года массовый переход не состоялся именно из-за регуляторных барьеров вне ИЖС и необходимости формирования полной экосистемы [industry3d.ru](https://industry3d.ru/3d-pechat-v-stroitelstve-2025-preimushchestva-i-primery/). На текущем этапе Гипотеза Б выглядит более обоснованной: технологическая готовность принтеров опережает нормативную базу и экономические модели цепочек поставок. Отдельно стоит отметить полное отсутствие в выборке данных по роботизированной кладке (Hadrian X, SAM100), что указывает на возможный спад интереса или коммерческую нежизнеспособность данного направления по сравнению с бетонной печатью.</w:t>
      </w:r>
    </w:p>
    <w:p>
      <w:r>
        <w:rPr>
          <w:rFonts w:ascii="Arial" w:hAnsi="Arial"/>
          <w:sz w:val="22"/>
        </w:rPr>
        <w:t>В части автоматизации себестоимости прямые метрики отсутствуют, однако объёмы смежных рынков указывают на переток капитала. Глобальный рынок ИИ в строительстве прогнозируется на уровне $550 млрд к 2030 году (CAGR 35,14%), а рынок систем автоматизации зданий (BAS) — $255,59 млрд (CAGR 11,10%). Эти цифры отражают спрос на цифровые решения, но не транслируются напрямую в долю автоматизированных процессов в структуре затрат из-за отсутствия стандартизированного cost-анализа. Для точной оценки требуется переход от рыночных объёмов к пооперационным моделям себестоимости.</w:t>
      </w:r>
    </w:p>
    <w:p>
      <w:pPr>
        <w:pStyle w:val="Heading3"/>
      </w:pPr>
      <w:r>
        <w:rPr>
          <w:rFonts w:ascii="Arial" w:hAnsi="Arial"/>
          <w:color w:val="1B3A5C"/>
        </w:rPr>
        <w:t>Источники</w:t>
      </w:r>
    </w:p>
    <w:p>
      <w:pPr>
        <w:pStyle w:val="ListBullet"/>
      </w:pPr>
      <w:r>
        <w:rPr>
          <w:rFonts w:ascii="Arial" w:hAnsi="Arial"/>
          <w:color w:val="2E86C1"/>
          <w:sz w:val="20"/>
        </w:rPr>
        <w:t>📊 Интеграция цифровых двойников на базе BIM и датчиков ускоряет реализацию проектов на 25% (кейсы Лахта Центр, Бирюлевское).</w:t>
      </w:r>
      <w:r>
        <w:rPr>
          <w:rFonts w:ascii="Arial" w:hAnsi="Arial"/>
          <w:i/>
          <w:color w:val="555555"/>
          <w:sz w:val="18"/>
        </w:rPr>
        <w:t xml:space="preserve">  [secondary] </w:t>
      </w:r>
      <w:r>
        <w:rPr>
          <w:rFonts w:ascii="Arial" w:hAnsi="Arial"/>
          <w:color w:val="555555"/>
          <w:sz w:val="18"/>
        </w:rPr>
        <w:t>https://www.itweek.ru/themes/detail.php?ID=233578</w:t>
      </w:r>
    </w:p>
    <w:p>
      <w:pPr>
        <w:pStyle w:val="ListBullet"/>
      </w:pPr>
      <w:r>
        <w:rPr>
          <w:rFonts w:ascii="Arial" w:hAnsi="Arial"/>
          <w:color w:val="2E86C1"/>
          <w:sz w:val="20"/>
        </w:rPr>
        <w:t>📊 По кривой Gartner (2016–2024) цифровые двойники переходят на плато продуктивности за счёт интеграции с ИИ.</w:t>
      </w:r>
      <w:r>
        <w:rPr>
          <w:rFonts w:ascii="Arial" w:hAnsi="Arial"/>
          <w:i/>
          <w:color w:val="555555"/>
          <w:sz w:val="18"/>
        </w:rPr>
        <w:t xml:space="preserve">  [secondary] </w:t>
      </w:r>
      <w:r>
        <w:rPr>
          <w:rFonts w:ascii="Arial" w:hAnsi="Arial"/>
          <w:color w:val="555555"/>
          <w:sz w:val="18"/>
        </w:rPr>
        <w:t>https://cyberleninka.ru/article/n/evolyutsiya-tehnologii-tsifrovyh-dvoynikov-na-krivoy-gartner-za-period-2016-2024-gg</w:t>
      </w:r>
    </w:p>
    <w:p>
      <w:pPr>
        <w:pStyle w:val="ListBullet"/>
      </w:pPr>
      <w:r>
        <w:rPr>
          <w:rFonts w:ascii="Arial" w:hAnsi="Arial"/>
          <w:color w:val="2E86C1"/>
          <w:sz w:val="20"/>
        </w:rPr>
        <w:t>📊 К 2022–2023 гг. в мире напечатано &gt;1000 зданий, отрасль переходит к комплексной застройке, но сдерживается нормативными барьерами.</w:t>
      </w:r>
      <w:r>
        <w:rPr>
          <w:rFonts w:ascii="Arial" w:hAnsi="Arial"/>
          <w:i/>
          <w:color w:val="555555"/>
          <w:sz w:val="18"/>
        </w:rPr>
        <w:t xml:space="preserve">  [secondary] </w:t>
      </w:r>
      <w:r>
        <w:rPr>
          <w:rFonts w:ascii="Arial" w:hAnsi="Arial"/>
          <w:color w:val="555555"/>
          <w:sz w:val="18"/>
        </w:rPr>
        <w:t>https://cvetmir3d.ru/blog/stroitelstvo/stroitelnaya-3d-pechat-v-ozhidanii-proryva/</w:t>
      </w:r>
    </w:p>
    <w:p>
      <w:pPr>
        <w:pStyle w:val="ListBullet"/>
      </w:pPr>
      <w:r>
        <w:rPr>
          <w:rFonts w:ascii="Arial" w:hAnsi="Arial"/>
          <w:color w:val="2E86C1"/>
          <w:sz w:val="20"/>
        </w:rPr>
        <w:t>📊 Дубай ставит цель 25% 3D-печатных зданий к 2030 г.; кейс Apis Cor (641 м² за дни) прогнозирует снижение стоимости в 6 раз.</w:t>
      </w:r>
      <w:r>
        <w:rPr>
          <w:rFonts w:ascii="Arial" w:hAnsi="Arial"/>
          <w:i/>
          <w:color w:val="555555"/>
          <w:sz w:val="18"/>
        </w:rPr>
        <w:t xml:space="preserve">  [secondary] </w:t>
      </w:r>
      <w:r>
        <w:rPr>
          <w:rFonts w:ascii="Arial" w:hAnsi="Arial"/>
          <w:color w:val="555555"/>
          <w:sz w:val="18"/>
        </w:rPr>
        <w:t>https://trends.rbc.ru/trends/innovation/60f5ad5f9a7947a81f1e63cf</w:t>
      </w:r>
    </w:p>
    <w:p>
      <w:pPr>
        <w:pStyle w:val="ListBullet"/>
      </w:pPr>
      <w:r>
        <w:rPr>
          <w:rFonts w:ascii="Arial" w:hAnsi="Arial"/>
          <w:color w:val="2E86C1"/>
          <w:sz w:val="20"/>
        </w:rPr>
        <w:t>📊 РФ готовит регуляторную песочницу (февраль 2026) для снижения себестоимости ИЖС в 2 раза и достижения 10% доли к 2036 г.</w:t>
      </w:r>
      <w:r>
        <w:rPr>
          <w:rFonts w:ascii="Arial" w:hAnsi="Arial"/>
          <w:i/>
          <w:color w:val="555555"/>
          <w:sz w:val="18"/>
        </w:rPr>
        <w:t xml:space="preserve">  [secondary] </w:t>
      </w:r>
      <w:r>
        <w:rPr>
          <w:rFonts w:ascii="Arial" w:hAnsi="Arial"/>
          <w:color w:val="555555"/>
          <w:sz w:val="18"/>
        </w:rPr>
        <w:t>https://www.cnews.ru/news/top/2026-02-05_v_gosdume_hotyat_provesti</w:t>
      </w:r>
    </w:p>
    <w:p>
      <w:pPr>
        <w:pStyle w:val="ListBullet"/>
      </w:pPr>
      <w:r>
        <w:rPr>
          <w:rFonts w:ascii="Arial" w:hAnsi="Arial"/>
          <w:color w:val="2E86C1"/>
          <w:sz w:val="20"/>
        </w:rPr>
        <w:t>📊 За 7–8 лет с 2014 г. массовое внедрение 3D-печати не состоялось из-за регуляторных барьеров вне ИЖС и отсутствия экосистемы.</w:t>
      </w:r>
      <w:r>
        <w:rPr>
          <w:rFonts w:ascii="Arial" w:hAnsi="Arial"/>
          <w:i/>
          <w:color w:val="555555"/>
          <w:sz w:val="18"/>
        </w:rPr>
        <w:t xml:space="preserve">  [secondary] </w:t>
      </w:r>
      <w:r>
        <w:rPr>
          <w:rFonts w:ascii="Arial" w:hAnsi="Arial"/>
          <w:color w:val="555555"/>
          <w:sz w:val="18"/>
        </w:rPr>
        <w:t>https://industry3d.ru/3d-pechat-v-stroitelstve-2025-preimushchestva-i-primery/</w:t>
      </w:r>
    </w:p>
    <w:p>
      <w:pPr>
        <w:pStyle w:val="ListBullet"/>
      </w:pPr>
      <w:r>
        <w:rPr>
          <w:rFonts w:ascii="Arial" w:hAnsi="Arial"/>
          <w:color w:val="2E86C1"/>
          <w:sz w:val="20"/>
        </w:rPr>
        <w:t>📊 Рынок ИИ в строительстве прогнозируется на $550 млрд к 2030 г. (CAGR 35,14%), рынок BAS — $255,59 млрд (CAGR 11,10%).</w:t>
      </w:r>
      <w:r>
        <w:rPr>
          <w:rFonts w:ascii="Arial" w:hAnsi="Arial"/>
          <w:i/>
          <w:color w:val="555555"/>
          <w:sz w:val="18"/>
        </w:rPr>
        <w:t xml:space="preserve">  [secondary] </w:t>
      </w:r>
      <w:r>
        <w:rPr>
          <w:rFonts w:ascii="Arial" w:hAnsi="Arial"/>
          <w:color w:val="555555"/>
          <w:sz w:val="18"/>
        </w:rPr>
        <w:t>https://www.itweek.ru/themes/detail.php?ID=233578</w:t>
      </w:r>
    </w:p>
    <w:p>
      <w:pPr>
        <w:pStyle w:val="Heading3"/>
      </w:pPr>
      <w:r>
        <w:rPr>
          <w:rFonts w:ascii="Arial" w:hAnsi="Arial"/>
          <w:color w:val="1B3A5C"/>
        </w:rPr>
        <w:t>Ключевые допущения</w:t>
      </w:r>
    </w:p>
    <w:p>
      <w:pPr>
        <w:pStyle w:val="ListBullet"/>
      </w:pPr>
      <w:r>
        <w:rPr>
          <w:rFonts w:ascii="Arial" w:hAnsi="Arial"/>
          <w:sz w:val="20"/>
        </w:rPr>
        <w:t>Предполагается, что заявленные регуляторные песочницы в РФ и ОАЭ будут реализованы в заявленные сроки без существенных задержек.</w:t>
      </w:r>
    </w:p>
    <w:p>
      <w:pPr>
        <w:pStyle w:val="ListBullet"/>
      </w:pPr>
      <w:r>
        <w:rPr>
          <w:rFonts w:ascii="Arial" w:hAnsi="Arial"/>
          <w:sz w:val="20"/>
        </w:rPr>
        <w:t>Прогнозы рыночных объёмов ($550 млрд ИИ, $255 млрд BAS) интерпретируются как индикатор инвестиционного интереса, а не прямой доли в себестоимости.</w:t>
      </w:r>
    </w:p>
    <w:p>
      <w:pPr>
        <w:pStyle w:val="ListBullet"/>
      </w:pPr>
      <w:r>
        <w:rPr>
          <w:rFonts w:ascii="Arial" w:hAnsi="Arial"/>
          <w:sz w:val="20"/>
        </w:rPr>
        <w:t>Данные по 3D-печати (стоимость, сроки) взяты из вторичных источников и могут не учитывать скрытые затраты на логистику, подготовку площадки и сертификацию материалов.</w:t>
      </w:r>
    </w:p>
    <w:p>
      <w:pPr>
        <w:pStyle w:val="ListBullet"/>
      </w:pPr>
      <w:r>
        <w:rPr>
          <w:rFonts w:ascii="Arial" w:hAnsi="Arial"/>
          <w:sz w:val="20"/>
        </w:rPr>
        <w:t>Отсутствие данных по роботизированной кладке трактуется как признак коммерческой стагнации направления, а не пробела в поиске.</w:t>
      </w:r>
    </w:p>
    <w:p>
      <w:pPr>
        <w:pStyle w:val="ListBullet"/>
      </w:pPr>
      <w:r>
        <w:rPr>
          <w:rFonts w:ascii="Arial" w:hAnsi="Arial"/>
          <w:sz w:val="20"/>
        </w:rPr>
        <w:t>Тренд ускорения проектов на 25% за счёт цифровых двойников экстраполируется на типовые объекты без учёта специфики уникального или высотного строительства.</w:t>
      </w:r>
    </w:p>
    <w:p>
      <w:pPr>
        <w:pStyle w:val="Heading3"/>
      </w:pPr>
      <w:r>
        <w:rPr>
          <w:rFonts w:ascii="Arial" w:hAnsi="Arial"/>
          <w:color w:val="1B3A5C"/>
        </w:rPr>
        <w:t>Пробелы / куда копать</w:t>
      </w:r>
    </w:p>
    <w:p>
      <w:pPr>
        <w:pStyle w:val="ListBullet"/>
      </w:pPr>
      <w:r>
        <w:rPr>
          <w:rFonts w:ascii="Arial" w:hAnsi="Arial"/>
          <w:sz w:val="20"/>
        </w:rPr>
        <w:t>Найти прямые отчёты McKinsey, BCG, Gartner по цифровизации и автоматизации строительства на 2024–2030 гг. (требует доступа к платным базам или отраслевым архивам).</w:t>
      </w:r>
    </w:p>
    <w:p>
      <w:pPr>
        <w:pStyle w:val="ListBullet"/>
      </w:pPr>
      <w:r>
        <w:rPr>
          <w:rFonts w:ascii="Arial" w:hAnsi="Arial"/>
          <w:sz w:val="20"/>
        </w:rPr>
        <w:t>Собрать актуальные кейсы и статус коммерциализации роботов-каменщиков (Hadrian X, SAM100) за 2023–2025 гг. для оценки жизнеспособности направления.</w:t>
      </w:r>
    </w:p>
    <w:p>
      <w:pPr>
        <w:pStyle w:val="ListBullet"/>
      </w:pPr>
      <w:r>
        <w:rPr>
          <w:rFonts w:ascii="Arial" w:hAnsi="Arial"/>
          <w:sz w:val="20"/>
        </w:rPr>
        <w:t>Найти пооперационные cost-модели строительных проектов с явной долей автоматизированных процессов и ИИ в структуре себестоимости.</w:t>
      </w:r>
    </w:p>
    <w:p>
      <w:pPr>
        <w:pStyle w:val="ListBullet"/>
      </w:pPr>
      <w:r>
        <w:rPr>
          <w:rFonts w:ascii="Arial" w:hAnsi="Arial"/>
          <w:sz w:val="20"/>
        </w:rPr>
        <w:t>Проанализировать нормативные барьеры для 3D-печати в ЕС/США/ОАЭ для сравнительного анализа с регуляторной песочницей РФ.</w:t>
      </w:r>
    </w:p>
    <w:p/>
    <w:p>
      <w:r>
        <w:br w:type="page"/>
      </w:r>
    </w:p>
    <w:p>
      <w:pPr>
        <w:pStyle w:val="Heading1"/>
      </w:pPr>
      <w:r>
        <w:rPr>
          <w:rFonts w:ascii="Arial" w:hAnsi="Arial"/>
          <w:color w:val="1B3A5C"/>
        </w:rPr>
        <w:t>Граф кросс-доменных связей</w:t>
      </w:r>
    </w:p>
    <w:p>
      <w:pPr>
        <w:jc w:val="center"/>
      </w:pPr>
      <w:r>
        <w:drawing>
          <wp:inline xmlns:a="http://schemas.openxmlformats.org/drawingml/2006/main" xmlns:pic="http://schemas.openxmlformats.org/drawingml/2006/picture">
            <wp:extent cx="5760000" cy="5936095"/>
            <wp:docPr id="4" name="Picture 4"/>
            <wp:cNvGraphicFramePr>
              <a:graphicFrameLocks noChangeAspect="1"/>
            </wp:cNvGraphicFramePr>
            <a:graphic>
              <a:graphicData uri="http://schemas.openxmlformats.org/drawingml/2006/picture">
                <pic:pic>
                  <pic:nvPicPr>
                    <pic:cNvPr id="0" name="20260415-world-trends-housing-graph.png"/>
                    <pic:cNvPicPr/>
                  </pic:nvPicPr>
                  <pic:blipFill>
                    <a:blip r:embed="rId13"/>
                    <a:stretch>
                      <a:fillRect/>
                    </a:stretch>
                  </pic:blipFill>
                  <pic:spPr>
                    <a:xfrm>
                      <a:off x="0" y="0"/>
                      <a:ext cx="5760000" cy="5936095"/>
                    </a:xfrm>
                    <a:prstGeom prst="rect"/>
                  </pic:spPr>
                </pic:pic>
              </a:graphicData>
            </a:graphic>
          </wp:inline>
        </w:drawing>
      </w:r>
    </w:p>
    <w:p>
      <w:pPr>
        <w:jc w:val="center"/>
      </w:pPr>
      <w:r>
        <w:rPr>
          <w:rFonts w:ascii="Arial" w:hAnsi="Arial"/>
          <w:i/>
          <w:color w:val="555555"/>
          <w:sz w:val="18"/>
        </w:rPr>
        <w:t>Рис. 4. Связи между доменами: цвет = тип, толщина = сила.</w:t>
      </w:r>
    </w:p>
    <w:p>
      <w:pPr>
        <w:pStyle w:val="Heading1"/>
      </w:pPr>
      <w:r>
        <w:rPr>
          <w:rFonts w:ascii="Arial" w:hAnsi="Arial"/>
          <w:color w:val="1B3A5C"/>
        </w:rPr>
        <w:t>Кросс-доменные связи (бисоциация)</w:t>
      </w:r>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Причинная цепочка  ·  Демография и миграционные потоки / Миграционная динамика в РФ ↔ Технологии и цифровизация строительства / Глобальные инновации  ·  сила: strong</w:t>
      </w:r>
    </w:p>
    <w:p>
      <w:r>
        <w:rPr>
          <w:rFonts w:ascii="Arial" w:hAnsi="Arial"/>
          <w:b/>
        </w:rPr>
        <w:t xml:space="preserve">Общая переменная: </w:t>
      </w:r>
      <w:r>
        <w:rPr>
          <w:rFonts w:ascii="Arial" w:hAnsi="Arial"/>
        </w:rPr>
        <w:t>трудовой дефицит и производительность</w:t>
      </w:r>
    </w:p>
    <w:p>
      <w:r>
        <w:rPr>
          <w:rFonts w:ascii="Arial" w:hAnsi="Arial"/>
          <w:sz w:val="22"/>
        </w:rPr>
        <w:t>Сокращение трудоспособного населения создаёт структурный дефицит кадров в строительстве, что делает традиционные методы экономически неэффективными. Это вынуждает отрасль форсировать внедрение цифровых двойников и автоматизации для компенсации нехватки рабочих рук, несмотря на регуляторные барьеры.</w:t>
      </w:r>
    </w:p>
    <w:p>
      <w:r>
        <w:rPr>
          <w:rFonts w:ascii="Arial" w:hAnsi="Arial"/>
          <w:b/>
          <w:sz w:val="20"/>
        </w:rPr>
        <w:t>Опоры в блоках:</w:t>
      </w:r>
    </w:p>
    <w:p>
      <w:pPr>
        <w:pStyle w:val="ListBullet"/>
      </w:pPr>
      <w:r>
        <w:rPr>
          <w:rFonts w:ascii="Arial" w:hAnsi="Arial"/>
          <w:sz w:val="20"/>
        </w:rPr>
        <w:t>численность трудоспособного населения ... сократится почти на 14 млн человек к 2025 г.</w:t>
      </w:r>
    </w:p>
    <w:p>
      <w:pPr>
        <w:pStyle w:val="ListBullet"/>
      </w:pPr>
      <w:r>
        <w:rPr>
          <w:rFonts w:ascii="Arial" w:hAnsi="Arial"/>
          <w:sz w:val="20"/>
        </w:rPr>
        <w:t>Интеграция цифровых двойников ... ускоряет реализацию проектов на 25%</w:t>
      </w:r>
    </w:p>
    <w:p>
      <w:pPr>
        <w:pStyle w:val="ListBullet"/>
      </w:pPr>
      <w:r>
        <w:rPr>
          <w:rFonts w:ascii="Arial" w:hAnsi="Arial"/>
          <w:sz w:val="20"/>
        </w:rPr>
        <w:t>За 7–8 лет с 2014 г. массовое внедрение 3D-печати не состоялось из-за регуляторных барьеров</w:t>
      </w:r>
    </w:p>
    <w:p>
      <w:r>
        <w:rPr>
          <w:rFonts w:ascii="Arial" w:hAnsi="Arial"/>
          <w:b/>
          <w:color w:val="1B3A5C"/>
        </w:rPr>
        <w:t xml:space="preserve">Что нового: </w:t>
      </w:r>
      <w:r>
        <w:rPr>
          <w:rFonts w:ascii="Arial" w:hAnsi="Arial"/>
          <w:i/>
        </w:rPr>
        <w:t>Цифровизация и автоматизация в строительстве — не технологический тренд, а вынужденная демографическая адаптация; без них отрасль столкнётся с коллапсом себестоимости к 2030 году.</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Парадокс  ·  Социокультурные паттерны и урбанистика / Российские практики расселения ↔ Демография и миграционные потоки / Структура домохозяйств и типология спроса  ·  сила: strong</w:t>
      </w:r>
    </w:p>
    <w:p>
      <w:r>
        <w:rPr>
          <w:rFonts w:ascii="Arial" w:hAnsi="Arial"/>
          <w:b/>
        </w:rPr>
        <w:t xml:space="preserve">Общая переменная: </w:t>
      </w:r>
      <w:r>
        <w:rPr>
          <w:rFonts w:ascii="Arial" w:hAnsi="Arial"/>
        </w:rPr>
        <w:t>структура жилищного предложения</w:t>
      </w:r>
    </w:p>
    <w:p>
      <w:r>
        <w:rPr>
          <w:rFonts w:ascii="Arial" w:hAnsi="Arial"/>
          <w:sz w:val="22"/>
        </w:rPr>
        <w:t>Потребители массово декларируют спрос на семейное жильё (3+ комнат), но реальная демография показывает доминирование одиноких домохозяйств (41,8%). Рынок реагирует на платёжеспособный спрос, наращивая долю студий и ИЖС, что создаёт хронический дефицит формально востребованных квартир.</w:t>
      </w:r>
    </w:p>
    <w:p>
      <w:r>
        <w:rPr>
          <w:rFonts w:ascii="Arial" w:hAnsi="Arial"/>
          <w:b/>
          <w:sz w:val="20"/>
        </w:rPr>
        <w:t>Опоры в блоках:</w:t>
      </w:r>
    </w:p>
    <w:p>
      <w:pPr>
        <w:pStyle w:val="ListBullet"/>
      </w:pPr>
      <w:r>
        <w:rPr>
          <w:rFonts w:ascii="Arial" w:hAnsi="Arial"/>
          <w:sz w:val="20"/>
        </w:rPr>
        <w:t>46% требуют планировки с тремя и более комнатами, тогда как доля такого предложения на рынке составляет лишь 14%</w:t>
      </w:r>
    </w:p>
    <w:p>
      <w:pPr>
        <w:pStyle w:val="ListBullet"/>
      </w:pPr>
      <w:r>
        <w:rPr>
          <w:rFonts w:ascii="Arial" w:hAnsi="Arial"/>
          <w:sz w:val="20"/>
        </w:rPr>
        <w:t>Доля домохозяйств из одного человека ... достигла 41,8% ... впервые став преобладающим типом</w:t>
      </w:r>
    </w:p>
    <w:p>
      <w:r>
        <w:rPr>
          <w:rFonts w:ascii="Arial" w:hAnsi="Arial"/>
          <w:b/>
          <w:color w:val="1B3A5C"/>
        </w:rPr>
        <w:t xml:space="preserve">Что нового: </w:t>
      </w:r>
      <w:r>
        <w:rPr>
          <w:rFonts w:ascii="Arial" w:hAnsi="Arial"/>
          <w:i/>
        </w:rPr>
        <w:t>Декларируемые предпочтения покупателей расходятся с демографической реальностью; девелоперы строят под фактический состав домохозяйств, а не под заявленные желания, что ведёт к долгосрочной стагнации рынка семейных квартир.</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Общая переменная  ·  Макроэкономика и финансирование девелопмента / Российская финансовая экосистема ↔ Экология и климатическая адаптация / Глобальные климатические риски и ESG ↔ Технологии и цифровизация строительства / Экономика внедрения  ·  сила: moderate</w:t>
      </w:r>
    </w:p>
    <w:p>
      <w:r>
        <w:rPr>
          <w:rFonts w:ascii="Arial" w:hAnsi="Arial"/>
          <w:b/>
        </w:rPr>
        <w:t xml:space="preserve">Общая переменная: </w:t>
      </w:r>
      <w:r>
        <w:rPr>
          <w:rFonts w:ascii="Arial" w:hAnsi="Arial"/>
        </w:rPr>
        <w:t>стоимость заёмного капитала</w:t>
      </w:r>
    </w:p>
    <w:p>
      <w:r>
        <w:rPr>
          <w:rFonts w:ascii="Arial" w:hAnsi="Arial"/>
          <w:sz w:val="22"/>
        </w:rPr>
        <w:t>Высокие ставки по кредитам МСП (~20-24%) делают окупаемость цифровых и ESG-решений критически зависимой от скорости возврата инвестиций. Заявленный кредитный дисконт 2% за ESG-практики нивелируется базовой стоимостью долга, оставляя рентабельными только проекты с окупаемостью до 1-2 лет.</w:t>
      </w:r>
    </w:p>
    <w:p>
      <w:r>
        <w:rPr>
          <w:rFonts w:ascii="Arial" w:hAnsi="Arial"/>
          <w:b/>
          <w:sz w:val="20"/>
        </w:rPr>
        <w:t>Опоры в блоках:</w:t>
      </w:r>
    </w:p>
    <w:p>
      <w:pPr>
        <w:pStyle w:val="ListBullet"/>
      </w:pPr>
      <w:r>
        <w:rPr>
          <w:rFonts w:ascii="Arial" w:hAnsi="Arial"/>
          <w:sz w:val="20"/>
        </w:rPr>
        <w:t>ставки по кредитам МСП достигли 24,21% (краткосрочные) и 19,92% (долгосрочные)</w:t>
      </w:r>
    </w:p>
    <w:p>
      <w:pPr>
        <w:pStyle w:val="ListBullet"/>
      </w:pPr>
      <w:r>
        <w:rPr>
          <w:rFonts w:ascii="Arial" w:hAnsi="Arial"/>
          <w:sz w:val="20"/>
        </w:rPr>
        <w:t>Внедрение ESG-практик ... открывает доступ к кредитованию с дисконтом до 2% от ключевой ставки</w:t>
      </w:r>
    </w:p>
    <w:p>
      <w:pPr>
        <w:pStyle w:val="ListBullet"/>
      </w:pPr>
      <w:r>
        <w:rPr>
          <w:rFonts w:ascii="Arial" w:hAnsi="Arial"/>
          <w:sz w:val="20"/>
        </w:rPr>
        <w:t>окупаемость 1–3 года при ROI от 25% до 180%</w:t>
      </w:r>
    </w:p>
    <w:p>
      <w:r>
        <w:rPr>
          <w:rFonts w:ascii="Arial" w:hAnsi="Arial"/>
          <w:b/>
          <w:color w:val="1B3A5C"/>
        </w:rPr>
        <w:t xml:space="preserve">Что нового: </w:t>
      </w:r>
      <w:r>
        <w:rPr>
          <w:rFonts w:ascii="Arial" w:hAnsi="Arial"/>
          <w:i/>
        </w:rPr>
        <w:t>В условиях жёсткой монетарной политики ESG-льготы и цифровизация перестают быть стратегическими инвестициями и становятся инструментом выживания только для крупных игроков с доступом к дешёвому капиталу.</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Причинная цепочка  ·  Экология и климатическая адаптация / Климатические изменения в РФ ↔ Макроэкономика и финансирование девелопмента / Себестоимость и маржинальность ↔ Демография и миграционные потоки / Миграционная динамика в РФ  ·  сила: strong</w:t>
      </w:r>
    </w:p>
    <w:p>
      <w:r>
        <w:rPr>
          <w:rFonts w:ascii="Arial" w:hAnsi="Arial"/>
          <w:b/>
        </w:rPr>
        <w:t xml:space="preserve">Общая переменная: </w:t>
      </w:r>
      <w:r>
        <w:rPr>
          <w:rFonts w:ascii="Arial" w:hAnsi="Arial"/>
        </w:rPr>
        <w:t>региональная инвестиционная привлекательность</w:t>
      </w:r>
    </w:p>
    <w:p>
      <w:r>
        <w:rPr>
          <w:rFonts w:ascii="Arial" w:hAnsi="Arial"/>
          <w:sz w:val="22"/>
        </w:rPr>
        <w:t>Рост экстремальных осадков и температур увеличивает частоту паводков и пожаров, что ведёт к росту страховых тарифов. Удорожание страхования и логистики снижает маржинальность региональных проектов, ускоряя отток населения и капитала в Москву и ЦФО.</w:t>
      </w:r>
    </w:p>
    <w:p>
      <w:r>
        <w:rPr>
          <w:rFonts w:ascii="Arial" w:hAnsi="Arial"/>
          <w:b/>
          <w:sz w:val="20"/>
        </w:rPr>
        <w:t>Опоры в блоках:</w:t>
      </w:r>
    </w:p>
    <w:p>
      <w:pPr>
        <w:pStyle w:val="ListBullet"/>
      </w:pPr>
      <w:r>
        <w:rPr>
          <w:rFonts w:ascii="Arial" w:hAnsi="Arial"/>
          <w:sz w:val="20"/>
        </w:rPr>
        <w:t>рост тарифов на имущественное страхование</w:t>
      </w:r>
    </w:p>
    <w:p>
      <w:pPr>
        <w:pStyle w:val="ListBullet"/>
      </w:pPr>
      <w:r>
        <w:rPr>
          <w:rFonts w:ascii="Arial" w:hAnsi="Arial"/>
          <w:sz w:val="20"/>
        </w:rPr>
        <w:t>Сибирские регионы ... демонстрируют устойчивый отток населения</w:t>
      </w:r>
    </w:p>
    <w:p>
      <w:pPr>
        <w:pStyle w:val="ListBullet"/>
      </w:pPr>
      <w:r>
        <w:rPr>
          <w:rFonts w:ascii="Arial" w:hAnsi="Arial"/>
          <w:sz w:val="20"/>
        </w:rPr>
        <w:t>доходность проектов в Москве составляет 40–103%, тогда как в регионах — 12–70%</w:t>
      </w:r>
    </w:p>
    <w:p>
      <w:r>
        <w:rPr>
          <w:rFonts w:ascii="Arial" w:hAnsi="Arial"/>
          <w:b/>
          <w:color w:val="1B3A5C"/>
        </w:rPr>
        <w:t xml:space="preserve">Что нового: </w:t>
      </w:r>
      <w:r>
        <w:rPr>
          <w:rFonts w:ascii="Arial" w:hAnsi="Arial"/>
          <w:i/>
        </w:rPr>
        <w:t>Климатические риски трансформируются в финансовый мультипликатор через страховые тарифы, делая региональный девелопмент математически убыточным без прямых государственных субсидий.</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Подтверждение  ·  Социокультурные паттерны и урбанистика / Глобальные изменения образа жизни ↔ Демография и миграционные потоки / Структура домохозяйств и типология спроса ↔ Социокультурные паттерны и урбанистика / Российские практики расселения  ·  сила: strong</w:t>
      </w:r>
    </w:p>
    <w:p>
      <w:r>
        <w:rPr>
          <w:rFonts w:ascii="Arial" w:hAnsi="Arial"/>
          <w:b/>
        </w:rPr>
        <w:t xml:space="preserve">Общая переменная: </w:t>
      </w:r>
      <w:r>
        <w:rPr>
          <w:rFonts w:ascii="Arial" w:hAnsi="Arial"/>
        </w:rPr>
        <w:t>пространственная деконцентрация спроса</w:t>
      </w:r>
    </w:p>
    <w:p>
      <w:r>
        <w:rPr>
          <w:rFonts w:ascii="Arial" w:hAnsi="Arial"/>
          <w:sz w:val="22"/>
        </w:rPr>
        <w:t>Три независимых источника данных сходятся на одном тренде: удалённая работа, статистика ввода жилья и потребительские опросы подтверждают массовый сдвиг спроса в сторону пригородов и малоэтажной застройки.</w:t>
      </w:r>
    </w:p>
    <w:p>
      <w:r>
        <w:rPr>
          <w:rFonts w:ascii="Arial" w:hAnsi="Arial"/>
          <w:b/>
          <w:sz w:val="20"/>
        </w:rPr>
        <w:t>Опоры в блоках:</w:t>
      </w:r>
    </w:p>
    <w:p>
      <w:pPr>
        <w:pStyle w:val="ListBullet"/>
      </w:pPr>
      <w:r>
        <w:rPr>
          <w:rFonts w:ascii="Arial" w:hAnsi="Arial"/>
          <w:sz w:val="20"/>
        </w:rPr>
        <w:t>Рост вакансий на удалённую работу составил 92% ... спрос смещается в загородные поселки в 30–60 минутах</w:t>
      </w:r>
    </w:p>
    <w:p>
      <w:pPr>
        <w:pStyle w:val="ListBullet"/>
      </w:pPr>
      <w:r>
        <w:rPr>
          <w:rFonts w:ascii="Arial" w:hAnsi="Arial"/>
          <w:sz w:val="20"/>
        </w:rPr>
        <w:t>ИЖС уже формирует более 56% годового ввода</w:t>
      </w:r>
    </w:p>
    <w:p>
      <w:pPr>
        <w:pStyle w:val="ListBullet"/>
      </w:pPr>
      <w:r>
        <w:rPr>
          <w:rFonts w:ascii="Arial" w:hAnsi="Arial"/>
          <w:sz w:val="20"/>
        </w:rPr>
        <w:t>Спрос на ИЖС стабильно растёт, достигая 512 тыс. домов в год</w:t>
      </w:r>
    </w:p>
    <w:p>
      <w:r>
        <w:rPr>
          <w:rFonts w:ascii="Arial" w:hAnsi="Arial"/>
          <w:b/>
          <w:color w:val="1B3A5C"/>
        </w:rPr>
        <w:t xml:space="preserve">Что нового: </w:t>
      </w:r>
      <w:r>
        <w:rPr>
          <w:rFonts w:ascii="Arial" w:hAnsi="Arial"/>
          <w:i/>
        </w:rPr>
        <w:t>Рынок труда, строительная статистика и социологические опросы независимо подтверждают конец эпохи доминирования многоквартирных домов; градостроительная политика, ориентированная на уплотнение городов, противоречит объективным рыночным сигналам.</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Парадокс  ·  Технологии и цифровизация строительства / Нормативная адаптация в РФ ↔ Технологии и цифровизация строительства / Экономика внедрения  ·  сила: strong</w:t>
      </w:r>
    </w:p>
    <w:p>
      <w:r>
        <w:rPr>
          <w:rFonts w:ascii="Arial" w:hAnsi="Arial"/>
          <w:b/>
        </w:rPr>
        <w:t xml:space="preserve">Общая переменная: </w:t>
      </w:r>
      <w:r>
        <w:rPr>
          <w:rFonts w:ascii="Arial" w:hAnsi="Arial"/>
        </w:rPr>
        <w:t>зрелость цифровой инфраструктуры</w:t>
      </w:r>
    </w:p>
    <w:p>
      <w:r>
        <w:rPr>
          <w:rFonts w:ascii="Arial" w:hAnsi="Arial"/>
          <w:sz w:val="22"/>
        </w:rPr>
        <w:t>Государство вводит жёсткие обязательные требования к BIM и СОД, но 81% компаний не готовы к переходу. При этом вендоры продают решения с ROI 300-1500%, игнорируя затраты на создание базовой инфраструктуры данных, необходимой для работы ИИ и робототехники.</w:t>
      </w:r>
    </w:p>
    <w:p>
      <w:r>
        <w:rPr>
          <w:rFonts w:ascii="Arial" w:hAnsi="Arial"/>
          <w:b/>
          <w:sz w:val="20"/>
        </w:rPr>
        <w:t>Опоры в блоках:</w:t>
      </w:r>
    </w:p>
    <w:p>
      <w:pPr>
        <w:pStyle w:val="ListBullet"/>
      </w:pPr>
      <w:r>
        <w:rPr>
          <w:rFonts w:ascii="Arial" w:hAnsi="Arial"/>
          <w:sz w:val="20"/>
        </w:rPr>
        <w:t>Только 19% предприятий РФ имеют планы по переходу на российское ПО в 2025 г.</w:t>
      </w:r>
    </w:p>
    <w:p>
      <w:pPr>
        <w:pStyle w:val="ListBullet"/>
      </w:pPr>
      <w:r>
        <w:rPr>
          <w:rFonts w:ascii="Arial" w:hAnsi="Arial"/>
          <w:sz w:val="20"/>
        </w:rPr>
        <w:t>Отсутствие единой СОД ... формирует структурные барьеры для роботизации</w:t>
      </w:r>
    </w:p>
    <w:p>
      <w:pPr>
        <w:pStyle w:val="ListBullet"/>
      </w:pPr>
      <w:r>
        <w:rPr>
          <w:rFonts w:ascii="Arial" w:hAnsi="Arial"/>
          <w:sz w:val="20"/>
        </w:rPr>
        <w:t>Вендорские модели ... прогнозируют экономию ... ROI 300–1500%</w:t>
      </w:r>
    </w:p>
    <w:p>
      <w:r>
        <w:rPr>
          <w:rFonts w:ascii="Arial" w:hAnsi="Arial"/>
          <w:b/>
          <w:color w:val="1B3A5C"/>
        </w:rPr>
        <w:t xml:space="preserve">Что нового: </w:t>
      </w:r>
      <w:r>
        <w:rPr>
          <w:rFonts w:ascii="Arial" w:hAnsi="Arial"/>
          <w:i/>
        </w:rPr>
        <w:t>Регуляторный прессинг создаёт «ловушку формального соответствия»: девелоперы тратят ресурсы на бюрократическое соблюдение ГОСТов, а не на реальную операционную эффективность, откладывая настоящую цифровую трансформацию.</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Причинная цепочка  ·  Социокультурные паттерны и урбанистика / Архитектурно-планировочные решения ↔ Демография и миграционные потоки / Структура домохозяйств и типология спроса  ·  сила: moderate</w:t>
      </w:r>
    </w:p>
    <w:p>
      <w:r>
        <w:rPr>
          <w:rFonts w:ascii="Arial" w:hAnsi="Arial"/>
          <w:b/>
        </w:rPr>
        <w:t xml:space="preserve">Общая переменная: </w:t>
      </w:r>
      <w:r>
        <w:rPr>
          <w:rFonts w:ascii="Arial" w:hAnsi="Arial"/>
        </w:rPr>
        <w:t>плотность застройки и качество среды</w:t>
      </w:r>
    </w:p>
    <w:p>
      <w:r>
        <w:rPr>
          <w:rFonts w:ascii="Arial" w:hAnsi="Arial"/>
          <w:sz w:val="22"/>
        </w:rPr>
        <w:t>Мягкие российские нормы по инсоляции и шуму позволяют застройщикам максимизировать плотность и маржинальность МКД. Однако ухудшение качества жизни в таких кварталах напрямую стимулирует потребительский отток в ИЖС и пригороды, где экология и пространство являются ключевыми драйверами.</w:t>
      </w:r>
    </w:p>
    <w:p>
      <w:r>
        <w:rPr>
          <w:rFonts w:ascii="Arial" w:hAnsi="Arial"/>
          <w:b/>
          <w:sz w:val="20"/>
        </w:rPr>
        <w:t>Опоры в блоках:</w:t>
      </w:r>
    </w:p>
    <w:p>
      <w:pPr>
        <w:pStyle w:val="ListBullet"/>
      </w:pPr>
      <w:r>
        <w:rPr>
          <w:rFonts w:ascii="Arial" w:hAnsi="Arial"/>
          <w:sz w:val="20"/>
        </w:rPr>
        <w:t>Нормы РФ по свету и инсоляции ... мягче западных ... позволяют увеличить плотность застройки</w:t>
      </w:r>
    </w:p>
    <w:p>
      <w:pPr>
        <w:pStyle w:val="ListBullet"/>
      </w:pPr>
      <w:r>
        <w:rPr>
          <w:rFonts w:ascii="Arial" w:hAnsi="Arial"/>
          <w:sz w:val="20"/>
        </w:rPr>
        <w:t>ИЖС уже формирует более 56% годового ввода ... переток спроса в малоэтажный сегмент</w:t>
      </w:r>
    </w:p>
    <w:p>
      <w:pPr>
        <w:pStyle w:val="ListBullet"/>
      </w:pPr>
      <w:r>
        <w:rPr>
          <w:rFonts w:ascii="Arial" w:hAnsi="Arial"/>
          <w:sz w:val="20"/>
        </w:rPr>
        <w:t>покупатели частных домов в приоритете ставят экологию, озеленение и удалённость от промышленных зон</w:t>
      </w:r>
    </w:p>
    <w:p>
      <w:r>
        <w:rPr>
          <w:rFonts w:ascii="Arial" w:hAnsi="Arial"/>
          <w:b/>
          <w:color w:val="1B3A5C"/>
        </w:rPr>
        <w:t xml:space="preserve">Что нового: </w:t>
      </w:r>
      <w:r>
        <w:rPr>
          <w:rFonts w:ascii="Arial" w:hAnsi="Arial"/>
          <w:i/>
        </w:rPr>
        <w:t>Снижение строительных нормативов — не техническая деталь, а прямой драйвер субурбанизации; высокая плотность МКД искусственно создаёт дефицит комфорта, перенаправляя платёжеспособный спрос в частный сектор.</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Общая переменная  ·  Макроэкономика и финансирование девелопмента / Российская финансовая экосистема ↔ Макроэкономика и финансирование девелопмента / Глобальные финансовые и логистические тренды ↔ Социокультурные паттерны и урбанистика / Российские практики расселения  ·  сила: strong</w:t>
      </w:r>
    </w:p>
    <w:p>
      <w:r>
        <w:rPr>
          <w:rFonts w:ascii="Arial" w:hAnsi="Arial"/>
          <w:b/>
        </w:rPr>
        <w:t xml:space="preserve">Общая переменная: </w:t>
      </w:r>
      <w:r>
        <w:rPr>
          <w:rFonts w:ascii="Arial" w:hAnsi="Arial"/>
        </w:rPr>
        <w:t>предел левериджа (долговой нагрузки)</w:t>
      </w:r>
    </w:p>
    <w:p>
      <w:r>
        <w:rPr>
          <w:rFonts w:ascii="Arial" w:hAnsi="Arial"/>
          <w:sz w:val="22"/>
        </w:rPr>
        <w:t>И покупатели (ПДН &gt;80%), и застройщики (требование 10% собственного капитала) одновременно упираются в потолки заёмного финансирования. Рынок вынужденно переходит от кредитно-ориентированной модели роста к гибридной с высокой долей собственных средств.</w:t>
      </w:r>
    </w:p>
    <w:p>
      <w:r>
        <w:rPr>
          <w:rFonts w:ascii="Arial" w:hAnsi="Arial"/>
          <w:b/>
          <w:sz w:val="20"/>
        </w:rPr>
        <w:t>Опоры в блоках:</w:t>
      </w:r>
    </w:p>
    <w:p>
      <w:pPr>
        <w:pStyle w:val="ListBullet"/>
      </w:pPr>
      <w:r>
        <w:rPr>
          <w:rFonts w:ascii="Arial" w:hAnsi="Arial"/>
          <w:sz w:val="20"/>
        </w:rPr>
        <w:t>до 20% заёмщиков ... рискуют получить отказ из-за превышения показателя долговой нагрузки (ПДН) в 80%</w:t>
      </w:r>
    </w:p>
    <w:p>
      <w:pPr>
        <w:pStyle w:val="ListBullet"/>
      </w:pPr>
      <w:r>
        <w:rPr>
          <w:rFonts w:ascii="Arial" w:hAnsi="Arial"/>
          <w:sz w:val="20"/>
        </w:rPr>
        <w:t>оптимальная структура проектного финансирования ... смещается к гибридным схемам с долей собственного капитала 20–30%</w:t>
      </w:r>
    </w:p>
    <w:p>
      <w:pPr>
        <w:pStyle w:val="ListBullet"/>
      </w:pPr>
      <w:r>
        <w:rPr>
          <w:rFonts w:ascii="Arial" w:hAnsi="Arial"/>
          <w:sz w:val="20"/>
        </w:rPr>
        <w:t>43% сделок в сегменте новостроек финансируется за счёт льготных ипотечных программ</w:t>
      </w:r>
    </w:p>
    <w:p>
      <w:r>
        <w:rPr>
          <w:rFonts w:ascii="Arial" w:hAnsi="Arial"/>
          <w:b/>
          <w:color w:val="1B3A5C"/>
        </w:rPr>
        <w:t xml:space="preserve">Что нового: </w:t>
      </w:r>
      <w:r>
        <w:rPr>
          <w:rFonts w:ascii="Arial" w:hAnsi="Arial"/>
          <w:i/>
        </w:rPr>
        <w:t>Двойной потолок долговой нагрузки (на стороне спроса и предложения) означает, что рынок недвижимости больше не может расти за счёт кредитного плеча; выживут только проекты с высокой долей equity или прямой господдержкой.</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Подтверждение  ·  Экология и климатическая адаптация / Глобальные климатические риски и ESG ↔ Технологии и цифровизация строительства / Глобальные инновации ↔ Технологии и цифровизация строительства / Экономика внедрения  ·  сила: moderate</w:t>
      </w:r>
    </w:p>
    <w:p>
      <w:r>
        <w:rPr>
          <w:rFonts w:ascii="Arial" w:hAnsi="Arial"/>
          <w:b/>
        </w:rPr>
        <w:t xml:space="preserve">Общая переменная: </w:t>
      </w:r>
      <w:r>
        <w:rPr>
          <w:rFonts w:ascii="Arial" w:hAnsi="Arial"/>
        </w:rPr>
        <w:t>управление операционными расходами (OPEX)</w:t>
      </w:r>
    </w:p>
    <w:p>
      <w:r>
        <w:rPr>
          <w:rFonts w:ascii="Arial" w:hAnsi="Arial"/>
          <w:sz w:val="22"/>
        </w:rPr>
        <w:t>Климатическое регулирование (цена углерода) и технологические внедрения (цифровые двойники, IoT) из разных доменов независимо подтверждают, что постстроительная эксплуатация становится главным источником прибыли или убытков.</w:t>
      </w:r>
    </w:p>
    <w:p>
      <w:r>
        <w:rPr>
          <w:rFonts w:ascii="Arial" w:hAnsi="Arial"/>
          <w:b/>
          <w:sz w:val="20"/>
        </w:rPr>
        <w:t>Опоры в блоках:</w:t>
      </w:r>
    </w:p>
    <w:p>
      <w:pPr>
        <w:pStyle w:val="ListBullet"/>
      </w:pPr>
      <w:r>
        <w:rPr>
          <w:rFonts w:ascii="Arial" w:hAnsi="Arial"/>
          <w:sz w:val="20"/>
        </w:rPr>
        <w:t>стоимость углеродной единицы фиксируется на уровне ~6000 руб. ... снижение следа ... приносит до 264 тыс. руб./год</w:t>
      </w:r>
    </w:p>
    <w:p>
      <w:pPr>
        <w:pStyle w:val="ListBullet"/>
      </w:pPr>
      <w:r>
        <w:rPr>
          <w:rFonts w:ascii="Arial" w:hAnsi="Arial"/>
          <w:sz w:val="20"/>
        </w:rPr>
        <w:t>Интеграция цифровых двойников ... ускоряет реализацию проектов на 25%</w:t>
      </w:r>
    </w:p>
    <w:p>
      <w:pPr>
        <w:pStyle w:val="ListBullet"/>
      </w:pPr>
      <w:r>
        <w:rPr>
          <w:rFonts w:ascii="Arial" w:hAnsi="Arial"/>
          <w:sz w:val="20"/>
        </w:rPr>
        <w:t>сокращение долгосрочные эксплуатационные расходы (OPEX) до 50%</w:t>
      </w:r>
    </w:p>
    <w:p>
      <w:r>
        <w:rPr>
          <w:rFonts w:ascii="Arial" w:hAnsi="Arial"/>
          <w:b/>
          <w:color w:val="1B3A5C"/>
        </w:rPr>
        <w:t xml:space="preserve">Что нового: </w:t>
      </w:r>
      <w:r>
        <w:rPr>
          <w:rFonts w:ascii="Arial" w:hAnsi="Arial"/>
          <w:i/>
        </w:rPr>
        <w:t>Финансовая модель девелопмента смещается с минимизации CAPEX на оптимизацию жизненного цикла; ESG-штрафы и цифровая аналитика сходятся в одном выводе: активы без встроенных систем контроля OPEX станут неликвидными.</w:t>
      </w:r>
    </w:p>
    <w:p/>
    <w:p>
      <w:pPr>
        <w:pBdr>
          <w:top w:val="single" w:sz="8" w:space="4" w:color="1B3A5C"/>
          <w:left w:val="single" w:sz="8" w:space="4" w:color="1B3A5C"/>
          <w:bottom w:val="single" w:sz="8" w:space="4" w:color="1B3A5C"/>
          <w:right w:val="single" w:sz="8" w:space="4" w:color="1B3A5C"/>
        </w:pBdr>
      </w:pPr>
      <w:r>
        <w:rPr>
          <w:rFonts w:ascii="Arial" w:hAnsi="Arial"/>
          <w:b/>
          <w:color w:val="1B3A5C"/>
          <w:sz w:val="24"/>
        </w:rPr>
        <w:t>🔗 Причинная цепочка  ·  Демография и миграционные потоки / Структура домохозяйств и типология спроса ↔ Социокультурные паттерны и урбанистика / Российские практики расселения  ·  сила: strong</w:t>
      </w:r>
    </w:p>
    <w:p>
      <w:r>
        <w:rPr>
          <w:rFonts w:ascii="Arial" w:hAnsi="Arial"/>
          <w:b/>
        </w:rPr>
        <w:t xml:space="preserve">Общая переменная: </w:t>
      </w:r>
      <w:r>
        <w:rPr>
          <w:rFonts w:ascii="Arial" w:hAnsi="Arial"/>
        </w:rPr>
        <w:t>муниципальная фискальная ёмкость</w:t>
      </w:r>
    </w:p>
    <w:p>
      <w:r>
        <w:rPr>
          <w:rFonts w:ascii="Arial" w:hAnsi="Arial"/>
          <w:sz w:val="22"/>
        </w:rPr>
        <w:t>Маятниковая миграция создаёт дисбаланс: налоги остаются в городах-центрах, а инфраструктурные расходы ложатся на пригороды. Это приводит к хроническому недофинансированию социальных объектов, что сдерживает переход от сезонного дачного проживания к постоянному.</w:t>
      </w:r>
    </w:p>
    <w:p>
      <w:r>
        <w:rPr>
          <w:rFonts w:ascii="Arial" w:hAnsi="Arial"/>
          <w:b/>
          <w:sz w:val="20"/>
        </w:rPr>
        <w:t>Опоры в блоках:</w:t>
      </w:r>
    </w:p>
    <w:p>
      <w:pPr>
        <w:pStyle w:val="ListBullet"/>
      </w:pPr>
      <w:r>
        <w:rPr>
          <w:rFonts w:ascii="Arial" w:hAnsi="Arial"/>
          <w:sz w:val="20"/>
        </w:rPr>
        <w:t>маятниковая миграция ... создает нагрузку на бюджеты пригородных зон без соответствующего роста налоговых поступлений</w:t>
      </w:r>
    </w:p>
    <w:p>
      <w:pPr>
        <w:pStyle w:val="ListBullet"/>
      </w:pPr>
      <w:r>
        <w:rPr>
          <w:rFonts w:ascii="Arial" w:hAnsi="Arial"/>
          <w:sz w:val="20"/>
        </w:rPr>
        <w:t>переход к постоянному проживанию ... сдерживается слабой социальной и транспортной инфраструктурой пригородов</w:t>
      </w:r>
    </w:p>
    <w:p>
      <w:pPr>
        <w:pStyle w:val="ListBullet"/>
      </w:pPr>
      <w:r>
        <w:rPr>
          <w:rFonts w:ascii="Arial" w:hAnsi="Arial"/>
          <w:sz w:val="20"/>
        </w:rPr>
        <w:t>спрос смещается в загородные поселки в 30–60 минутах от городов</w:t>
      </w:r>
    </w:p>
    <w:p>
      <w:r>
        <w:rPr>
          <w:rFonts w:ascii="Arial" w:hAnsi="Arial"/>
          <w:b/>
          <w:color w:val="1B3A5C"/>
        </w:rPr>
        <w:t xml:space="preserve">Что нового: </w:t>
      </w:r>
      <w:r>
        <w:rPr>
          <w:rFonts w:ascii="Arial" w:hAnsi="Arial"/>
          <w:i/>
        </w:rPr>
        <w:t>Тормоз субурбанизации — не отсутствие земли или спроса, а фискальная архитектура межбюджетных отношений; без перераспределения налогов пригороды не смогут обеспечить инфраструктуру, необходимую для круглогодичного проживания.</w:t>
      </w:r>
    </w:p>
    <w:p/>
    <w:p>
      <w:r>
        <w:br w:type="page"/>
      </w:r>
    </w:p>
    <w:p>
      <w:pPr>
        <w:pStyle w:val="Heading1"/>
      </w:pPr>
      <w:r>
        <w:rPr>
          <w:rFonts w:ascii="Arial" w:hAnsi="Arial"/>
          <w:color w:val="1B3A5C"/>
        </w:rPr>
        <w:t>Приложение A. Список источников</w:t>
      </w:r>
    </w:p>
    <w:p>
      <w:pPr>
        <w:pStyle w:val="Heading2"/>
      </w:pPr>
      <w:r>
        <w:rPr>
          <w:rFonts w:ascii="Arial" w:hAnsi="Arial"/>
          <w:color w:val="1B3A5C"/>
        </w:rPr>
        <w:t>Primary (27)</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С 1 января 2025 г. применение ТИМ/BIM становится обязательным для застройщиков МКД в долевом строительстве согласно поправкам к Постановлению № 331.  —  https://minstroyrf.gov.ru/docs/473637/</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С 1 июня 2026 г. вступает в силу ГОСТ Р 10.00.00.05-2025, обязывающий использовать СОД, XML-схемы для Госэкспертизы и SMART-документы.  —  https://gostassistent.ru/article/kakie-trebovaniya-minstroya-k-otechestvennym-bim-i-cad-sistemam-k-2025-godu</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В 2026 г. начинает действовать ГОСТ Р 10.00.00.01-2025, фиксирующий более 70 терминов, правила ведения моделей, классификаторы и уровни детализации (LOD).  —  https://gostassistent.ru/article/kakie-trebovaniya-minstroya-k-otechestvennym-bim-i-cad-sistemam-k-2025-godu</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По прогнозам ДЭСВ ООН, к 2030 году доля городского населения мира достигнет 60%, а число мегаполисов с населением свыше 10 млн человек вырастет до 43.  —  https://news.un.org/ru/story/2022/04/1422732</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Общая численность мирового населения к 2030 году прогнозируется на уровне 8,5–8,6 млрд человек, при этом отмечается долгосрочный тренд на увеличение доли населения старше 80 лет.  —  https://www.un.org/ru/desa/world-population-prospects-2017</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По сценариям Всемирного банка (Groundswell, 2021), к 2050 году прогнозируется до 216 млн внутренних климатических мигрантов глобально, из которых 17–40 млн будут перемещаться внутри Восточной Европы и Центральной Азии.  —  https://cyberleninka.ru/article/n/klimaticheskaya-migratsiya-kak-odna-iz-glavnyh-problem-sovremennosti</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МОМ оценивает до 200 млн глобальных мигрантов к 2050 году из-за климатических катастроф, а МГЭИК указывает на риск для более чем 1 млрд человек в прибрежных зонах.  —  https://www.un.org/ru/climatechange/reports</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По среднему сценарию ВШЭ численность трудоспособного населения (включая когорту 25–45 лет) сократится почти на 14 млн человек к 2025 г. и на 24 млн к 2050 г.  —  https://demogr.hse.ru/mirror/pubs/share/943055611.pdf</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Вероятностный прогноз ВШЭ оценивает миграционный прирост до 2050 г. в 11,3 млн человек (6,0–16,7 млн с 50% вероятностью), частично компенсирующий убыль рабочих возрастов.  —  https://demogr.hse.ru/mirror/pubs/share/1122857845.pdf</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Доля домохозяйств из одного человека в РФ выросла с 25,7% в 2010 году до 41,8% в 2021 году, достигнув 27,6 млн из 66,1 млн домохозяйств и впервые став преобладающим типом.  —  https://www.rbc.ru/economics/19/08/2023/64dcddcd9a794758fcac52e4</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Средний размер домохозяйства в России сократился с 2,6 человека в 2010 году до 2,2 человека в 2021 году, при этом две трети домохозяйств состоят из 1–2 человек.  —  https://sia.ru/?section=484&amp;action=show_news&amp;id=16808214</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В городах-миллионниках с положительным миграционным приростом (Москва, Санкт-Петербург, Казань) цены на недвижимость выросли на 60+ тыс. руб./кв.м за 2016–2022 гг., а девелоперы увеличили ввод жилья на 18,5% в 2021 г.  —  https://www.cbr.ru/statichtml/file/131869/wp_khab_dec.pdf</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Маятниковая миграция усиливает агломерирование и рост пригородов, где жители работают в городах-центрах и платят налоги там, что создает нагрузку на бюджеты пригородных зон без соответствующего роста налоговых поступлений.  —  https://www.economyofregions.org/ojs/index.php/er/article/download/987/397</w:t>
      </w:r>
    </w:p>
    <w:p>
      <w:pPr>
        <w:pStyle w:val="ListBullet"/>
      </w:pPr>
      <w:r>
        <w:rPr>
          <w:rFonts w:ascii="Arial" w:hAnsi="Arial"/>
          <w:b/>
          <w:color w:val="1B3A5C"/>
          <w:sz w:val="18"/>
        </w:rPr>
        <w:t xml:space="preserve">[Макроэкономика и финансирование девелопмента / Глобальные финансовые и логистические тренды] </w:t>
      </w:r>
      <w:r>
        <w:rPr>
          <w:rFonts w:ascii="Arial" w:hAnsi="Arial"/>
          <w:sz w:val="18"/>
        </w:rPr>
        <w:t>МВФ не публикует прямых ставок для недвижимости, но фиксирует доходность 3-месячных облигаций США на уровне 4,3% (2025) и 3,7% (2026), а 10-летних облигаций Еврозоны — 2,5–2,6%, задавая нижнюю границу стоимости долга.  —  https://www.imf.org/-/media/files/publications/weo/2025/october/russian/text.pdf</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ЦБ РФ прогнозирует снижение ключевой ставки до 12–13% в 2026 году и возврат к нейтральному диапазону 7,5–8,5% к 2027 году.  —  https://www.cbr.ru/Content/Document/File/184551/forecast_251024.pdf</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Кумулятивный рост индексов цен в строительстве составил ~110,8% в 2022 году, ~106,3% в 2023 году и замедлился до ~100,9% за январь–сентябрь 2024 года.  —  https://28.rosstat.gov.ru/storage/mediabank/27_2_5.htm</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Москва лидирует с рейтингом A-1 и объемом инвестиций &gt;8,1 трлн руб. в 2024 году, регионы классифицируются на уровнях A-2/B.  —  https://raexpert.ru/researches/regions/invest_regions_results_2024/</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Доля россиян, планирующих покупку жилья, снизилась с 23% (горизонт 5 лет) в 2023 году до 16% (горизонт 3 года) к концу 2025 года, при этом краткосрочные планы на 1 год упали до 7%.  —  https://wciom.ru/analytical-reviews/analiticheskii-obzor/svoja-krysha-nad-golovoi-ili-zhile-dlja-rossijan</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Более 90% покупателей квартир приоритизируют транспортную доступность (время в пути до работы ≤1 часа), а 46% требуют планировки с тремя и более комнатами, тогда как доля такого предложения на рынке составляет лишь 14%.  —  https://blog.domclick.ru/novosti/post/klyuchevye-trendy-pervogo-polugodiya-2025-goda-na-rynke-nedvizhimosti-issledovanie</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Приоритеты безопасности дворовых пространств сместились в сторону внедрения современных нескользких покрытий, нормативного освещения проездов и строгого соблюдения стандартов СНиП и СанПиН в рамках федерального проекта «Формирование комфортной городской среды».  —  https://www.mos.ru/upload/documents/files/4128/RIOT_Standart_Kniga_4_Red_06042017_.pdf</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ЖК Легенда (СПб) реализует концепцию гранд-квартир с открытым зонированием под большие семьи и хобби-зоны.  —  https://legenda-s.ru/realty/grand-flats/</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К 2050 году 70% арктической транспортной инфраструктуры столкнётся с риском просадки грунта из-за таяния вечной мерзлоты, а превышение порога в 1,5°C ожидается в 2030-х годах, что требует пересмотра строительных норм и снижения выбросов на 28–42% к 2030 году.  —  https://unece.org/sites/default/files/2025-06/ECE-TRANS-WP5-GE3-2025-04r.pdf</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Согласно отчёту IPCC WGII AR6, без адаптационных мер к 2030 году риски засух и наводнений в Африке затронут до 118 млн человек, что обуславливает необходимость срочного обновления строительных норм и внедрения систем раннего предупреждения.  —  https://www.un.org/ru/climatechange/ipcc-wgii-report</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По сценарным моделям CMIP5 и региональным расчетам Главной геофизической обсерватории им. Воейкова, к 2030–2039 гг. ожидается рост температуры в европейской части России и Сибири на 2–4°C летом и на 3–5°C зимой при тренде 0,51°C за 10 лет.  —  https://cc.voeikovmgo.ru/ru/klimat/izmenenie-klimata-rossii-v-21-veke</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До 2030–2039 гг. в европейской части России прогнозируется увеличение суммарных осадков на 10–20%, с ростом интенсивности ливней до 50 мм/час.  —  https://cc.voeikovmgo.ru/ru/klimat/lf-hr</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Изменение №3 к СП 82.13330.2016 (приказ Минстроя №933/пр от 27.12.2024) устанавливает толщину дренажных слоев 7–25 см в зависимости от типа почв и климатических порогов.  —  https://normativ.kontur.ru/document?moduleId=9&amp;documentId=488657</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Green Zoom адаптирована под национальные нормы на 90%, соответствует BREEAM на 74% и LEED на 87%, с ноября 2023 года стала национальным стандартом.  —  https://greenzoom.ru/strapi/uploads/origin_1579988561_2019_43eb0b8ce2.pdf</w:t>
      </w:r>
    </w:p>
    <w:p>
      <w:pPr>
        <w:pStyle w:val="Heading2"/>
      </w:pPr>
      <w:r>
        <w:rPr>
          <w:rFonts w:ascii="Arial" w:hAnsi="Arial"/>
          <w:color w:val="1B3A5C"/>
        </w:rPr>
        <w:t>Secondary (79)</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Интеграция цифровых двойников на базе BIM и датчиков ускоряет реализацию проектов на 25% (кейсы Лахта Центр, Бирюлевское).  —  https://www.itweek.ru/themes/detail.php?ID=233578</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По кривой Gartner (2016–2024) цифровые двойники переходят на плато продуктивности за счёт интеграции с ИИ.  —  https://cyberleninka.ru/article/n/evolyutsiya-tehnologii-tsifrovyh-dvoynikov-na-krivoy-gartner-za-period-2016-2024-gg</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К 2022–2023 гг. в мире напечатано &gt;1000 зданий, отрасль переходит к комплексной застройке, но сдерживается нормативными барьерами.  —  https://cvetmir3d.ru/blog/stroitelstvo/stroitelnaya-3d-pechat-v-ozhidanii-proryva/</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Дубай ставит цель 25% 3D-печатных зданий к 2030 г.; кейс Apis Cor (641 м² за дни) прогнозирует снижение стоимости в 6 раз.  —  https://trends.rbc.ru/trends/innovation/60f5ad5f9a7947a81f1e63cf</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РФ готовит регуляторную песочницу (февраль 2026) для снижения себестоимости ИЖС в 2 раза и достижения 10% доли к 2036 г.  —  https://www.cnews.ru/news/top/2026-02-05_v_gosdume_hotyat_provesti</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За 7–8 лет с 2014 г. массовое внедрение 3D-печати не состоялось из-за регуляторных барьеров вне ИЖС и отсутствия экосистемы.  —  https://industry3d.ru/3d-pechat-v-stroitelstve-2025-preimushchestva-i-primery/</w:t>
      </w:r>
    </w:p>
    <w:p>
      <w:pPr>
        <w:pStyle w:val="ListBullet"/>
      </w:pPr>
      <w:r>
        <w:rPr>
          <w:rFonts w:ascii="Arial" w:hAnsi="Arial"/>
          <w:b/>
          <w:color w:val="1B3A5C"/>
          <w:sz w:val="18"/>
        </w:rPr>
        <w:t xml:space="preserve">[Технологии и цифровизация строительства / Глобальные инновации] </w:t>
      </w:r>
      <w:r>
        <w:rPr>
          <w:rFonts w:ascii="Arial" w:hAnsi="Arial"/>
          <w:sz w:val="18"/>
        </w:rPr>
        <w:t>Рынок ИИ в строительстве прогнозируется на $550 млрд к 2030 г. (CAGR 35,14%), рынок BAS — $255,59 млрд (CAGR 11,10%).  —  https://www.itweek.ru/themes/detail.php?ID=233578</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Только 19% предприятий РФ имеют планы по переходу на российское ПО в 2025 г., несмотря на требования Минстроя.  —  https://gostassistent.ru/article/kakie-trebovaniya-minstroya-k-otechestvennym-bim-i-cad-sistemam-k-2025-godu</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Российские стандарты адаптированы под интеграцию с ГИС и приоритет отечественного ПО, тогда как прямое внедрение ISO 19650 отклонено Росстандартом из-за несовместимости с локальными традициями.  —  https://altecsystems.ru/bim-standarty-v-rossii/</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Отсутствие единой СОД и разобщенность потоков данных формируют структурные барьеры для роботизации, требующей зрелой BIM-инфраструктуры.  —  https://www.sarex.io/media/articles/cifrovizaciya-i-avtomatizaciya-stroitelnoy-otrasli</w:t>
      </w:r>
    </w:p>
    <w:p>
      <w:pPr>
        <w:pStyle w:val="ListBullet"/>
      </w:pPr>
      <w:r>
        <w:rPr>
          <w:rFonts w:ascii="Arial" w:hAnsi="Arial"/>
          <w:b/>
          <w:color w:val="1B3A5C"/>
          <w:sz w:val="18"/>
        </w:rPr>
        <w:t xml:space="preserve">[Технологии и цифровизация строительства / Нормативная адаптация в РФ] </w:t>
      </w:r>
      <w:r>
        <w:rPr>
          <w:rFonts w:ascii="Arial" w:hAnsi="Arial"/>
          <w:sz w:val="18"/>
        </w:rPr>
        <w:t>План технологического развития до 2030 г. предусматривает обязательную цифровизацию, внедрение 5G, рост доли стальных каркасов до 7% и 97% покрытие интернетом.  —  https://geoinfo.ru/product/sluzhba-novostej-geoinfo/v-rf-sozdadut-dorozhnuyu-kartu-cifrovogo-razvitiya-stroitelnoj-otrasli-do-2030-goda-58479.shtml</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Отраслевые оценки указывают на окупаемость 1–3 года при ROI 25–180%, сокращении затрат на 5–30% и сроков на 10–40%.  —  https://vstuplenie-sro.com/2025/06/30/iskusstvennyj-intellekt-v-stroitelnoj-otrasli-obzor-rossijskogo-i-mezhdunarodnogo-opyta/</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Вендорские модели на примере проекта в 1 млрд руб. прогнозируют экономию 80–150 млн руб. при затратах на ПО 10–20 млн руб., что дает ROI 300–1500% и окупаемость &lt;2 лет.  —  https://secrets.tbank.ru/blogi-kompanij/ai-resheniya-dlya-zastrojshikov/</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Внедрение IoT и BMS повышает стоимость 1 м² на 5–15%, ускоряет продажи на 20–30% и снижает OPEX на 50%.  —  https://kanschool43.ru/kak-tehnologii-vliyayut-na-stoimost-zagorodnoy-nedvizhimosti-vliyanie-smart-domov-i-ustoychivyh-tehnologiy-na-tsenovye-trendy/</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Цифровизация и стандартизация снижают себестоимость на 10–20% и ускоряют ввод на 20–30%, но высокая конечная цена сохраняется из-за макрофакторов при объеме ввода 100,6 млн м²/год.  —  https://fittin.ru/contentzavod/view/kak-standartizatsiya-i-tsifrovizatsiya-menyayut-stroitelnuyu-otrasl-ot-zhilischnogo-stroitelstva-do</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ПИК экономит сотни млн руб. на контроле качества, Самолет снижает травматизм на 30% ИИ-мониторингом, ДОМ.РФ использует ИИ для прогнозирования ликвидности.  —  https://softmedialab.com/how-ai-is-changing-development</w:t>
      </w:r>
    </w:p>
    <w:p>
      <w:pPr>
        <w:pStyle w:val="ListBullet"/>
      </w:pPr>
      <w:r>
        <w:rPr>
          <w:rFonts w:ascii="Arial" w:hAnsi="Arial"/>
          <w:b/>
          <w:color w:val="1B3A5C"/>
          <w:sz w:val="18"/>
        </w:rPr>
        <w:t xml:space="preserve">[Технологии и цифровизация строительства / Экономика внедрения] </w:t>
      </w:r>
      <w:r>
        <w:rPr>
          <w:rFonts w:ascii="Arial" w:hAnsi="Arial"/>
          <w:sz w:val="18"/>
        </w:rPr>
        <w:t>Московские субсидии покрывают до 95% затрат на ИТ-обучение (лимит 120 тыс. руб./сотр., 10 млн руб./комп.), а ИТ-аккредитация снижает налог на прибыль до 5% и взносы до 7,6%.  —  https://ppt.ru/question/vozmeshchenie-rashodov/kak-vozmestit-zatraty-na-obuchenie-sotrudnikov-kommercheskoy-organizatsii</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Рост числа одиноких домохозяйств и молодых специалистов (25–40 лет) положительно коррелирует со спросом на студии и однокомнатные квартиры, доля которых уже превышает 50% предложения в крупных городах.  —  https://ruinformer.com/page/demografija-i-zhile-kak-izmenitsja-spros-na-rynke-rossijskoj-nedvizhimosti</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Миграционные потоки и урбанизация обеспечивают 10–20% сбыта на рынке аренды компактного жилья, смещая фокус девелоперов в сторону студий в крупных городах.  —  https://www.metrtv.ru/articles/new_buildings/19921</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Спрос на семейное жилье (2–3-комнатные квартиры) демонстрирует отрицательную корреляцию с демографическим кризисом: малочисленное поколение 1990-х (16% населения) не способно заменить спрос поколения 1980-х (23%, 34 млн чел.).  —  https://www.kommersant.ru/doc/8139747</w:t>
      </w:r>
    </w:p>
    <w:p>
      <w:pPr>
        <w:pStyle w:val="ListBullet"/>
      </w:pPr>
      <w:r>
        <w:rPr>
          <w:rFonts w:ascii="Arial" w:hAnsi="Arial"/>
          <w:b/>
          <w:color w:val="1B3A5C"/>
          <w:sz w:val="18"/>
        </w:rPr>
        <w:t xml:space="preserve">[Демография и миграционные потоки / Глобальные демографические сдвиги] </w:t>
      </w:r>
      <w:r>
        <w:rPr>
          <w:rFonts w:ascii="Arial" w:hAnsi="Arial"/>
          <w:sz w:val="18"/>
        </w:rPr>
        <w:t>Старение населения в развитых странах формирует устойчивую положительную корреляцию со спросом на senior living и адаптированные однокомнатные квартиры, усиленную миграцией.  —  https://www.zagorodna.com/ru/stati/demografiya-i-rynok-zhilya-evropy-klyuchevye-trendy-na-10-let.html</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Ежегодный объём внутренней миграции в РФ стабилизируется на отметке около 4 млн человек, формируя основной демографический баланс регионов.  —  https://statbase.ru/datasets/national-statistics-of-russia/population-and-society/migration-population-growth-by-region-national-stat/</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Внутренняя миграция в ЦФО показывает устойчивый положительный тренд с замедлением: +6,1‰ в 2021 году до +0,7‰ в 2024 году, при этом Москва в 2023 году обеспечила чистый приток в +60,6 тыс. человек.  —  https://www.demoscope.ru/weekly/2025/01071/barom04.php</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ЮФО сохраняет высокий миграционный приток (+1,6‰ в 2024 г.), тогда как регионы Сибири фиксируют стабильный отток: Томская область (-5,9‰), Омская область (-4,0‰) и Иркутская область (-3,7‰).  —  https://raexpert.ru/researches/regions/migration_regions_2023/</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В 2023 году зафиксировано 12 млн въездов иностранцев (+30% к 2022 году), однако к 2025 году численность мигрантов снизилась на 8,6% до 5,7 млн человек.  —  https://www.tadviser.ru/index.php/%D0%A1%D1%82%D0%B0%D1%82%D1%8C%D1%8F:%D0%9C%D0%B8%D0%B3%D1%80%D0%B0%D1%86%D0%B8%D1%8F_%D0%B8%D0%B7_%D0%A0%D0%BE%D1%81%D1%81%D0%B8%D0%B8_%D0%B8_%D0%B2_%D0%A0%D0%BE%D1%81%D1%81%D0%B8%D1%8E</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Массовая временная трудовая миграция формирует устойчивый спрос на краткосрочную аренду в крупных агломерациях, а учебная миграция поддерживает спрос в студенческих кластерах.  —  https://cyberleninka.ru/article/n/vneshnyaya-trudovaya-migratsiya-v-sovremennom-rossiyskom-obschestve-dinamika-i-posledstviya</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Одинокие домохозяйства в РФ чаще арендуют компактное жильё в мегаполисах и реже покупают крупные квартиры, направляя высвободившиеся средства на услуги доставки, такси и клининга.  —  https://holod.media/2026/02/03/rost-chisla-rossiyan/</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Доля индивидуального жилищного строительства (ИЖС) в общем вводе жилья в РФ превышает 56% (более 52 млн кв. м в год), при этом в Ленинградской области темпы роста ИЖС вдвое опережают многоквартирное строительство.  —  https://rg.ru/2024/02/26/semejnaia-arhitektura.html</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В 2025 году общий объём ввода жилья в России ожидается на уровне 103 млн кв. м (снижение на 4,5% к 2024 году), при этом ввод многоквартирных домов сократился на 3,7% за январь–ноябрь (32 млн кв. м), что структурно усиливает переток спроса в малоэтажный сегмент.  —  https://www.kommersant.ru/doc/8293557</w:t>
      </w:r>
    </w:p>
    <w:p>
      <w:pPr>
        <w:pStyle w:val="ListBullet"/>
      </w:pPr>
      <w:r>
        <w:rPr>
          <w:rFonts w:ascii="Arial" w:hAnsi="Arial"/>
          <w:b/>
          <w:color w:val="1B3A5C"/>
          <w:sz w:val="18"/>
        </w:rPr>
        <w:t xml:space="preserve">[Макроэкономика и финансирование девелопмента / Глобальные финансовые и логистические тренды] </w:t>
      </w:r>
      <w:r>
        <w:rPr>
          <w:rFonts w:ascii="Arial" w:hAnsi="Arial"/>
          <w:sz w:val="18"/>
        </w:rPr>
        <w:t>Цены на арматуру в РФ составляют 47 820–50 635 руб/т, китайские фьючерсы — 3 082 CNY/т; тарифы ЕС на сталь до 50% и сокращение квот на 47% перенаправляют потоки на восток, увеличивая логистическое плечо.  —  https://gostmetal.ru/dinamika/</w:t>
      </w:r>
    </w:p>
    <w:p>
      <w:pPr>
        <w:pStyle w:val="ListBullet"/>
      </w:pPr>
      <w:r>
        <w:rPr>
          <w:rFonts w:ascii="Arial" w:hAnsi="Arial"/>
          <w:b/>
          <w:color w:val="1B3A5C"/>
          <w:sz w:val="18"/>
        </w:rPr>
        <w:t xml:space="preserve">[Макроэкономика и финансирование девелопмента / Глобальные финансовые и логистические тренды] </w:t>
      </w:r>
      <w:r>
        <w:rPr>
          <w:rFonts w:ascii="Arial" w:hAnsi="Arial"/>
          <w:sz w:val="18"/>
        </w:rPr>
        <w:t>Стоимость бетона в РФ выросла до 16 561 руб/м³; темпы роста цен на стройматериалы ускорятся до 15–20% в 2025–2026 гг. под давлением тарифов РЖД и удвоения кредитной нагрузки на производителей.  —  https://glavportal.com/materials/industriya-strojmaterialov-2025-stagnaciya-ili-stabilnost</w:t>
      </w:r>
    </w:p>
    <w:p>
      <w:pPr>
        <w:pStyle w:val="ListBullet"/>
      </w:pPr>
      <w:r>
        <w:rPr>
          <w:rFonts w:ascii="Arial" w:hAnsi="Arial"/>
          <w:b/>
          <w:color w:val="1B3A5C"/>
          <w:sz w:val="18"/>
        </w:rPr>
        <w:t xml:space="preserve">[Макроэкономика и финансирование девелопмента / Глобальные финансовые и логистические тренды] </w:t>
      </w:r>
      <w:r>
        <w:rPr>
          <w:rFonts w:ascii="Arial" w:hAnsi="Arial"/>
          <w:sz w:val="18"/>
        </w:rPr>
        <w:t>Рынок private credit в РФ растёт на 40% ежегодно с 2023 года, глобальный объём достигнет $1,5 трлн к 2026 году; российские REITs превысили 100 млрд руб., а зелёные облигации — 500 млрд руб. с 2021 года.  —  https://pmpractice.ru/solution/proektnaya_transformaciya/</w:t>
      </w:r>
    </w:p>
    <w:p>
      <w:pPr>
        <w:pStyle w:val="ListBullet"/>
      </w:pPr>
      <w:r>
        <w:rPr>
          <w:rFonts w:ascii="Arial" w:hAnsi="Arial"/>
          <w:b/>
          <w:color w:val="1B3A5C"/>
          <w:sz w:val="18"/>
        </w:rPr>
        <w:t xml:space="preserve">[Макроэкономика и финансирование девелопмента / Глобальные финансовые и логистические тренды] </w:t>
      </w:r>
      <w:r>
        <w:rPr>
          <w:rFonts w:ascii="Arial" w:hAnsi="Arial"/>
          <w:sz w:val="18"/>
        </w:rPr>
        <w:t>Оптимальная структура проектного финансирования при высоких ставках смещается к гибридным схемам с долей собственного капитала 20–30% и сроками 3–10 лет.  —  https://www.royalfinance.ru/business/proektnoe-finansirovanie/</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ДОМ.РФ ожидает оживление ипотеки при ставках ниже 15% (середина 2026) с закреплением рыночных ставок на уровне 12–15% к концу 2026 года.  —  https://realty.rbc.ru/news/68c3e8879a79473672bb2ca1</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При ставке 12% ежемесячный платёж достигает 53,9 тыс. ₽, а до 20% заёмщиков рискуют отказа при ПДН свыше 80%.  —  https://polis812.ru/blog/chto-budet-s-ipotekoj-v-blizhajshee-vremya-prognoz-po-klyuchevoj-stavke-v-oktyabre-2025-goda/</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Требование к собственному капиталу застройщика в 10% от проектной стоимости создаёт барьер входа и способствует концентрации рынка.  —  https://erzrf.ru/publikacii/razbirayem-novyye-popravki-v-214-fz?tag=214-%D0%A4%D0%97</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К концу 2024 года ставки по кредитам МСП достигли 24,21% (краткосрочные) и 19,92% (долгосрочные), рост кредитного портфеля замедлился до 22%.  —  https://expert.ru/finance/malyy-i-sredniy-biznes-kredituyut-v-srednem-malo/</w:t>
      </w:r>
    </w:p>
    <w:p>
      <w:pPr>
        <w:pStyle w:val="ListBullet"/>
      </w:pPr>
      <w:r>
        <w:rPr>
          <w:rFonts w:ascii="Arial" w:hAnsi="Arial"/>
          <w:b/>
          <w:color w:val="1B3A5C"/>
          <w:sz w:val="18"/>
        </w:rPr>
        <w:t xml:space="preserve">[Макроэкономика и финансирование девелопмента / Российская финансовая экосистема] </w:t>
      </w:r>
      <w:r>
        <w:rPr>
          <w:rFonts w:ascii="Arial" w:hAnsi="Arial"/>
          <w:sz w:val="18"/>
        </w:rPr>
        <w:t>Факторинговый портфель вырос до 2,61 трлн ₽ к I кварталу 2026 года, но число активных клиентов снизилось, стимулируя переход к МФО и облигациям.  —  https://www.kommersant.ru/doc/8572230</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В H1 2025 года доля BTS-аренды и BTS-продаж составила 4,5% и 2,5% соответственно из-за высокой стоимости кредита и логистики, вынуждающей закладывать премию 20–25% к рыночным ставкам.  —  http://www.logistika-prim.ru/rubric/14</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Рост тарифов на перевозки, стоимости топлива и дефицит водителей увеличивают долю логистики в себестоимости, снижая прибыль девелоперов в распределенных сетях.  —  https://companies.rbc.ru/news/LzxtMQI6zq/kak-sokratit-transportnyie-rashodyi-v-logistike/</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Региональная дифференциация логистических издержек при единой стратегии ценообразования снижает маржинальность и создает риски заморозки капитала.  —  https://delovoymir.biz/effekt-regiona-na-marketpleysah-pochemu-odin-i-tot-zhe-tovar-prodaetsya-po-raznomu-v-raznyh-tochkah-strany-i-kak-s-etim-rabotat.html</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Прогнозируемая доходность проектов в Москве составляет 40–103%, тогда как в регионах — 12–70% (преимущественно ниже 20% на старте).  —  https://www.vedomosti.ru/press_releases/2026/03/06/luchshie-investitsionno-privlekatelnie-proekti-na-rinke-nedvizhimosti-reiting-moskovskogo-biznes-kluba-i-premii-rekordi-rinka-nedvizhimosti-erid-2VfnxwczjP7</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71% россиян ожидают влияния гибридного формата на рынок труда до 2030 года, 44% уже предпочитают его, а 46% отмечают рост эффективности; в IT, медиа и бизнес-услугах распространённость превышает 50%.  —  https://www.forbes.ru/svoi-biznes/498509-rossiane-nazvali-klucevye-trendy-na-rynke-truda-do-2030-goda</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Рост вакансий на удалённую работу составил 92% за первые 9 месяцев 2024 года, что подтверждает сценарий структурного сдвига занятости.  —  https://work24.ru/journal/170-budushchee-udalennoy-raboty-prognozy-na-20252030-gody</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Глобальный объем шеринговой экономики достигнет $335 млрд в 2025 году и вырастет до $1,8 трлн к 2031 году при CAGR свыше 30%.  —  https://www.kommersant.ru/doc/7798336</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B2B-сегмент шеринг-инфраструктуры (аренда текстиля, сервисы стирки) прогнозируется на уровне $16,3 млрд к 2032 году.  —  https://secrets.tbank.ru/blogi-kompanij/kak-arenda-pomogaet-snizhat-izderzhki/</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Глобальное время использования сервисов shared mobility достигнет 2,3 млрд минут в 2025 году (+16% г/г).  —  https://www.tbank.ru/invest/research/review/shared-mobility/</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Спрос смещается в загородные поселки в 30–60 минутах от городов, где приватность сочетается с предсказуемой логистикой и внутренней инфраструктурой.  —  https://www.megaresearch.ru/new_reality/kak-menyaetsya-spros-na-rynke-zagorodnoy-nedvizhimosti-klyuchevye-signaly-i-povedencheskie-trendy-v-2026-godu</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В 2026 году на рынке доминирует запрос на малоэтажные кварталы (3–4 этажа) с закрытыми территориями и дворами без машин.  —  https://secrets.tbank.ru/blogi-kompanij/trendah-v-nedvizhimosti-2026/</w:t>
      </w:r>
    </w:p>
    <w:p>
      <w:pPr>
        <w:pStyle w:val="ListBullet"/>
      </w:pPr>
      <w:r>
        <w:rPr>
          <w:rFonts w:ascii="Arial" w:hAnsi="Arial"/>
          <w:b/>
          <w:color w:val="1B3A5C"/>
          <w:sz w:val="18"/>
        </w:rPr>
        <w:t xml:space="preserve">[Социокультурные паттерны и урбанистика / Глобальные изменения образа жизни] </w:t>
      </w:r>
      <w:r>
        <w:rPr>
          <w:rFonts w:ascii="Arial" w:hAnsi="Arial"/>
          <w:sz w:val="18"/>
        </w:rPr>
        <w:t>В &gt;40% новых ЖК Петербурга застройщики внедряют соседские центры и цифровые платформы для коммуникации как инструмент лояльности.  —  https://www.bn.ru/gazeta/articles/285267/</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В 2025 году доля инвестиционных запросов на рынке недвижимости достигла рекордных 47%, при этом 43% сделок в сегменте новостроек финансируется за счёт льготных ипотечных программ.  —  https://www.irn.ru/news/158582-domrf-i-vtsiom-sostavili-portret-pokupatelya.html</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Спрос на индивидуальное жилищное строительство (ИЖС) стабильно растёт, достигая 512 тыс. домов в год, при этом покупатели частных домов в приоритете ставят экологию, озеленение и удалённость от промышленных зон.  —  http://spb.gdeetotdom.ru/news/2061013-2026-03-06-rossiyane-rasskazali-o-planah-na-zhile-pochti-kazhdaya-pyataya-semya-namere/</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В 2010-е гг. темпы роста населения пригородов в Сибирском федеральном округе превысили 122%, а в Дальневосточном — 106%, что фиксирует устойчивую миграцию из городов в пригороды крупных агломераций.  —  https://www.imbt.ru/upload/docs/publisher/2018/08/%D0%93%D1%80%D0%B8%D0%B3%D0%BE%D1%80%D0%B8%D1%87%D0%B5%D0%B2-%D0%9A.%D0%92..pdf</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Дачные и садовые объединения преобладают в 50% крупногородских агломераций РФ, однако переход к постоянному проживанию в коттеджах и таунхаусах сдерживается слабой социальной и транспортной инфраструктурой пригородов.  —  https://vestnik5.geogr.msu.ru/jour/article/view/157</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С 2000-х гг. автомобилизация и развитие ипотечного рынка стимулировали рост организованных коттеджных посёлков и таунхаусов в крупнейших городах, но субурбанизация в РФ остаётся преимущественно сезонной из-за несформированного рынка земли.  —  https://www.demoscope.ru/weekly/knigi/IDEM_library/pdf/book094.pdf</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Запрос к дворовым пространствам сместился от стандартных детских площадок к многофункциональному зонированию, при этом современные нормативы требуют озеленения не менее 30% территории двора стационарными насаждениями.  —  https://modern-construction.ru/archive/12-43-2023-december/10.18454/mca.2023.43.1</w:t>
      </w:r>
    </w:p>
    <w:p>
      <w:pPr>
        <w:pStyle w:val="ListBullet"/>
      </w:pPr>
      <w:r>
        <w:rPr>
          <w:rFonts w:ascii="Arial" w:hAnsi="Arial"/>
          <w:b/>
          <w:color w:val="1B3A5C"/>
          <w:sz w:val="18"/>
        </w:rPr>
        <w:t xml:space="preserve">[Социокультурные паттерны и урбанистика / Российские практики расселения] </w:t>
      </w:r>
      <w:r>
        <w:rPr>
          <w:rFonts w:ascii="Arial" w:hAnsi="Arial"/>
          <w:sz w:val="18"/>
        </w:rPr>
        <w:t>Требования к социальной инфраструктуре дворов включают создание инклюзивных зон для подростков, родителей и пожилых людей, а ключевым условием проектирования стало обязательное вовлечение жителей через опросы и предпроектный анализ.  —  https://www.bsn.ru/news/market/spb/49245_kakim_dolzhno_byt_sovremennoe_dvorovoe_prostranstvo/</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В ЖК GloraX Октябрьский внедрено более 30 вариантов гибких планировок с минимизацией несущих стен для трансформации студий в евродвушки.  —  https://kluch.media/materials/kvartira-kotoraya-podstraivaetsya-pod-vashu-zhizn-gibkie-planirovki-v-glorax-oktyabrskiy/?erid=2VfnxyK1zor</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Легализация перепланировки по ЖК РФ требует согласования до 45 дней, запрещён перенос мокрых зон и лоджий &lt;1,2 м.  —  https://spb.pereplan-one.ru/blog/chto-schitayetsya-pereplanirovkoy-kvartiry-polniy-spisok-rabot-i-pravil/</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В Москве mixed-use (&gt;500 квартир) продаётся на 30% быстрее и на 20–30% дороже; инвестиции в 2024 г. &gt;1,1 трлн руб.  —  https://www.vedomosti.ru/press_releases/2025/10/16/v-capital-group-rasskazali-ob-usloviyah-uspeshnoi-realizatsii-proektov-kommercheskoi-nedvizhimosti</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Дефицит офисов (ставки до 70 тыс. руб./м²/год, спрос 2,24 млн м² в 2024) стимулирует спрос на гибридные проекты.  —  https://office-news.ru/rynok-kommercheskoj-nedvizhimosti-rossii-v-i-polugodii-2025-goda-kljuchevye-trendy-i-prognozy-ot-nf-group/analitika/</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К 2026 г. 43% нового строительства ТЦ/МФК в РФ будет в формате mixed-use, до 70% рынка займут непрофильные девелоперы.  —  https://cre.ru/analytics/101286</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Нормы РФ по свету и инсоляции (КЕО ≥0,5%, 1,5–3 ч/сут) мягче западных (EN 17037/LEED: ≥2–3%, DF≥2%, sDA≥55%).  —  https://docs.cntd.ru/document/871001026</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Шумоизоляция в РФ (Rw ≥52–62 дБ) уступает стандартам ЕС/США (≥55–70 дБ, STC ≥50–65) с учётом ударного шума.  —  https://cyberleninka.ru/article/n/otechestvennye-i-zarubezhnye-normy-po-zvukoizolyacii</w:t>
      </w:r>
    </w:p>
    <w:p>
      <w:pPr>
        <w:pStyle w:val="ListBullet"/>
      </w:pPr>
      <w:r>
        <w:rPr>
          <w:rFonts w:ascii="Arial" w:hAnsi="Arial"/>
          <w:b/>
          <w:color w:val="1B3A5C"/>
          <w:sz w:val="18"/>
        </w:rPr>
        <w:t xml:space="preserve">[Социокультурные паттерны и урбанистика / Архитектурно-планировочные решения] </w:t>
      </w:r>
      <w:r>
        <w:rPr>
          <w:rFonts w:ascii="Arial" w:hAnsi="Arial"/>
          <w:sz w:val="18"/>
        </w:rPr>
        <w:t>Мягкие нормы РФ позволяют увеличить плотность застройки, создавая ценовой разрыв 20–50% с городами ЕС/США.  —  https://ardexpert.ru/article/7472</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В России стоимость углеродного следа зданий привязана к цене углеродных единиц (~6000 руб./УЕ), где превышение норматива энергоэффективности ведет к затратам на закупку квот (236,4 тыс. руб./год для здания класса D), а снижение следа ниже бенчмарка генерирует доход от продажи квот (до 264 тыс. руб./год).  —  https://www.urbaneconomics.ru/sites/default/files/uglerodnyi_sled_zdanii.pdf</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Применение низкоуглеродных материалов снижает углеродный след на 56% (пеностекло стоимостью 1300–6000 руб./м³) и в 2,6 раза (деревянные дома против квартир), что напрямую повышает инвестиционную привлекательность объектов.  —  https://journals.igps.ru/temp/b91820f94cc8f668427550b1bf54e2d4.pdf</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Внедрение ESG-практик в девелопменте повышает стоимость активов массового жилья на 9% и открывает доступ к кредитованию с дисконтом до 2% от ключевой ставки, тогда как игнорирование стандартов ведет к снижению ликвидности.  —  https://rgud.ru/novosti/esg-v-developmente-neobkhodimost-ili-dan-mode/</w:t>
      </w:r>
    </w:p>
    <w:p>
      <w:pPr>
        <w:pStyle w:val="ListBullet"/>
      </w:pPr>
      <w:r>
        <w:rPr>
          <w:rFonts w:ascii="Arial" w:hAnsi="Arial"/>
          <w:b/>
          <w:color w:val="1B3A5C"/>
          <w:sz w:val="18"/>
        </w:rPr>
        <w:t xml:space="preserve">[Экология и климатическая адаптация / Глобальные климатические риски и ESG] </w:t>
      </w:r>
      <w:r>
        <w:rPr>
          <w:rFonts w:ascii="Arial" w:hAnsi="Arial"/>
          <w:sz w:val="18"/>
        </w:rPr>
        <w:t>Анализ 105 крупнейших девелоперов фиксирует растущую, но фрагментарную вовлеченность в устойчивое развитие, где к 2026 году ESG окончательно закрепится как драйвер роста бизнеса.  —  https://cyberleninka.ru/article/n/analiz-vovlechennosti-rossiyskih-developerov-v-realizatsiyu-kontseptsii-ustoychivogo-razvitiya</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По оценке Гидрометцентра России (мягкий сценарий) к 2030 году рост средней температуры составит 1,5–2°C, что не приведет к катастрофическим последствиям, но вызовет более жаркое лето и мягкие зимы.  —  https://rg.ru/2018/09/16/v-gidrometcentre-rasskazali-o-klimate-v-rossii-2087-goda.html</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Лесные пожары 2022 года в Якутии привели к усилению поверхностного стока и подтоплениям жилых районов в Горном районе в 2023 году из-за уничтожения растительного покрова.  —  https://www.tatar-inform.ru/news/ekspert-predupredil-o-riskax-pavodkov-i-erozii-pocv-iz-za-obilnyx-snegopadov-6018510</w:t>
      </w:r>
    </w:p>
    <w:p>
      <w:pPr>
        <w:pStyle w:val="ListBullet"/>
      </w:pPr>
      <w:r>
        <w:rPr>
          <w:rFonts w:ascii="Arial" w:hAnsi="Arial"/>
          <w:b/>
          <w:color w:val="1B3A5C"/>
          <w:sz w:val="18"/>
        </w:rPr>
        <w:t xml:space="preserve">[Экология и климатическая адаптация / Климатические изменения в РФ] </w:t>
      </w:r>
      <w:r>
        <w:rPr>
          <w:rFonts w:ascii="Arial" w:hAnsi="Arial"/>
          <w:sz w:val="18"/>
        </w:rPr>
        <w:t>Увеличение рисков паводков и лесных пожаров в пригородных зонах РФ ведёт к росту тарифов на имущественное страхование, при этом 90% возгораний носят антропогенный характер.  —  https://lesprominform.ru/jarticles.html?id=5371</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Фонд развития промышленности с 2016 по 2024 год профинансировал 101 проект на сумму 49 млрд рублей, из которых 43 проекта уже запущены в серийное производство.  —  https://www.vedomosti.ru/esg/ecology/articles/2025/04/25/1106796-zelenaya-stroika-nuzhdaetsya-v-proverennih-ekomaterialah</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С 2022 года в РФ действуют рекомендательные национальные стандарты зелёного строительства: ГОСТ Р 70346-2022 для жилого сегмента и система «Клевер» для коммерческих зданий.  —  https://forest-save.ru/esg-blog/ekologicheskoe-stroitelstvo-v-rossii</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Российские производители внедряют возврат в цикл теплоизоляции и локализуют сырьё в радиусе до 800 км для снижения углеродного следа.  —  https://www.dp.ru/a/2024/02/01/strojka-bez-vreda-kogo-v</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Система Green Zoom вытеснила BREEAM и LEED в Москве и СПб, к 2022 году сертифицировано &gt;150 объектов, в жилом сегменте по РФ — ≤30 домов.  —  https://www.kommersant.ru/doc/5733137</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Сертификация повышает цену продажи офисов на 10%+ и снижает OPEX на 28–35% (экономия до 5 млн руб./год), формируя спрос ESG-арендаторов.  —  https://cre.ru/rus/analytics/1/0/41815/</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Тепловые насосы снижают OPEX в 4–5 раз, экономя 10–17 тыс. руб./кВт при окупаемости 2–4,5 года.  —  https://www.pea.ru/docs/articles/heatpumps-econom-aspect/</w:t>
      </w:r>
    </w:p>
    <w:p>
      <w:pPr>
        <w:pStyle w:val="ListBullet"/>
      </w:pPr>
      <w:r>
        <w:rPr>
          <w:rFonts w:ascii="Arial" w:hAnsi="Arial"/>
          <w:b/>
          <w:color w:val="1B3A5C"/>
          <w:sz w:val="18"/>
        </w:rPr>
        <w:t xml:space="preserve">[Экология и климатическая адаптация / Зелёные материалы и рыночный спрос] </w:t>
      </w:r>
      <w:r>
        <w:rPr>
          <w:rFonts w:ascii="Arial" w:hAnsi="Arial"/>
          <w:sz w:val="18"/>
        </w:rPr>
        <w:t>В СЗФО экономия достигает 17 637 руб./кВт при окупаемости 1–2,5 года (COP до 4), в ЦФО и ЮФО — 10,5–12,8 тыс. руб./кВт при окупаемости до 3 лет.  —  https://iclim.ru/articles/vygodno_li_ispolzovat_teplovye_nasosy_dlya_otopleniya/</w:t>
      </w:r>
    </w:p>
    <w:p>
      <w:pPr>
        <w:pStyle w:val="Heading2"/>
      </w:pPr>
      <w:r>
        <w:rPr>
          <w:rFonts w:ascii="Arial" w:hAnsi="Arial"/>
          <w:color w:val="1B3A5C"/>
        </w:rPr>
        <w:t>Opinion (3)</w:t>
      </w:r>
    </w:p>
    <w:p>
      <w:pPr>
        <w:pStyle w:val="ListBullet"/>
      </w:pPr>
      <w:r>
        <w:rPr>
          <w:rFonts w:ascii="Arial" w:hAnsi="Arial"/>
          <w:b/>
          <w:color w:val="1B3A5C"/>
          <w:sz w:val="18"/>
        </w:rPr>
        <w:t xml:space="preserve">[Демография и миграционные потоки / Миграционная динамика в РФ] </w:t>
      </w:r>
      <w:r>
        <w:rPr>
          <w:rFonts w:ascii="Arial" w:hAnsi="Arial"/>
          <w:sz w:val="18"/>
        </w:rPr>
        <w:t>Официальные прогнозы до 2030 года отсутствуют; экспертная экстраполяция трендов 2021–2024 гг. предполагает прирост в ЦФО на 150–250 тыс. человек, в ЮФО — на 100–200 тыс., и отток из Сибири в объёме 150–300 тыс. человек.  —  https://stratpro.hse.ru/mirror/pubs/share/1015016468.pdf</w:t>
      </w:r>
    </w:p>
    <w:p>
      <w:pPr>
        <w:pStyle w:val="ListBullet"/>
      </w:pPr>
      <w:r>
        <w:rPr>
          <w:rFonts w:ascii="Arial" w:hAnsi="Arial"/>
          <w:b/>
          <w:color w:val="1B3A5C"/>
          <w:sz w:val="18"/>
        </w:rPr>
        <w:t xml:space="preserve">[Демография и миграционные потоки / Структура домохозяйств и типология спроса] </w:t>
      </w:r>
      <w:r>
        <w:rPr>
          <w:rFonts w:ascii="Arial" w:hAnsi="Arial"/>
          <w:sz w:val="18"/>
        </w:rPr>
        <w:t>Прогноз на 2030 год указывает на рост доли малоэтажного жилья (ИЖС и малоэтажные комплексы) до 60–70% рынка при сокращении доли многоквартирного жилья до 30–40%, что поддерживается дефицитом предложения, программами господдержки ипотеки и освоением новых пригородных зон.  —  https://becar.pro/news/?news_id=2657</w:t>
      </w:r>
    </w:p>
    <w:p>
      <w:pPr>
        <w:pStyle w:val="ListBullet"/>
      </w:pPr>
      <w:r>
        <w:rPr>
          <w:rFonts w:ascii="Arial" w:hAnsi="Arial"/>
          <w:b/>
          <w:color w:val="1B3A5C"/>
          <w:sz w:val="18"/>
        </w:rPr>
        <w:t xml:space="preserve">[Макроэкономика и финансирование девелопмента / Себестоимость и маржинальность] </w:t>
      </w:r>
      <w:r>
        <w:rPr>
          <w:rFonts w:ascii="Arial" w:hAnsi="Arial"/>
          <w:sz w:val="18"/>
        </w:rPr>
        <w:t>Расчетный прогноз предполагает среднегодовой рост себестоимости на 4,0–5,0% до 2030 года, что приведет к увеличению стоимости на 30,4% к уровню 2024 года.  —  https://minstroyrf.gov.ru/trades/tsenoobrazovanie/indeksy-izmeneniya-smetnoy-stoimosti/</w:t>
      </w:r>
    </w:p>
    <w:p>
      <w:r>
        <w:br w:type="page"/>
      </w:r>
    </w:p>
    <w:p>
      <w:pPr>
        <w:pStyle w:val="Heading1"/>
      </w:pPr>
      <w:r>
        <w:rPr>
          <w:rFonts w:ascii="Arial" w:hAnsi="Arial"/>
          <w:color w:val="1B3A5C"/>
        </w:rPr>
        <w:t>Приложение B. Пробелы и куда копать</w:t>
      </w:r>
    </w:p>
    <w:p>
      <w:pPr>
        <w:pStyle w:val="Heading3"/>
      </w:pPr>
      <w:r>
        <w:rPr>
          <w:rFonts w:ascii="Arial" w:hAnsi="Arial"/>
          <w:color w:val="1B3A5C"/>
        </w:rPr>
        <w:t>Технологии и цифровизация строительства / Глобальные инновации</w:t>
      </w:r>
    </w:p>
    <w:p>
      <w:pPr>
        <w:pStyle w:val="ListBullet"/>
      </w:pPr>
      <w:r>
        <w:rPr>
          <w:rFonts w:ascii="Arial" w:hAnsi="Arial"/>
          <w:sz w:val="20"/>
        </w:rPr>
        <w:t>Найти прямые отчёты McKinsey, BCG, Gartner по цифровизации и автоматизации строительства на 2024–2030 гг. (требует доступа к платным базам или отраслевым архивам).</w:t>
      </w:r>
    </w:p>
    <w:p>
      <w:pPr>
        <w:pStyle w:val="ListBullet"/>
      </w:pPr>
      <w:r>
        <w:rPr>
          <w:rFonts w:ascii="Arial" w:hAnsi="Arial"/>
          <w:sz w:val="20"/>
        </w:rPr>
        <w:t>Собрать актуальные кейсы и статус коммерциализации роботов-каменщиков (Hadrian X, SAM100) за 2023–2025 гг. для оценки жизнеспособности направления.</w:t>
      </w:r>
    </w:p>
    <w:p>
      <w:pPr>
        <w:pStyle w:val="ListBullet"/>
      </w:pPr>
      <w:r>
        <w:rPr>
          <w:rFonts w:ascii="Arial" w:hAnsi="Arial"/>
          <w:sz w:val="20"/>
        </w:rPr>
        <w:t>Найти пооперационные cost-модели строительных проектов с явной долей автоматизированных процессов и ИИ в структуре себестоимости.</w:t>
      </w:r>
    </w:p>
    <w:p>
      <w:pPr>
        <w:pStyle w:val="ListBullet"/>
      </w:pPr>
      <w:r>
        <w:rPr>
          <w:rFonts w:ascii="Arial" w:hAnsi="Arial"/>
          <w:sz w:val="20"/>
        </w:rPr>
        <w:t>Проанализировать нормативные барьеры для 3D-печати в ЕС/США/ОАЭ для сравнительного анализа с регуляторной песочницей РФ.</w:t>
      </w:r>
    </w:p>
    <w:p>
      <w:pPr>
        <w:pStyle w:val="Heading3"/>
      </w:pPr>
      <w:r>
        <w:rPr>
          <w:rFonts w:ascii="Arial" w:hAnsi="Arial"/>
          <w:color w:val="1B3A5C"/>
        </w:rPr>
        <w:t>Технологии и цифровизация строительства / Нормативная адаптация в РФ</w:t>
      </w:r>
    </w:p>
    <w:p>
      <w:pPr>
        <w:pStyle w:val="ListBullet"/>
      </w:pPr>
      <w:r>
        <w:rPr>
          <w:rFonts w:ascii="Arial" w:hAnsi="Arial"/>
          <w:sz w:val="20"/>
        </w:rPr>
        <w:t>Запросить полные тексты ГОСТ Р 10.00.00.05-2025 и ГОСТ Р 10.00.00.01-2025 для анализа конкретных штрафных санкций и механизмов контроля соблюдения.</w:t>
      </w:r>
    </w:p>
    <w:p>
      <w:pPr>
        <w:pStyle w:val="ListBullet"/>
      </w:pPr>
      <w:r>
        <w:rPr>
          <w:rFonts w:ascii="Arial" w:hAnsi="Arial"/>
          <w:sz w:val="20"/>
        </w:rPr>
        <w:t>Найти количественные данные о фактической доле проектов, прошедших Госэкспертизу через XML-схемы и СОД в 2023–2024 гг., для оценки текущей зрелости инфраструктуры.</w:t>
      </w:r>
    </w:p>
    <w:p>
      <w:pPr>
        <w:pStyle w:val="ListBullet"/>
      </w:pPr>
      <w:r>
        <w:rPr>
          <w:rFonts w:ascii="Arial" w:hAnsi="Arial"/>
          <w:sz w:val="20"/>
        </w:rPr>
        <w:t>Выявить конкретные нормативные барьеры для сертификации и допуска к эксплуатации строительных роботов и автономной техники (ГОСТы, СНиПы, требования Ростехнадзора).</w:t>
      </w:r>
    </w:p>
    <w:p>
      <w:pPr>
        <w:pStyle w:val="ListBullet"/>
      </w:pPr>
      <w:r>
        <w:rPr>
          <w:rFonts w:ascii="Arial" w:hAnsi="Arial"/>
          <w:sz w:val="20"/>
        </w:rPr>
        <w:t>Проанализировать бюджетные меры поддержки (субсидии, налоговые льготы) для МСП при переходе на отечественное САПР/ТИМ, так как текущие данные охватывают только крупные предприятия.</w:t>
      </w:r>
    </w:p>
    <w:p>
      <w:pPr>
        <w:pStyle w:val="ListBullet"/>
      </w:pPr>
      <w:r>
        <w:rPr>
          <w:rFonts w:ascii="Arial" w:hAnsi="Arial"/>
          <w:sz w:val="20"/>
        </w:rPr>
        <w:t>Уточнить механизмы принудительного исполнения Постановления № 331: приостановка разрешений на строительство, административные штрафы или отзыв лицензий.</w:t>
      </w:r>
    </w:p>
    <w:p>
      <w:pPr>
        <w:pStyle w:val="Heading3"/>
      </w:pPr>
      <w:r>
        <w:rPr>
          <w:rFonts w:ascii="Arial" w:hAnsi="Arial"/>
          <w:color w:val="1B3A5C"/>
        </w:rPr>
        <w:t>Технологии и цифровизация строительства / Экономика внедрения</w:t>
      </w:r>
    </w:p>
    <w:p>
      <w:pPr>
        <w:pStyle w:val="ListBullet"/>
      </w:pPr>
      <w:r>
        <w:rPr>
          <w:rFonts w:ascii="Arial" w:hAnsi="Arial"/>
          <w:sz w:val="20"/>
        </w:rPr>
        <w:t>Запросить у Минцифры и ФНС агрегированные данные о фактических затратах девелоперов на параллельный импорт BIM-оборудования и лицензий в 2023–2025 гг. для верификации экспертной оценки наценки 20–50%.</w:t>
      </w:r>
    </w:p>
    <w:p>
      <w:pPr>
        <w:pStyle w:val="ListBullet"/>
      </w:pPr>
      <w:r>
        <w:rPr>
          <w:rFonts w:ascii="Arial" w:hAnsi="Arial"/>
          <w:sz w:val="20"/>
        </w:rPr>
        <w:t>Найти внутренние управленческие отчеты или презентации для инвесторов ПИК/Самолет с разбивкой IT-CAPEX и OPEX по направлениям (BIM, ИИ, ERP, IoT) для расчета реального ROI.</w:t>
      </w:r>
    </w:p>
    <w:p>
      <w:pPr>
        <w:pStyle w:val="ListBullet"/>
      </w:pPr>
      <w:r>
        <w:rPr>
          <w:rFonts w:ascii="Arial" w:hAnsi="Arial"/>
          <w:sz w:val="20"/>
        </w:rPr>
        <w:t>Заказать анализ влияния цифровизации на себестоимость 1 м² в сегментах эконом/комфорт/бизнес через отраслевые отчеты ЦИАН, ДОМ.РФ или Knight Frank за 2024–2025 гг.</w:t>
      </w:r>
    </w:p>
    <w:p>
      <w:pPr>
        <w:pStyle w:val="ListBullet"/>
      </w:pPr>
      <w:r>
        <w:rPr>
          <w:rFonts w:ascii="Arial" w:hAnsi="Arial"/>
          <w:sz w:val="20"/>
        </w:rPr>
        <w:t>Собрать данные о доле девелоперов, использующих отечественное ПО (1С, Renga, NanoCAD) вместо западных аналогов (Autodesk, Bentley), и сравнить стоимость владения (TCO) за 3 года.</w:t>
      </w:r>
    </w:p>
    <w:p>
      <w:pPr>
        <w:pStyle w:val="Heading3"/>
      </w:pPr>
      <w:r>
        <w:rPr>
          <w:rFonts w:ascii="Arial" w:hAnsi="Arial"/>
          <w:color w:val="1B3A5C"/>
        </w:rPr>
        <w:t>Демография и миграционные потоки / Глобальные демографические сдвиги</w:t>
      </w:r>
    </w:p>
    <w:p>
      <w:pPr>
        <w:pStyle w:val="ListBullet"/>
      </w:pPr>
      <w:r>
        <w:rPr>
          <w:rFonts w:ascii="Arial" w:hAnsi="Arial"/>
          <w:sz w:val="20"/>
        </w:rPr>
        <w:t>Запросить прямые прогнозы ООН/World Bank по среднему размеру домохозяйств и доле населения старше 65 лет к 2030 году с разбивкой по регионам.</w:t>
      </w:r>
    </w:p>
    <w:p>
      <w:pPr>
        <w:pStyle w:val="ListBullet"/>
      </w:pPr>
      <w:r>
        <w:rPr>
          <w:rFonts w:ascii="Arial" w:hAnsi="Arial"/>
          <w:sz w:val="20"/>
        </w:rPr>
        <w:t>Найти количественные отчёты (Eurostat, JLL Residential, McKinsey 2023–2025) с коэффициентами корреляции между демографическими когортами и спросом на конкретные типы жилья в США, ЕС и Азии.</w:t>
      </w:r>
    </w:p>
    <w:p>
      <w:pPr>
        <w:pStyle w:val="ListBullet"/>
      </w:pPr>
      <w:r>
        <w:rPr>
          <w:rFonts w:ascii="Arial" w:hAnsi="Arial"/>
          <w:sz w:val="20"/>
        </w:rPr>
        <w:t>Запросить экономическое моделирование влияния внутренних климатических миграционных коридоров на цены аренды и покупки жилья в умеренных широтах (Северная Америка, Северная Европа, Юг России).</w:t>
      </w:r>
    </w:p>
    <w:p>
      <w:pPr>
        <w:pStyle w:val="ListBullet"/>
      </w:pPr>
      <w:r>
        <w:rPr>
          <w:rFonts w:ascii="Arial" w:hAnsi="Arial"/>
          <w:sz w:val="20"/>
        </w:rPr>
        <w:t>Выявить данные о текущей ёмкости и темпах ввода специализированного жилья (senior living) в развивающихся экономиках vs развитых рынках для оценки глобального масштаба тренда.</w:t>
      </w:r>
    </w:p>
    <w:p>
      <w:pPr>
        <w:pStyle w:val="Heading3"/>
      </w:pPr>
      <w:r>
        <w:rPr>
          <w:rFonts w:ascii="Arial" w:hAnsi="Arial"/>
          <w:color w:val="1B3A5C"/>
        </w:rPr>
        <w:t>Демография и миграционные потоки / Миграционная динамика в РФ</w:t>
      </w:r>
    </w:p>
    <w:p>
      <w:pPr>
        <w:pStyle w:val="ListBullet"/>
      </w:pPr>
      <w:r>
        <w:rPr>
          <w:rFonts w:ascii="Arial" w:hAnsi="Arial"/>
          <w:sz w:val="20"/>
        </w:rPr>
        <w:t>Запросить свежие ведомственные отчёты МВД РФ за 2024–2025 гг. по внутренней миграции с разбивкой по федеральным округам для верификации экспертных экстраполяций.</w:t>
      </w:r>
    </w:p>
    <w:p>
      <w:pPr>
        <w:pStyle w:val="ListBullet"/>
      </w:pPr>
      <w:r>
        <w:rPr>
          <w:rFonts w:ascii="Arial" w:hAnsi="Arial"/>
          <w:sz w:val="20"/>
        </w:rPr>
        <w:t>Найти количественные метрики влияния миграционных потоков на ставки аренды и уровень вакантности в Москве, МО и Краснодарском крае (данные ЦИАН, Дом.РФ, аналитические отчёты риелторских агентств).</w:t>
      </w:r>
    </w:p>
    <w:p>
      <w:pPr>
        <w:pStyle w:val="ListBullet"/>
      </w:pPr>
      <w:r>
        <w:rPr>
          <w:rFonts w:ascii="Arial" w:hAnsi="Arial"/>
          <w:sz w:val="20"/>
        </w:rPr>
        <w:t>Дозапросить экономические модели ВШЭ или данные Росстата/РАН по динамике доходов и покупательной способности когорты 25–45 лет для связки демографических прогнозов с потребительским спросом.</w:t>
      </w:r>
    </w:p>
    <w:p>
      <w:pPr>
        <w:pStyle w:val="ListBullet"/>
      </w:pPr>
      <w:r>
        <w:rPr>
          <w:rFonts w:ascii="Arial" w:hAnsi="Arial"/>
          <w:sz w:val="20"/>
        </w:rPr>
        <w:t>Уточнить методологию учёта МВД: разграничить показатели «въездов» (12 млн в 2023 г.) и «постоянного/временного пребывания» (5,7 млн в 2025 г.) для корректной оценки реального миграционного сальдо.</w:t>
      </w:r>
    </w:p>
    <w:p>
      <w:pPr>
        <w:pStyle w:val="Heading3"/>
      </w:pPr>
      <w:r>
        <w:rPr>
          <w:rFonts w:ascii="Arial" w:hAnsi="Arial"/>
          <w:color w:val="1B3A5C"/>
        </w:rPr>
        <w:t>Демография и миграционные потоки / Структура домохозяйств и типология спроса</w:t>
      </w:r>
    </w:p>
    <w:p>
      <w:pPr>
        <w:pStyle w:val="ListBullet"/>
      </w:pPr>
      <w:r>
        <w:rPr>
          <w:rFonts w:ascii="Arial" w:hAnsi="Arial"/>
          <w:sz w:val="20"/>
        </w:rPr>
        <w:t>Отсутствуют свежие (2023–2025) данные Росстата/ВЦИОМ по динамике многопоколенных домохозяйств и их конкретным требованиям к планировкам (отдельные входы, санузлы, зоны приватности).</w:t>
      </w:r>
    </w:p>
    <w:p>
      <w:pPr>
        <w:pStyle w:val="ListBullet"/>
      </w:pPr>
      <w:r>
        <w:rPr>
          <w:rFonts w:ascii="Arial" w:hAnsi="Arial"/>
          <w:sz w:val="20"/>
        </w:rPr>
        <w:t>Нет детализированной аналитики ЦИАН/ДОМ.РФ по структуре спроса на ИЖС в привязке к доходу домохозяйств и доступности инженерных сетей в пригородах.</w:t>
      </w:r>
    </w:p>
    <w:p>
      <w:pPr>
        <w:pStyle w:val="ListBullet"/>
      </w:pPr>
      <w:r>
        <w:rPr>
          <w:rFonts w:ascii="Arial" w:hAnsi="Arial"/>
          <w:sz w:val="20"/>
        </w:rPr>
        <w:t>Отсутствуют количественные оценки влияния отмены/изменения льготных ипотечных программ на соотношение спроса МКД/ИЖС в 2024–2025 гг.</w:t>
      </w:r>
    </w:p>
    <w:p>
      <w:pPr>
        <w:pStyle w:val="ListBullet"/>
      </w:pPr>
      <w:r>
        <w:rPr>
          <w:rFonts w:ascii="Arial" w:hAnsi="Arial"/>
          <w:sz w:val="20"/>
        </w:rPr>
        <w:t>Не раскрыта типология арендного спроса одиноких домохозяйств: доля корпоративной аренды, сервисных апартаментов и классических студий в городах-миллионниках.</w:t>
      </w:r>
    </w:p>
    <w:p>
      <w:pPr>
        <w:pStyle w:val="Heading3"/>
      </w:pPr>
      <w:r>
        <w:rPr>
          <w:rFonts w:ascii="Arial" w:hAnsi="Arial"/>
          <w:color w:val="1B3A5C"/>
        </w:rPr>
        <w:t>Макроэкономика и финансирование девелопмента / Глобальные финансовые и логистические тренды</w:t>
      </w:r>
    </w:p>
    <w:p>
      <w:pPr>
        <w:pStyle w:val="ListBullet"/>
      </w:pPr>
      <w:r>
        <w:rPr>
          <w:rFonts w:ascii="Arial" w:hAnsi="Arial"/>
          <w:sz w:val="20"/>
        </w:rPr>
        <w:t>Запросить данные из IMF Global Financial Stability Report (2024–2025) по прямым прогнозам cap rates и WACC для коммерческой и жилой недвижимости в развитых и развивающихся экономиках.</w:t>
      </w:r>
    </w:p>
    <w:p>
      <w:pPr>
        <w:pStyle w:val="ListBullet"/>
      </w:pPr>
      <w:r>
        <w:rPr>
          <w:rFonts w:ascii="Arial" w:hAnsi="Arial"/>
          <w:sz w:val="20"/>
        </w:rPr>
        <w:t>Найти детализированные отчёты по рынку строительного стекла (цены, логистические маршруты, доля импорта/экспорта) в условиях переориентации цепочек поставок.</w:t>
      </w:r>
    </w:p>
    <w:p>
      <w:pPr>
        <w:pStyle w:val="ListBullet"/>
      </w:pPr>
      <w:r>
        <w:rPr>
          <w:rFonts w:ascii="Arial" w:hAnsi="Arial"/>
          <w:sz w:val="20"/>
        </w:rPr>
        <w:t>Сравнить фактические условия привлечения private credit в РФ (ставки, ковенанты, сроки) с классическим банковским проектным финансированием для девелопмента.</w:t>
      </w:r>
    </w:p>
    <w:p>
      <w:pPr>
        <w:pStyle w:val="ListBullet"/>
      </w:pPr>
      <w:r>
        <w:rPr>
          <w:rFonts w:ascii="Arial" w:hAnsi="Arial"/>
          <w:sz w:val="20"/>
        </w:rPr>
        <w:t>Оценить количественный эффект ESG-премии и налоговых льгот на снижение стоимости капитала для зелёных строительных проектов в России.</w:t>
      </w:r>
    </w:p>
    <w:p>
      <w:pPr>
        <w:pStyle w:val="ListBullet"/>
      </w:pPr>
      <w:r>
        <w:rPr>
          <w:rFonts w:ascii="Arial" w:hAnsi="Arial"/>
          <w:sz w:val="20"/>
        </w:rPr>
        <w:t>Проанализировать влияние тарифной политики РЖД на себестоимость доставки цемента и металла в ключевые агломерации (Москва, СПб, Екатеринбург, Краснодар).</w:t>
      </w:r>
    </w:p>
    <w:p>
      <w:pPr>
        <w:pStyle w:val="Heading3"/>
      </w:pPr>
      <w:r>
        <w:rPr>
          <w:rFonts w:ascii="Arial" w:hAnsi="Arial"/>
          <w:color w:val="1B3A5C"/>
        </w:rPr>
        <w:t>Макроэкономика и финансирование девелопмента / Российская финансовая экосистема</w:t>
      </w:r>
    </w:p>
    <w:p>
      <w:pPr>
        <w:pStyle w:val="ListBullet"/>
      </w:pPr>
      <w:r>
        <w:rPr>
          <w:rFonts w:ascii="Arial" w:hAnsi="Arial"/>
          <w:sz w:val="20"/>
        </w:rPr>
        <w:t>Отсутствуют прямые прогнозы ДОМ.РФ по абсолютным объёмам выдачи ипотеки в денежном выражении до 2030 года.</w:t>
      </w:r>
    </w:p>
    <w:p>
      <w:pPr>
        <w:pStyle w:val="ListBullet"/>
      </w:pPr>
      <w:r>
        <w:rPr>
          <w:rFonts w:ascii="Arial" w:hAnsi="Arial"/>
          <w:sz w:val="20"/>
        </w:rPr>
        <w:t>Нет текстов утверждённых поправок к 214-ФЗ за 2024–2025 гг. и официальной методологии расчёта требований к капиталу застройщиков.</w:t>
      </w:r>
    </w:p>
    <w:p>
      <w:pPr>
        <w:pStyle w:val="ListBullet"/>
      </w:pPr>
      <w:r>
        <w:rPr>
          <w:rFonts w:ascii="Arial" w:hAnsi="Arial"/>
          <w:sz w:val="20"/>
        </w:rPr>
        <w:t>Отсутствуют первичные данные банков по скоринговым моделям для девелоперов (коэффициенты LTV, DSCR, требования к залогу и гарантии).</w:t>
      </w:r>
    </w:p>
    <w:p>
      <w:pPr>
        <w:pStyle w:val="ListBullet"/>
      </w:pPr>
      <w:r>
        <w:rPr>
          <w:rFonts w:ascii="Arial" w:hAnsi="Arial"/>
          <w:sz w:val="20"/>
        </w:rPr>
        <w:t>Нет фактической статистики банкротств девелоперов за 2024–2025 гг. для верификации прогнозных оценок о «волне дефолтов».</w:t>
      </w:r>
    </w:p>
    <w:p>
      <w:pPr>
        <w:pStyle w:val="ListBullet"/>
      </w:pPr>
      <w:r>
        <w:rPr>
          <w:rFonts w:ascii="Arial" w:hAnsi="Arial"/>
          <w:sz w:val="20"/>
        </w:rPr>
        <w:t>Отсутствует детализация структуры факторингового портфеля в строительстве (доля МСБ vs крупный бизнес, средняя стоимость факторинга, сроки).</w:t>
      </w:r>
    </w:p>
    <w:p>
      <w:pPr>
        <w:pStyle w:val="Heading3"/>
      </w:pPr>
      <w:r>
        <w:rPr>
          <w:rFonts w:ascii="Arial" w:hAnsi="Arial"/>
          <w:color w:val="1B3A5C"/>
        </w:rPr>
        <w:t>Макроэкономика и финансирование девелопмента / Себестоимость и маржинальность</w:t>
      </w:r>
    </w:p>
    <w:p>
      <w:pPr>
        <w:pStyle w:val="ListBullet"/>
      </w:pPr>
      <w:r>
        <w:rPr>
          <w:rFonts w:ascii="Arial" w:hAnsi="Arial"/>
          <w:sz w:val="20"/>
        </w:rPr>
        <w:t>Найти прямые отчеты о чистой операционной маржинальности (EBITDA margin) топ-20 девелоперов РФ за 2023–2024 гг. с разбивкой по Москве и регионам.</w:t>
      </w:r>
    </w:p>
    <w:p>
      <w:pPr>
        <w:pStyle w:val="ListBullet"/>
      </w:pPr>
      <w:r>
        <w:rPr>
          <w:rFonts w:ascii="Arial" w:hAnsi="Arial"/>
          <w:sz w:val="20"/>
        </w:rPr>
        <w:t>Оценить влияние программ локализации стройматериалов (производство ЖБИ/арматуры в регионах) на снижение логистической доли в себестоимости.</w:t>
      </w:r>
    </w:p>
    <w:p>
      <w:pPr>
        <w:pStyle w:val="ListBullet"/>
      </w:pPr>
      <w:r>
        <w:rPr>
          <w:rFonts w:ascii="Arial" w:hAnsi="Arial"/>
          <w:sz w:val="20"/>
        </w:rPr>
        <w:t>Собрать данные по средневзвешенной стоимости привлечения проектного финансирования для девелоперов в 2024–2025 гг. (ставки по эскроу-счетам и корпоративным кредитам).</w:t>
      </w:r>
    </w:p>
    <w:p>
      <w:pPr>
        <w:pStyle w:val="ListBullet"/>
      </w:pPr>
      <w:r>
        <w:rPr>
          <w:rFonts w:ascii="Arial" w:hAnsi="Arial"/>
          <w:sz w:val="20"/>
        </w:rPr>
        <w:t>Найти международные бенчмарки рентабельности девелопмента (ЕС/США/Азия) за 2023–2024 гг. для сравнения с российской динамикой.</w:t>
      </w:r>
    </w:p>
    <w:p>
      <w:pPr>
        <w:pStyle w:val="ListBullet"/>
      </w:pPr>
      <w:r>
        <w:rPr>
          <w:rFonts w:ascii="Arial" w:hAnsi="Arial"/>
          <w:sz w:val="20"/>
        </w:rPr>
        <w:t>Запросить данные по доле логистики в общей сметной стоимости типового жилого проекта в Москве vs регионы (в %).</w:t>
      </w:r>
    </w:p>
    <w:p>
      <w:pPr>
        <w:pStyle w:val="Heading3"/>
      </w:pPr>
      <w:r>
        <w:rPr>
          <w:rFonts w:ascii="Arial" w:hAnsi="Arial"/>
          <w:color w:val="1B3A5C"/>
        </w:rPr>
        <w:t>Социокультурные паттерны и урбанистика / Глобальные изменения образа жизни</w:t>
      </w:r>
    </w:p>
    <w:p>
      <w:pPr>
        <w:pStyle w:val="ListBullet"/>
      </w:pPr>
      <w:r>
        <w:rPr>
          <w:rFonts w:ascii="Arial" w:hAnsi="Arial"/>
          <w:sz w:val="20"/>
        </w:rPr>
        <w:t>Отсутствуют глобальные отчёты JLL, CBRE, McKinsey, Deloitte по ко-ливингу и wellness-жилью на 2023–2025 гг. — требуется поиск в международных базах коммерческой недвижимости.</w:t>
      </w:r>
    </w:p>
    <w:p>
      <w:pPr>
        <w:pStyle w:val="ListBullet"/>
      </w:pPr>
      <w:r>
        <w:rPr>
          <w:rFonts w:ascii="Arial" w:hAnsi="Arial"/>
          <w:sz w:val="20"/>
        </w:rPr>
        <w:t>Нет метрик по фактическому спросу на сервисные квартиры в ЕС, США и Азии за 2024–2025 гг. — необходимо запросить данные по occupancy rates и среднему чеку в сегменте serviced apartments.</w:t>
      </w:r>
    </w:p>
    <w:p>
      <w:pPr>
        <w:pStyle w:val="ListBullet"/>
      </w:pPr>
      <w:r>
        <w:rPr>
          <w:rFonts w:ascii="Arial" w:hAnsi="Arial"/>
          <w:sz w:val="20"/>
        </w:rPr>
        <w:t>Отсутствуют академические исследования и данные Gensler/HOK по балансу приватности и комьюнити в развитых рынках — требуется анализ пост-пандемийных урбанистических отчётов.</w:t>
      </w:r>
    </w:p>
    <w:p>
      <w:pPr>
        <w:pStyle w:val="ListBullet"/>
      </w:pPr>
      <w:r>
        <w:rPr>
          <w:rFonts w:ascii="Arial" w:hAnsi="Arial"/>
          <w:sz w:val="20"/>
        </w:rPr>
        <w:t>Не раскрыта корреляция между ростом shared mobility и фактическим снижением парковочных норм в новых жилых проектах — нужен запрос по градостроительным регламентам и девелоперским кейсам.</w:t>
      </w:r>
    </w:p>
    <w:p>
      <w:pPr>
        <w:pStyle w:val="Heading3"/>
      </w:pPr>
      <w:r>
        <w:rPr>
          <w:rFonts w:ascii="Arial" w:hAnsi="Arial"/>
          <w:color w:val="1B3A5C"/>
        </w:rPr>
        <w:t>Социокультурные паттерны и урбанистика / Российские практики расселения</w:t>
      </w:r>
    </w:p>
    <w:p>
      <w:pPr>
        <w:pStyle w:val="ListBullet"/>
      </w:pPr>
      <w:r>
        <w:rPr>
          <w:rFonts w:ascii="Arial" w:hAnsi="Arial"/>
          <w:sz w:val="20"/>
        </w:rPr>
        <w:t>Отсутствуют свежие данные Росстата и ЦИАН за 2024–2025 гг. по фактической заполняемости пригородных посёлков (сезонная vs круглогодичная) и динамике цен на таунхаусы.</w:t>
      </w:r>
    </w:p>
    <w:p>
      <w:pPr>
        <w:pStyle w:val="ListBullet"/>
      </w:pPr>
      <w:r>
        <w:rPr>
          <w:rFonts w:ascii="Arial" w:hAnsi="Arial"/>
          <w:sz w:val="20"/>
        </w:rPr>
        <w:t>Нет региональной разбивки спроса на ИЖС: неясно, является ли рост на 512 тыс. домов общероссийским трендом или сконцентрирован в 3–5 крупнейших агломерациях.</w:t>
      </w:r>
    </w:p>
    <w:p>
      <w:pPr>
        <w:pStyle w:val="ListBullet"/>
      </w:pPr>
      <w:r>
        <w:rPr>
          <w:rFonts w:ascii="Arial" w:hAnsi="Arial"/>
          <w:sz w:val="20"/>
        </w:rPr>
        <w:t>Отсутствует анализ корреляции между отменой/изменением льготных ипотечных программ и долей инвестиционных сделок (47%) на вторичном рынке.</w:t>
      </w:r>
    </w:p>
    <w:p>
      <w:pPr>
        <w:pStyle w:val="ListBullet"/>
      </w:pPr>
      <w:r>
        <w:rPr>
          <w:rFonts w:ascii="Arial" w:hAnsi="Arial"/>
          <w:sz w:val="20"/>
        </w:rPr>
        <w:t>Нет данных о фактической реализации нормативов благоустройства дворов (30% озеленения, инклюзивность) за пределами Москвы и Санкт-Петербурга.</w:t>
      </w:r>
    </w:p>
    <w:p>
      <w:pPr>
        <w:pStyle w:val="ListBullet"/>
      </w:pPr>
      <w:r>
        <w:rPr>
          <w:rFonts w:ascii="Arial" w:hAnsi="Arial"/>
          <w:sz w:val="20"/>
        </w:rPr>
        <w:t>Не исследована роль цифровых платформ и удалённой работы в изменении паттернов расселения после 2022 года.</w:t>
      </w:r>
    </w:p>
    <w:p>
      <w:pPr>
        <w:pStyle w:val="Heading3"/>
      </w:pPr>
      <w:r>
        <w:rPr>
          <w:rFonts w:ascii="Arial" w:hAnsi="Arial"/>
          <w:color w:val="1B3A5C"/>
        </w:rPr>
        <w:t>Социокультурные паттерны и урбанистика / Архитектурно-планировочные решения</w:t>
      </w:r>
    </w:p>
    <w:p>
      <w:pPr>
        <w:pStyle w:val="ListBullet"/>
      </w:pPr>
      <w:r>
        <w:rPr>
          <w:rFonts w:ascii="Arial" w:hAnsi="Arial"/>
          <w:sz w:val="20"/>
        </w:rPr>
        <w:t>Отсутствуют данные о реальной доле smart-home систем в сданных ЖК РФ (2023–2025) и их влиянии на цену квадратного метра.</w:t>
      </w:r>
    </w:p>
    <w:p>
      <w:pPr>
        <w:pStyle w:val="ListBullet"/>
      </w:pPr>
      <w:r>
        <w:rPr>
          <w:rFonts w:ascii="Arial" w:hAnsi="Arial"/>
          <w:sz w:val="20"/>
        </w:rPr>
        <w:t>Нет статистики по удовлетворённости жильцов гибкими планировками и частоте легализованных перепланировок после сдачи объекта.</w:t>
      </w:r>
    </w:p>
    <w:p>
      <w:pPr>
        <w:pStyle w:val="ListBullet"/>
      </w:pPr>
      <w:r>
        <w:rPr>
          <w:rFonts w:ascii="Arial" w:hAnsi="Arial"/>
          <w:sz w:val="20"/>
        </w:rPr>
        <w:t>Не найдены муниципальные стратегии развития mixed-use в регионах (кроме Новосибирска) и расчёты рентабельности таких проектов при текущих ставках ЦБ.</w:t>
      </w:r>
    </w:p>
    <w:p>
      <w:pPr>
        <w:pStyle w:val="ListBullet"/>
      </w:pPr>
      <w:r>
        <w:rPr>
          <w:rFonts w:ascii="Arial" w:hAnsi="Arial"/>
          <w:sz w:val="20"/>
        </w:rPr>
        <w:t>Отсутствуют прямые сравнительные замеры фактической инсоляции и уровня шума в типовых новостройках РФ против заявленных нормативов СП.</w:t>
      </w:r>
    </w:p>
    <w:p>
      <w:pPr>
        <w:pStyle w:val="ListBullet"/>
      </w:pPr>
      <w:r>
        <w:rPr>
          <w:rFonts w:ascii="Arial" w:hAnsi="Arial"/>
          <w:sz w:val="20"/>
        </w:rPr>
        <w:t>Нет данных о том, как девелоперы компенсируют мягкие нормативы (шум, свет) в премиум-сегменте: используются ли дополнительные материалы или архитектурные приёмы.</w:t>
      </w:r>
    </w:p>
    <w:p>
      <w:pPr>
        <w:pStyle w:val="Heading3"/>
      </w:pPr>
      <w:r>
        <w:rPr>
          <w:rFonts w:ascii="Arial" w:hAnsi="Arial"/>
          <w:color w:val="1B3A5C"/>
        </w:rPr>
        <w:t>Экология и климатическая адаптация / Глобальные климатические риски и ESG</w:t>
      </w:r>
    </w:p>
    <w:p>
      <w:pPr>
        <w:pStyle w:val="ListBullet"/>
      </w:pPr>
      <w:r>
        <w:rPr>
          <w:rFonts w:ascii="Arial" w:hAnsi="Arial"/>
          <w:sz w:val="20"/>
        </w:rPr>
        <w:t>Найти прямые тексты финальных правил SEC и регламентов EU CBAM с количественной оценкой влияния на EBITDA и CAPEX девелоперов в ЕС и США за 2023–2025 гг.</w:t>
      </w:r>
    </w:p>
    <w:p>
      <w:pPr>
        <w:pStyle w:val="ListBullet"/>
      </w:pPr>
      <w:r>
        <w:rPr>
          <w:rFonts w:ascii="Arial" w:hAnsi="Arial"/>
          <w:sz w:val="20"/>
        </w:rPr>
        <w:t>Оценить динамику цен на углеродные единицы в РФ и ЕС за последние 3 года и спрогнозировать их влияние на себестоимость строительства при сценариях 1,5°C и 2°C.</w:t>
      </w:r>
    </w:p>
    <w:p>
      <w:pPr>
        <w:pStyle w:val="ListBullet"/>
      </w:pPr>
      <w:r>
        <w:rPr>
          <w:rFonts w:ascii="Arial" w:hAnsi="Arial"/>
          <w:sz w:val="20"/>
        </w:rPr>
        <w:t>Собрать данные о фактической реализации ESG-премий (9% к стоимости активов) в сделках M&amp;A и IPO на рынке недвижимости за 2024–2025 гг., чтобы проверить репрезентативность заявленных цифр.</w:t>
      </w:r>
    </w:p>
    <w:p>
      <w:pPr>
        <w:pStyle w:val="ListBullet"/>
      </w:pPr>
      <w:r>
        <w:rPr>
          <w:rFonts w:ascii="Arial" w:hAnsi="Arial"/>
          <w:sz w:val="20"/>
        </w:rPr>
        <w:t>Найти отчёты GRESB/MSCI за 2024–2025 гг. с разбивкой по регионам для верификации тренда фрагментарной вовлечённости девелоперов в ESG.</w:t>
      </w:r>
    </w:p>
    <w:p>
      <w:pPr>
        <w:pStyle w:val="Heading3"/>
      </w:pPr>
      <w:r>
        <w:rPr>
          <w:rFonts w:ascii="Arial" w:hAnsi="Arial"/>
          <w:color w:val="1B3A5C"/>
        </w:rPr>
        <w:t>Экология и климатическая адаптация / Климатические изменения в РФ</w:t>
      </w:r>
    </w:p>
    <w:p>
      <w:pPr>
        <w:pStyle w:val="ListBullet"/>
      </w:pPr>
      <w:r>
        <w:rPr>
          <w:rFonts w:ascii="Arial" w:hAnsi="Arial"/>
          <w:sz w:val="20"/>
        </w:rPr>
        <w:t>Запросить прямые количественные прогнозы деградации вечной мерзлоты (глубина протаивания, смещение границ) до 2030 года из специализированных отчётов Института мерзлотоведения СО РАН или Росгидромета.</w:t>
      </w:r>
    </w:p>
    <w:p>
      <w:pPr>
        <w:pStyle w:val="ListBullet"/>
      </w:pPr>
      <w:r>
        <w:rPr>
          <w:rFonts w:ascii="Arial" w:hAnsi="Arial"/>
          <w:sz w:val="20"/>
        </w:rPr>
        <w:t>Найти актуальные региональные данные по страховым тарифам на имущество физических лиц за 2023–2025 гг. в отчётах ЦБ РФ или крупнейших страховых компаний для верификации корреляции с климатическими рисками.</w:t>
      </w:r>
    </w:p>
    <w:p>
      <w:pPr>
        <w:pStyle w:val="ListBullet"/>
      </w:pPr>
      <w:r>
        <w:rPr>
          <w:rFonts w:ascii="Arial" w:hAnsi="Arial"/>
          <w:sz w:val="20"/>
        </w:rPr>
        <w:t>Запросить у НИИ строительной физики или профильных вузов данные о фактическом расхождении эмпирических климатических нагрузок (ветер, температура, осадки) за 2020–2024 гг. с расчётными значениями действующих СП.</w:t>
      </w:r>
    </w:p>
    <w:p>
      <w:pPr>
        <w:pStyle w:val="ListBullet"/>
      </w:pPr>
      <w:r>
        <w:rPr>
          <w:rFonts w:ascii="Arial" w:hAnsi="Arial"/>
          <w:sz w:val="20"/>
        </w:rPr>
        <w:t>Собрать статистику ущерба жилой инфраструктуре от каскадных событий (пожар → эрозия → паводок) в Якутии и ХМАО за 2022–2024 гг. для оценки экономической эффективности текущих дренажных норм.</w:t>
      </w:r>
    </w:p>
    <w:p>
      <w:pPr>
        <w:pStyle w:val="Heading3"/>
      </w:pPr>
      <w:r>
        <w:rPr>
          <w:rFonts w:ascii="Arial" w:hAnsi="Arial"/>
          <w:color w:val="1B3A5C"/>
        </w:rPr>
        <w:t>Экология и климатическая адаптация / Зелёные материалы и рыночный спрос</w:t>
      </w:r>
    </w:p>
    <w:p>
      <w:pPr>
        <w:pStyle w:val="ListBullet"/>
      </w:pPr>
      <w:r>
        <w:rPr>
          <w:rFonts w:ascii="Arial" w:hAnsi="Arial"/>
          <w:sz w:val="20"/>
        </w:rPr>
        <w:t>Найти прямые данные по премии к арендным ставкам и цене продажи для объектов с сертификацией Green Zoom в РФ за 2023–2025 гг. (заменить зарубежные аналоги локальной аналитикой ЦИАН/ДОМ.РФ).</w:t>
      </w:r>
    </w:p>
    <w:p>
      <w:pPr>
        <w:pStyle w:val="ListBullet"/>
      </w:pPr>
      <w:r>
        <w:rPr>
          <w:rFonts w:ascii="Arial" w:hAnsi="Arial"/>
          <w:sz w:val="20"/>
        </w:rPr>
        <w:t>Запросить отраслевые отчёты производителей по объёмам рынка CLT, переработанного бетона и низкоуглеродного цемента в РФ.</w:t>
      </w:r>
    </w:p>
    <w:p>
      <w:pPr>
        <w:pStyle w:val="ListBullet"/>
      </w:pPr>
      <w:r>
        <w:rPr>
          <w:rFonts w:ascii="Arial" w:hAnsi="Arial"/>
          <w:sz w:val="20"/>
        </w:rPr>
        <w:t>Найти кейсы энергоаудита реальных ЖК с тепловыми насосами и рекуперацией за 2023–2024 гг. для верификации расчётных показателей OPEX.</w:t>
      </w:r>
    </w:p>
    <w:p>
      <w:pPr>
        <w:pStyle w:val="ListBullet"/>
      </w:pPr>
      <w:r>
        <w:rPr>
          <w:rFonts w:ascii="Arial" w:hAnsi="Arial"/>
          <w:sz w:val="20"/>
        </w:rPr>
        <w:t>Оценить влияние потенциального ужесточения тарифов на электроэнергию и газ на срок окупаемости энергоэффективных решений в разных регионах РФ.</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