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rPr>
          <w:trHeight w:val="1200" w:hRule="exact"/>
        </w:trP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F3A5F" w:color="auto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32"/>
                <w:szCs w:val="32"/>
              </w:rPr>
              <w:t xml:space="preserve">Аналитический отчёт</w:t>
            </w:r>
          </w:p>
        </w:tc>
      </w:tr>
    </w:tbl>
    <w:p>
      <w:pPr>
        <w:spacing w:after="300" w:before="0"/>
      </w:pPr>
    </w:p>
    <w:p>
      <w:pPr>
        <w:spacing w:after="240" w:before="0"/>
      </w:pPr>
      <w:r>
        <w:rPr>
          <w:rFonts w:ascii="Calibri" w:cs="Calibri" w:eastAsia="Calibri" w:hAnsi="Calibri"/>
          <w:b/>
          <w:bCs/>
          <w:color w:val="1F3A5F"/>
          <w:sz w:val="72"/>
          <w:szCs w:val="72"/>
        </w:rPr>
        <w:t xml:space="preserve">Какие тренды повлияют на девелоперов бизнес-сегмента жилья в Москве в 2026-2027?</w:t>
      </w:r>
    </w:p>
    <w:p>
      <w:pPr>
        <w:pBdr>
          <w:bottom w:val="single" w:color="C9A961" w:sz="12" w:space="1"/>
        </w:pBdr>
        <w:spacing w:after="120" w:before="120"/>
      </w:pPr>
    </w:p>
    <w:p>
      <w:pPr>
        <w:spacing w:after="20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Дата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A1A1A"/>
                <w:sz w:val="24"/>
                <w:szCs w:val="24"/>
              </w:rPr>
              <w:t xml:space="preserve">26 апреля 2026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Подготовлено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A1A1A"/>
                <w:sz w:val="24"/>
                <w:szCs w:val="24"/>
              </w:rPr>
              <w:t xml:space="preserve">Smart Report AI</w:t>
            </w:r>
          </w:p>
        </w:tc>
      </w:tr>
    </w:tbl>
    <w:p>
      <w:pPr>
        <w:spacing w:after="600" w:before="0"/>
      </w:pP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Сессия: 633e77021a47</w:t>
      </w:r>
    </w:p>
    <w:p>
      <w:r>
        <w:br/>
      </w:r>
    </w:p>
    <w:p>
      <w:pPr>
        <w:sectPr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480"/>
        <w:outlineLvl w:val="0"/>
      </w:pPr>
      <w:r>
        <w:rPr>
          <w:rFonts w:ascii="Calibri" w:cs="Calibri" w:eastAsia="Calibri" w:hAnsi="Calibri"/>
          <w:b/>
          <w:bCs/>
          <w:color w:val="1F3A5F"/>
          <w:sz w:val="64"/>
          <w:szCs w:val="64"/>
        </w:rPr>
        <w:t xml:space="preserve">Аналитическое резюме</w:t>
      </w:r>
    </w:p>
    <w:p>
      <w:pPr>
        <w:spacing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[STRONG] На девелоперов бизнес-класса Москвы в 2026–2027 годах повлияют четыре критических тренда: (1) монетарная политика ЦБ (ключевая ставка снизится с 16% до 14–15%, что восстановит спрос на ипотеку) [3]; (2) структурный сдвиг от эконом-класса (доля упала с 48,5% в декабре 2022 до 26,3% в декабре 2025) к бизнес-классу, где цены вырастут на 15–20% [1]; (3) рост себестоимости строительства на 5–7,5% в год, требующий либо повышения цен, либо технологических инноваций (модульное строительство) [9]; (4) дефицит земли и активное инвестирование в земельный банк (49 млрд рублей в первом квартале 2026) создаёт огромное конкурентное преимущество для консолидированных девелоперов [13]. Девелоперы с собственным земельным банком (ПИК, Sminex, Эталон, ГК ФСК) выиграют; игроки без земли и высокой маржой в эконом-классе проиграют.</w:t>
      </w: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Ключевые показатели</w:t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040"/>
        <w:gridCol w:w="3040"/>
        <w:gridCol w:w="3040"/>
      </w:tblGrid>
      <w:tr>
        <w:trPr>
          <w:trHeight w:val="1600"/>
        </w:trPr>
        <w:tc>
          <w:tcPr>
            <w:tcW w:type="dxa" w:w="304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F5F2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96"/>
                <w:szCs w:val="96"/>
              </w:rPr>
              <w:t xml:space="preserve">26,3%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доля эконом-класса в предложении (декабрь 2025) — упала с 48,5% в декабре 2022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Kommersant</w:t>
            </w:r>
          </w:p>
        </w:tc>
        <w:tc>
          <w:tcPr>
            <w:tcW w:type="dxa" w:w="304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F5F2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96"/>
                <w:szCs w:val="96"/>
              </w:rPr>
              <w:t xml:space="preserve">16% → 14–15%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ключевая ставка ЦБ РФ: текущая → прогноз на конец 2026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ЦБ РФ / МОИФИНАНСЫ.РФ</w:t>
            </w:r>
          </w:p>
        </w:tc>
        <w:tc>
          <w:tcPr>
            <w:tcW w:type="dxa" w:w="304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F5F2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96"/>
                <w:szCs w:val="96"/>
              </w:rPr>
              <w:t xml:space="preserve">+15–20%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прогноз роста цен в бизнес-классе (2026–2027)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РБК Недвижимость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040"/>
        <w:gridCol w:w="3040"/>
        <w:gridCol w:w="3040"/>
      </w:tblGrid>
      <w:tr>
        <w:trPr>
          <w:trHeight w:val="1600"/>
        </w:trPr>
        <w:tc>
          <w:tcPr>
            <w:tcW w:type="dxa" w:w="304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F5F2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96"/>
                <w:szCs w:val="96"/>
              </w:rPr>
              <w:t xml:space="preserve">49 млрд рублей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инвестиции в земельные площадки в первом квартале 2026 — максимум за 3 года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МИР КВАРТИР</w:t>
            </w:r>
          </w:p>
        </w:tc>
        <w:tc>
          <w:tcPr>
            <w:tcW w:type="dxa" w:w="304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F5F2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96"/>
                <w:szCs w:val="96"/>
              </w:rPr>
              <w:t xml:space="preserve">2,5x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кратность роста стоимости монолитного бетонирования (2021–2026)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Yakov Partners</w:t>
            </w:r>
          </w:p>
        </w:tc>
        <w:tc>
          <w:tcPr>
            <w:tcW w:type="dxa" w:w="304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F5F2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96"/>
                <w:szCs w:val="96"/>
              </w:rPr>
              <w:t xml:space="preserve">79% → 62%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доля льготной ипотеки: 2025 → прогноз 2026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РБК Недвижимость / Дом.РФ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rPr>
          <w:trHeight w:val="1600"/>
        </w:trPr>
        <w:tc>
          <w:tcPr>
            <w:tcW w:type="dxa" w:w="9360"/>
            <w:tcBorders>
              <w:top w:val="single" w:color="1F3A5F" w:sz="8"/>
              <w:left w:val="single" w:color="1F3A5F" w:sz="8"/>
              <w:bottom w:val="single" w:color="1F3A5F" w:sz="8"/>
              <w:right w:val="single" w:color="1F3A5F" w:sz="8"/>
            </w:tcBorders>
            <w:shd w:fill="F5F2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96"/>
                <w:szCs w:val="96"/>
              </w:rPr>
              <w:t xml:space="preserve">10–15%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доля девелоперских компаний, подвергающихся риску банкротства при снятии мораториев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Izvestia</w:t>
            </w:r>
          </w:p>
        </w:tc>
      </w:tr>
    </w:tbl>
    <w:p>
      <w:pPr>
        <w:spacing w:after="160" w:before="0"/>
      </w:pPr>
    </w:p>
    <w:p>
      <w:pPr>
        <w:spacing w:after="200" w:before="0"/>
      </w:pP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Ответы на ключевые вопросы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Какие четыре главных тренда повлияют на девелоперов бизнес-класса в 2026–2027?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C9A961"/>
          <w:sz w:val="22"/>
          <w:szCs w:val="22"/>
        </w:rPr>
        <w:t xml:space="preserve">О: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[STRONG] (1) Монетарная политика: ставка снизится с 16% до 14–15%, восстановив спрос на ипотеку [3]. (2) Структурный сдвиг: доля эконом-класса упала с 48,5% до 26,3%, бизнес-класс стал доминирующим [2]. (3) Рост себестоимости: +7,5% (2025) и +5% (2026), требующий инноваций [9]. (4) Дефицит земли: 49 млрд рублей инвестиций в первом квартале 2026 создают преимущество для консолидированных игроков [13].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Подробнее: Раздел «Четыре критических тренда» в main_synthesis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На сколько процентов вырастут цены в бизнес-классе в 2026–2027?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C9A961"/>
          <w:sz w:val="22"/>
          <w:szCs w:val="22"/>
        </w:rPr>
        <w:t xml:space="preserve">О: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[STRONG] Прогноз роста цен в бизнес-классе составляет 15–20% в 2026–2027 годах [1]. В массовом сегменте цены останутся в диапазоне –5% до +5% [1]. Средняя цена первичного рынка вырастет до 24,6 млн рублей (+19% прогноз на 2026) [1].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Подробнее: Раздел «Дифференцированная ценовая динамика» в main_synthesis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Какие девелоперы выиграют в 2026–2027, а какие проиграют?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C9A961"/>
          <w:sz w:val="22"/>
          <w:szCs w:val="22"/>
        </w:rPr>
        <w:t xml:space="preserve">О: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[MODERATE] Выиграют девелоперы с собственным земельным банком (ПИК, Sminex, Эталон, ГК ФСК), которые могут быстро запустить проекты при снижении ставок [7]. Проиграют игроки без земли и высокой маржой в эконом-классе; 10–15% девелоперских компаний подвергаются риску банкротства при снятии мораториев [20].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Подробнее: Раздел «Позиционирование девелоперов» в main_synthesis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Как изменится спрос на новостройки в 2026 году?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C9A961"/>
          <w:sz w:val="22"/>
          <w:szCs w:val="22"/>
        </w:rPr>
        <w:t xml:space="preserve">О: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[STRONG] Общий спрос на новостройки упадёт на 15% (с 24 млн до 21–22 млн кв.м) [24]. Однако это падение коснётся в основном массового сегмента; спрос в бизнес-классе останется более устойчивым [MODERATE] [2]. Доля льготной ипотеки упадёт с 79% (2025) до 62% (2026) из-за правила «одна семья – одна ипотека» [5].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Подробнее: Раздел «Падение спроса и механизмы адаптации» в main_synthesis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В: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Какие регуляторные изменения повлияют на девелоперов?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C9A961"/>
          <w:sz w:val="22"/>
          <w:szCs w:val="22"/>
        </w:rPr>
        <w:t xml:space="preserve">О: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[STRONG] Отмена моратория на неустойки (1 января 2026) означает, что 19% проектов, сдающихся с задержками, столкнутся с растущими штрафами [16]. Запрет переводов сельхозземель под жилищное строительство (1 марта 2026) закрывает варианты развития земли в подмосковных районах [14]. Правило «одна семья – одна ипотека» (1 февраля 2026) требует переборизировки портфеля [4]. НДС повышен до 22% с 01.01.2026 [17].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Подробнее: Раздел «Нормативно-правовые изменения 2026–2027» в main_synthesis</w:t>
      </w:r>
    </w:p>
    <w:p>
      <w:pPr>
        <w:spacing w:after="200" w:before="0"/>
      </w:pP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Приоритизация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600"/>
        <w:gridCol w:w="4360"/>
        <w:gridCol w:w="1200"/>
      </w:tblGrid>
      <w:tr>
        <w:trPr>
          <w:tblHeader/>
        </w:trPr>
        <w:tc>
          <w:tcPr>
            <w:tcW w:type="dxa" w:w="4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Позиция</w:t>
            </w:r>
          </w:p>
        </w:tc>
        <w:tc>
          <w:tcPr>
            <w:tcW w:type="dxa" w:w="6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Вес</w:t>
            </w:r>
          </w:p>
        </w:tc>
        <w:tc>
          <w:tcPr>
            <w:tcW w:type="dxa" w:w="436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  <w:tc>
          <w:tcPr>
            <w:tcW w:type="dxa" w:w="12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Надёжность</w:t>
            </w:r>
          </w:p>
        </w:tc>
      </w:tr>
      <w:tr>
        <w:tc>
          <w:tcPr>
            <w:tcW w:type="dxa" w:w="4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Монетарная политика ЦБ (траектория ставки)</w:t>
            </w:r>
          </w:p>
        </w:tc>
        <w:tc>
          <w:tcPr>
            <w:tcW w:type="dxa" w:w="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35</w:t>
            </w:r>
          </w:p>
        </w:tc>
        <w:tc>
          <w:tcPr>
            <w:tcW w:type="dxa" w:w="436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[STRONG] Ключевая ставка определяет доступность ипотеки и платежеспособность покупателей. Снижение с 16% до 14–15% восстановит спрос на ипотеку с 1–1,2 млн кредитов в 2026 году [REF:https://realty.rbc.ru/news/696e43069a7947bf07d55fe0]. При ставках выше 18–20% месячный платёж превышает 200 тыс. рублей, что делает кредит недоступным [REF:https://xn--80apaohbc3aw9e.xn--p1ai/article/menshe-lazeek-strozhe-pravila-kakoy-stala-ipoteka-v-2026-godu/].</w:t>
            </w:r>
          </w:p>
        </w:tc>
        <w:tc>
          <w:tcPr>
            <w:tcW w:type="dxa" w:w="1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4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Структурный сдвиг от эконом-класса к бизнес-классу</w:t>
            </w:r>
          </w:p>
        </w:tc>
        <w:tc>
          <w:tcPr>
            <w:tcW w:type="dxa" w:w="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436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[STRONG] Доля эконом-класса упала с 48,5% (декабрь 2022) до 26,3% (декабрь 2025) [REF:https://www.kommersant.ru/doc/8398544]. Бизнес-класс стал «новым массовым классом» с объёмом 6,8 млн кв.м [REF:https://finance.rambler.ru/finansovaya-gramotnost/55820436-chto-zhdet-rynok-nedvizhimosti-v-2026-godu/]. Это переформатирует портфели девелоперов и требует переборизировки.</w:t>
            </w:r>
          </w:p>
        </w:tc>
        <w:tc>
          <w:tcPr>
            <w:tcW w:type="dxa" w:w="1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4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Рост себестоимости строительства и технологические инновации</w:t>
            </w:r>
          </w:p>
        </w:tc>
        <w:tc>
          <w:tcPr>
            <w:tcW w:type="dxa" w:w="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436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[STRONG] Себестоимость растёт на 7,5% (2025) и 5% (2026) [REF:https://yakovpartners.com/publications/development-trends/]. Монолитное бетонирование подорожало в 2,5 раза за 2021–2026 годы [REF:https://yakovpartners.com/publications/development-trends/]. Модульное строительство растёт на 15–20% в год и экономит 40–60% на труде [REF:https://businessmens.ru/article/kak-otkryt-proizvodstvo-modul-nyh-domov]. Девелоперы должны либо повышать цены, либо внедрять инновации.</w:t>
            </w:r>
          </w:p>
        </w:tc>
        <w:tc>
          <w:tcPr>
            <w:tcW w:type="dxa" w:w="1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4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Дефицит земли и конкурентное преимущество земельного банка</w:t>
            </w:r>
          </w:p>
        </w:tc>
        <w:tc>
          <w:tcPr>
            <w:tcW w:type="dxa" w:w="6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436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[MODERATE] Инвестиции в земельные площадки достигли 49 млрд рублей в первом квартале 2026 — максимум за 3 года [REF:https://www.mirkvartir.ru/journal/news/2026/03/25/investicii-v/]. Свободной земли внутри МКАД крайне мало [REF:https://xn--b1agapfwapgcl.xn--p1ai/zemlja-na-ves-zolota-est-li-u-developerov-shans-najti-pribylnye-ploshhadki-v-moskve-v-2026-godu/]. Девелоперы с собственным земельным банком получают колоссальное конкурентное преимущество.</w:t>
            </w:r>
          </w:p>
        </w:tc>
        <w:tc>
          <w:tcPr>
            <w:tcW w:type="dxa" w:w="120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Высокая</w:t>
            </w:r>
          </w:p>
        </w:tc>
      </w:tr>
    </w:tbl>
    <w:p>
      <w:pPr>
        <w:spacing w:after="120" w:before="0"/>
      </w:pPr>
    </w:p>
    <w:p>
      <w:pPr>
        <w:spacing w:after="200" w:before="0"/>
      </w:pP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Ключевые выводы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[STRONG] Доля эконом-класса упала с 48,5% (декабрь 2022) до 26,3% (декабрь 2025); бизнес-класс стал «новым массовым классом» [REF:https://realty.rbc.ru/news/6943c9579a79477a72356043]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[STRONG] Ключевая ставка ЦБ составляет 16% (начало февраля 2026) с прогнозом снижения до 14–15% к концу 2026 года [REF:https://xn--80apaohbc3aw9e.xn--p1ai/article/menshe-lazeek-strozhe-pravila-kakoy-stala-ipoteka-v-2026-godu/]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[STRONG] Цены в бизнес-классе вырастут на 15–20% в 2026–2027 годах; в массовом сегменте останутся в диапазоне –5% до +5% [REF:https://realty.rbc.ru/news/6943c9579a79477a72356043]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[MODERATE] Спрос на новостройки упадёт на 15% в 2026 году (с 24 млн до 21–22 млн кв.м), но это падение коснётся в основном массового сегмента [REF:https://www.themoscowtimes.com/2026/01/06/russias-new-build-home-sales-to-fall-in-2026-state-housing-agency-says-a91615]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[STRONG] Себестоимость строительства растёт на 7,5% (2025) и 5% (2026); монолитное бетонирование подорожало в 2,5 раза за 2021–2026 годы [REF:https://yakovpartners.com/publications/development-trends/]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[MODERATE] Инвестиции в земельные площадки достигли 49 млрд рублей в первом квартале 2026 — максимум за 3 года; объём земельных покупок — более 180 гектаров (под 1,5 млн кв.м жилья) [REF:https://www.mirkvartir.ru/journal/news/2026/03/25/investicii-v/]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[MODERATE] Модульное строительство растёт на 15–20% в год и может составить 10–15% от всего жилищного строительства в России в течение 4–5 лет [REF:https://businessmens.ru/article/kak-otkryt-proizvodstvo-modul-nyh-domov]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[STRONG] Отмена моратория на неустойки (1 января 2026) и ужесточение правила «одна семья – одна льготная ипотека» (1 февраля 2026) требуют от девелоперов инвестиций в управление проектами [REF:https://realty.ria.ru/20260101/zakony-2064568838.html]</w:t>
      </w:r>
    </w:p>
    <w:p>
      <w:pPr>
        <w:spacing w:after="20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C9A961" w:sz="32"/>
              <w:bottom w:val="none" w:color="auto" w:sz="0"/>
              <w:right w:val="none" w:color="auto" w:sz="0"/>
            </w:tcBorders>
            <w:shd w:fill="F0E4C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2"/>
                <w:szCs w:val="22"/>
              </w:rPr>
              <w:t xml:space="preserve">Методологическая заметка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⚠ Низкое качество источников: найдено 1 авторитетных источника из требуемого минимума 2 (Росстат, Минстрой, ДОМ.РФ, ЕГРЮЛ, ЕРЗ, крупные международные консалтинги по недвижимости). Выводы опираются преимущественно на вторичные источники (медиа-материалы, блоги застройщиков, агрегаторы). Рассматривать как ориентировочные; верифицировать критические цифры по первичным источникам перед принятием решений.
[STRONG] Данные по макроэкономике (ставки ЦБ, объёмы ипотеки) получены из официальных источников и консенсуса рынка. [MODERATE] Прогнозы цен и объёмов основаны на аналитике консалтинговых фирм и РБК Недвижимости; они содержат элемент неопределённости из-за волатильности макроэкономики. [WEAK] Данные по инвестициям в земельный банк и модульному строительству получены из вторичных источников и требуют верификации.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br/>
              <w:t xml:space="preserve">[SPECULATIVE] Синтез выявил критическое противоречие между падением общего спроса (–15%) и ростом цен в бизнес-классе (+15–20%), что указывает на дифференциацию рынка: спрос падает в массовом сегменте, но растёт в бизнес-классе. Это позволило переформулировать вывод: не кризис, а структурная трансформация. Также синтез показал, что земельный банк — ключевой фактор выживания, а не только ценовая конкуренция (авторский синтез).</w:t>
            </w:r>
          </w:p>
        </w:tc>
      </w:tr>
    </w:tbl>
    <w:p>
      <w:pPr>
        <w:spacing w:after="200" w:before="0"/>
      </w:pPr>
    </w:p>
    <w:p>
      <w:r>
        <w:br/>
      </w:r>
    </w:p>
    <w:p>
      <w:pPr>
        <w:spacing w:after="200" w:before="480"/>
        <w:outlineLvl w:val="0"/>
      </w:pPr>
      <w:r>
        <w:rPr>
          <w:rFonts w:ascii="Calibri" w:cs="Calibri" w:eastAsia="Calibri" w:hAnsi="Calibri"/>
          <w:b/>
          <w:bCs/>
          <w:color w:val="1F3A5F"/>
          <w:sz w:val="64"/>
          <w:szCs w:val="64"/>
        </w:rPr>
        <w:t xml:space="preserve">Содержание</w:t>
      </w:r>
    </w:p>
    <w:p>
      <w:pPr>
        <w:tabs>
          <w:tab w:val="right" w:pos="9360"/>
        </w:tabs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Аналитическое резюме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Ответы на ключевые вопросы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Приоритизация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Ключевые выводы</w:t>
      </w:r>
    </w:p>
    <w:p>
      <w:pPr>
        <w:tabs>
          <w:tab w:val="right" w:pos="9360"/>
        </w:tabs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Четыре критических тренда, переформатирующих рынок бизнес-класса Москвы в 2026–2027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Тренд 1: Монетарная политика как главный драйвер спроса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Тренд 2: Структурный сдвиг от эконома к бизнес-классу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Тренд 3: Рост себестоимости строительства и технологические инновации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Тренд 4: Дефицит земли и конкурентное преимущество земельного банка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Регуляторные изменения 2026–2027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Позиционирование девелоперов: кто выиграет, кто проиграет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Сценарии на 2026–2027</w:t>
      </w:r>
    </w:p>
    <w:p>
      <w:pPr>
        <w:tabs>
          <w:tab w:val="right" w:pos="9360"/>
        </w:tabs>
        <w:spacing w:after="40" w:before="60"/>
        <w:ind w:left="72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Заключение: управляемая трансформация, а не кризис</w:t>
      </w:r>
    </w:p>
    <w:p>
      <w:pPr>
        <w:tabs>
          <w:tab w:val="right" w:pos="9360"/>
        </w:tabs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Аналитические таблицы</w:t>
      </w:r>
    </w:p>
    <w:p>
      <w:pPr>
        <w:tabs>
          <w:tab w:val="right" w:pos="9360"/>
        </w:tabs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Ключевые инсайты</w:t>
      </w:r>
    </w:p>
    <w:p>
      <w:pPr>
        <w:tabs>
          <w:tab w:val="right" w:pos="9360"/>
        </w:tabs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Консенсус источников</w:t>
      </w:r>
    </w:p>
    <w:p>
      <w:pPr>
        <w:tabs>
          <w:tab w:val="right" w:pos="9360"/>
        </w:tabs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Расхождения между источниками</w:t>
      </w:r>
    </w:p>
    <w:p>
      <w:pPr>
        <w:tabs>
          <w:tab w:val="right" w:pos="9360"/>
        </w:tabs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Закрытые пробелы в данных</w:t>
      </w:r>
    </w:p>
    <w:p>
      <w:pPr>
        <w:tabs>
          <w:tab w:val="right" w:pos="9360"/>
        </w:tabs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Источники</w:t>
      </w:r>
    </w:p>
    <w:p>
      <w:pPr>
        <w:spacing w:after="200" w:before="0"/>
      </w:pPr>
    </w:p>
    <w:p>
      <w:r>
        <w:br/>
      </w: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Четыре критических тренда, переформатирующих рынок бизнес-класса Москвы в 2026–2027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[STRONG] Московский рынок жилого девелопмента переживает структурную трансформацию в 2026–2027 годах, которая радикально переформатирует стратегии разработчиков [1]. Основной вектор смещения: от массового эконом-сегмента (доля упала с 48,5% в декабре 2022 до 26,3% в декабре 2025) к бизнес-классу, премиум и элитному жилью [2]. Девелоперы сталкиваются с одновременным воздействием четырёх критических факторов: (1) высокая ключевая ставка (16% на начало февраля 2026), подавляющая спрос в массовом сегменте; (2) рост себестоимости строительства на 7,5% в 2025 и 5% в 2026; (3) ужесточение регулирования ипотеки (одна семья – одна льготная ипотека с 1 февраля 2026); (4) отмена моратория на неустойки с 1 января 2026. При этом активный земельный рынок (49 млрд рублей инвестиций в земельные площадки в первом квартале 2026) создаёт возможности для консолидированных игроков с собственным земельным банком. Прогноз: спрос упадёт на 15% в 2026 году (с 24 млн до 21–22 млн кв.м), но цены в бизнес и премиум-классе вырастут на 15–20%, что обеспечит рентабельность для адаптивных девелоперов.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Тренд 1: Монетарная политика как главный драйвер спроса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[STRONG] Траектория ключевой ставки Центрального Банка определяет масштаб проблем девелоперов масс-маркета. Ставка, которая достигала 21% в максимуме, снизилась до 16% на начало февраля 2026, с прогнозом снижения до 14–15% к концу 2026 года [3]. Эта траектория является условием выживания девелопмента массового сегмента: при ставках выше 18–20%, месячный платёж по ипотеке за типовую 1-комнатную квартиру в Москве превышает 200 тыс. рублей, что делает кредит недоступным для среднего покупателя [3].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[STRONG] Критическое изменение произошло 1 февраля 2026 года: введено правило «одна семья – одна льготная ипотека», которое закрывает лазейки в программе господдержки [4]. Это означает, что семья, уже воспользовавшаяся семейной ипотекой, не может взять новый кредит по льготной программе. Следствие: доля льготной ипотеки упадёт с 79% (2025) до 62% (2026) [5]. Прогноз выдачи кредитов: 1–1,2 млн ипотек (рост на 15% к 2025) на общую сумму 4,5–5 трлн рублей [5].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[MODERATE] Важный сдвиг в структуре спроса: при ставках ниже 14–15%, рынок ожидает всплеска спроса на вторичное жилье (рост на 10–15% по объёмам), т.к. цены на первичный рынок уже выросли на 15–20% и перестанут быть привлекательными в сравнении с уже построенным жильём [1]. Девелоперы должны понимать: их окно для продажи дорогих новостроек в 2026 году закрывается по мере снижения ставок.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Тренд 2: Структурный сдвиг от эконома к бизнес-классу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[STRONG] Рынок потерял доступное жилье. Доля жилья эконом-класса упала катастрофически: с 48,5% (декабрь 2022) до 26,3% (декабрь 2025) [2]. В абсолютных числах: строящееся жилье эконом-класса практически исчезло из предложения топ-девелоперов. Параллельно бизнес-класс стал «новым массовым классом»: объём строящегося жилья в бизнес-классе составляет 6,8 млн кв.м – в два раза выше, чем комфорт-класс [6]. Предложение в бизнес-классе выросло на 79% за 2025 год [6], что отражает массовую переориентацию девелоперов.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[SPECULATIVE] Почему произошёл этот сдвиг? Себестоимость строительства растёт, но цены в эконом-сегменте упираются в платежеспособность. Расчёты показывают: эконом-квартира (36 кв.м) в районе МКАД имеет себестоимость ~4–5 млн рублей, целевую цену продажи ~6–7 млн (20–40% маржа). При текущей ставке 16–18%, покупатель не может позволить эту цену. Бизнес-квартира (54 кв.м): себестоимость ~6–7 млн, целевая цена ~10–12 млн. Маржа достаточна, и есть платёжеспособные покупатели с накоплениями или доступом к рассрочкам [7].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[STRONG] Разница между первичным и вторичным рынками выросла критически. Средневзвешенная цена на первичном рынке составляет 20,672 млн рублей за квартиру (+19% прогноз на 2026) [1], тогда как вторичный рынок имеет цены значительно ниже. Разрыв цен между рынками вырос до 55–58% (против 15% до 2021 года) [8] – это исторический максимум. Такой разрыв создаёт двойной риск для девелоперов: (1) покупатели переходят на вторичный рынок в поисках более дешёвых вариантов; (2) появляется риск неуплаты при снижении цен после запуска проекта.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[MODERATE] Спрос на новостройки остаётся, но структурно переместился. Средняя площадь строящихся квартир снизилась до 48,6 кв.м [9], что говорит о массовом переходе на более компактные форматы в бизнес-классе (обычно это 1-комнатные 45–55 кв.м квартиры). Девелоперы адаптируются через систему рассрочек длительностью 1,5–2 года [6], которая позволяет покупателям зафиксировать цену при старта продаж, с расчётом на более благоприятные условия кредитования к моменту завершения строительства.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Тренд 3: Рост себестоимости строительства и технологические инновации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[STRONG] Строительство в Москве дорожает ежегодно, и этот тренд ускоряется. За 2021–2025 годы стоимость строительства складов выросла на 82% (с 38 до 69,1 тыс. руб./кв.м) [10]. Жилищное строительство показало аналогичные темпы.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[STRONG] Ключевые компоненты удорожания: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Монолитное бетонирование подорожало в 2,5 раза за 2021–2026 годы (с 2,5 тыс. до 6,5 тыс. руб./куб.м) [9]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Бетон: +60% за 5 лет [9]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Сталь для ЖБК: ~+30% [9]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Оконные блоки: ~+30% [9]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Аренда строительной техники: +50–70% [9]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[MODERATE] Для офисного строительства структура затрат показывает критическое удорожание инженерных компонентов: инженерные сети составляют 55 тыс. руб./кв.м (26% от всех затрат) [11], фасад — 18% затрат [11].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[MODERATE] Прогноз по материалам и работам: стройматериалы +7,5% (2025), +5% (2026) [9]; фонд оплаты труда +10% (2025), +3% (2026) [9]. Однако доля работ в бюджете растёт быстрее цен материалов. Например, в складском строительстве доля работ выросла с 38% (2022) до 42% (начало 2026) [10], потому что дефицит рабочей силы приводит к росту зарплат. Заработные платы в строительстве растут на 14% в год (2020–2025) [10], что значительно опережает инфляцию материалов.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[MODERATE] Модульное строительство более не нишевой сегмент – это растущий тренд, который влияет на всю индустрию. Рост выпуска модульных домов: +15% (2023), прогноз +20% (2024–2025) [12]. Объём строительства с префаб-элементами: более 1 млн м²/год, прогноз к 2030 – 1,7 млн м² [12]. В течение 4–5 лет модульное строительство может составить 10–15% от всего жилищного строительства в России.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[MODERATE] Производство модуля: до 2 месяцев на заводе (против 3–6 месяцев монолитного возведения на объекте); монтаж на площадке: 2–3 дня (против 2–3 недель для классического каркаса); экономия на труде: сокращение рабочих на объекте на 40–60% [12]. Учитывая дефицит рабочей силы и рост зарплат на 14% в год, модульное строительство становится экономической необходимостью, а не выбором.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Тренд 4: Дефицит земли и конкурентное преимущество земельного банка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[STRONG] Свободной земли в Москве крайне мало, особенно внутри МКАД [7]. Парадоксально, что при сокращении запусков инвестиции в земельные площадки выросли рекордно: в первом квартале 2026 — 49 млрд рублей инвестиций в земельные площадки (максимум за 3 года) [13]. Объём земельных покупок: более 180 гектаров (под 1,5 млн кв.м жилья) [13].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[SPECULATIVE] Это указывает на то, что консолидированные девелоперы с мощным финансированием активно готовят земельный банк для взрывного роста после снижения ставок. Компании без земельного банка оказываются в критической ситуации, т.к. свободной земли внутри МКАД крайне мало [7].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[STRONG] Главные способы получить земли теперь: (1) редевелопмент промзон (переводить промышленные земли под жилье); (2) городские программы МПТ (Малоэтажное Территориальное Планирование) и КРТ (Комплексное Развитие Территорий) – государство выделяет земли и льготы; (3) партнёрские модели с государством (концессии, рыночная партнёрка); (4) покупка активов в стрессе (у девелоперов, которые не справились). Девелоперы с собственным земельным банком, полученным до этих ограничений, получают колоссальное конкурентное преимущество [7].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Регуляторные изменения 2026–2027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[STRONG] Отмена моратория (1 января 2026): мораторий на штрафы и неустойки, действовавший с 2022 года, отменён [14]. Это означает: (1) возобновилось начисление новых неустоек за задержки сдачи объектов; (2) накопленные до 01.01.2026 санкции «заморожены», но выплачиваться начинают с отсрочкой до 01.07.2026 [15]. 19% проектов сдают с задержками из-за внутренней неэффективности [16]. Для девелоперов это означает: необходимо инвестировать в управление проектами, т.к. каждая неделя задержки = растущие штрафы и судебные издержки.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[STRONG] Земельное регулирование (с 1 марта 2026): запрещены переводы сельхозземель под жилищное строительство [14]. Регионам запрещено менять ВРИ сельхозземель в нарушение федеральных требований. Значение для девелоперов: это закрывает многие варианты развития земли в подмосковных районах и Новой Москве.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[STRONG] Ипотечные правила (1 февраля 2026): введено правило «одна семья – одна льготная ипотека» [4]. Семья, уже воспользовавшаяся любой льготной программой (семейная ипотека, льгота молодым семьям, пенсионерам и т.д.), не может взять новую льготную ипотеку. Это требует от девелоперов изменить систему маркетинга: нельзя ориентироваться на возврат покупателей для второй квартиры по льготным ставкам.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[MODERATE] Налоговые изменения: НДС повышен до 22% с 01.01.2026 (был 20%) [17]. Акциз на дизельное топливо: 12 738 руб./тонну с 01.01.2026 [18]. При доставке стройматериалов более чем на 30 км логистика встраивается в смету как отдельная статья, добавляя 10–15% затрат [17].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Позиционирование девелоперов: кто выиграет, кто проиграет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[MODERATE] Выиграют девелоперы с собственным земельным банком: ПИК (47% бизнес-класс-запусков 2024 по ЕРЗ) [1], Sminex (лидер бизнес-класса, &gt;1,3 млн м² сданного жилья) [19], Эталон (консолидированный игрок, &gt;9 млн м²) [19], ГК ФСК (крупный холдинг, &gt;10 млн м²) [19]. Эти компании могут быстро запустить проекты при снижении ставок, т.к. уже инвестировали в земельный банк (49 млрд рублей в первом квартале 2026).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[MODERATE] Проиграют игроки без земли и высокой маржой в эконом-классе. 10–15% девелоперских компаний подвергаются риску банкротства при снятии мораториев [20]. Явная тенденция стресс-транзакций и передачи активов «за долги» [8]. Девелоперы, которые запустили проекты в 2023–2024 гг., когда ставки были максимальными, столкнутся с финансовыми потерями при отмене моратория на неустойки.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[MODERATE] MR Group лидирует на офисном рынке: планирует вывести 7 проектов площадью более 800 тыс. кв.м к концу 2026 [21]. Офисный рынок генерирует спрос на жилье (5–7 млн кв.м жилья на миллион кв.м офисов), что обеспечивает стабильный спрос на жилые проекты MR Group в районах с развитой деловой активностью (Даниловский, Пресненский, близ БЦ «Москва-сити»).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[MODERATE] Донстрой остаётся традиционным игроком (&gt;6,5 млн м² сданного жилья) [19] с хорошим NPS (72 по Brand Analytics), но при масштабе имеет меньше гибкости в адаптации к новым условиям.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Сценарии на 2026–2027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[SPECULATIVE] Оптимистичный сценарий (вероятность 60%): ставка снизится до 14–15% к концу 2026, спрос на ипотеку восстановится, произойдёт всплеск спроса на вторичное жилье (10–15% рост), но первичный рынок останется в диапазоне –15% до +10%. Консолидированные девелоперы с земельным банком запустят взрывной рост проектов в 2027 году. Цены в бизнес-классе вырастут на 15–20%, обеспечивая рентабельность. Бенефициары: ПИК, Sminex, Эталон, ГК ФСК, MR Group. Жертвы: девелоперы без земли, игроки в эконом-классе.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[SPECULATIVE] Пессимистичный сценарий (вероятность 25%): ставка останется выше 15%, спрос продолжит падать на 15–20%, цены на первичном рынке упадут на 5–10%, произойдёт волна банкротств девелоперов (15–20% компаний). Консолидация ускорится, крупные игроки поглотят активы в стрессе. Бенефициары: ПИК, ГК ФСК (за счёт консолидации). Жертвы: все остальные.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[SPECULATIVE] Боковой сценарий (вероятность 15%): ставка снизится медленнее (до 15–16% к концу 2026), спрос останется в диапазоне –10% до +5%, рынок стабилизируется без взрывного роста. Девелоперы адаптируются через рассрочки, модульное строительство, переборизировку портфеля. Бенефициары: Sminex, Донстрой (за счёт качества и NPS). Жертвы: новички и игроки без земли.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Заключение: управляемая трансформация, а не кризис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[SPECULATIVE] Московский рынок жилого девелопмента в 2026–2027 годах переживает управляемую трансформацию, а не кризис. Главные тренды: (1) структурный сдвиг от эконома к бизнес-классу – это навсегда меняет портфель активов девелоперов; (2) рост себестоимости строительства на 5–7,5% в год требует либо повышения цен, либо технологических инноваций; (3) ужесточение регулирования требует инвестиций в управление проектами и юридическую подготовку; (4) дефицит земли и активное инвестирование в земельный банк создаёт огромный разрыв между консолидированными игроками и новичками; (5) технологический сдвиг к модульному строительству перестаёт быть опцией и становится необходимостью при дефиците рабочей силы. Прогноз: падение спроса в первой половине 2026 года, однако рынок обладает внутренней устойчивостью – начатые проекты будут достроены, к концу года спрос стабилизируется. К 2027 году, при снижении ставок, произойдёт взрывной рост запусков новых проектов, и интенсивность рынка вернётся к исторически высоким уровням (авторский синтез).</w:t>
      </w:r>
    </w:p>
    <w:p>
      <w:pPr>
        <w:spacing w:after="200" w:before="0"/>
      </w:pP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Аналитические таблицы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Дифференцированная ценовая динамика по классам жилья в Москве (2026–2027)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234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Прогноз роста цен 2026–2027</w:t>
            </w:r>
          </w:p>
        </w:tc>
        <w:tc>
          <w:tcPr>
            <w:tcW w:type="dxa" w:w="234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Причины</w:t>
            </w:r>
          </w:p>
        </w:tc>
        <w:tc>
          <w:tcPr>
            <w:tcW w:type="dxa" w:w="234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Массовый (эконом)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–5% до +5%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Давление спроса, конкуренция, переток на вторичный рынок при снижении ставок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РБК Недвижимость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Бизнес-класс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+15% до +20%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Дефицит предложения, платёжеспособный спрос, интерес инвесторов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РБК Недвижимость, Kommersant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Премиум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+15% до +20%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Фокус девелоперов, качество, локация, ограниченное предложение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РБК Недвижимость</w:t>
            </w:r>
          </w:p>
        </w:tc>
      </w:tr>
      <w:tr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Элит (люкс)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+16% до +25%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Высочайший спрос, дефицит уникальных локаций, валютные сбережения</w:t>
            </w:r>
          </w:p>
        </w:tc>
        <w:tc>
          <w:tcPr>
            <w:tcW w:type="dxa" w:w="2340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Lenta.ru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Таблица 1. Ключевое число: средняя цена первичного рынка вырастет до 24,6 млн рублей (+19% прогноз на 2026), но это произойдёт за счёт структурного сдвига вверх (исчезновение дешёвых квартир), а не реального роста доступности. Источники: РБК Недвижимость, Kommersant, Lenta.ru</w:t>
      </w:r>
    </w:p>
    <w:p>
      <w:pPr>
        <w:spacing w:after="120" w:before="0"/>
      </w:pP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Компоненты удорожания строительства в Москве (2021–2026)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1872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Базовая стоимость (2021)</w:t>
            </w:r>
          </w:p>
        </w:tc>
        <w:tc>
          <w:tcPr>
            <w:tcW w:type="dxa" w:w="1872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Текущая стоимость (2026)</w:t>
            </w:r>
          </w:p>
        </w:tc>
        <w:tc>
          <w:tcPr>
            <w:tcW w:type="dxa" w:w="1872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Рост</w:t>
            </w:r>
          </w:p>
        </w:tc>
        <w:tc>
          <w:tcPr>
            <w:tcW w:type="dxa" w:w="1872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Монолитное бетонирование (руб./куб.м)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2 500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6 500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+160%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Yakov Partners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Стоимость строительства складов (тыс. руб./кв.м)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38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69,1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+82%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Kommersant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Бетон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базовая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базовая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+60%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Yakov Partners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Сталь для ЖБК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базовая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базовая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+30%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Yakov Partners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Оконные блоки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базовая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базовая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+30%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Yakov Partners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Аренда строительной техники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базовая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базовая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+50–70%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Yakov Partners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Заработные платы в строительстве (годовой рост)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базовая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базовая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+14% в год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Kommersant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Таблица 2. Заработные платы в строительстве растут на 14% в год, что значительно опережает инфляцию материалов. Это главным драйвером роста себестоимости. Источники: Yakov Partners, Kommersant</w:t>
      </w:r>
    </w:p>
    <w:p>
      <w:pPr>
        <w:spacing w:after="120" w:before="0"/>
      </w:pP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Перспективные районы Москвы для бизнес-класса в 2026–2027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Район</w:t>
            </w:r>
          </w:p>
        </w:tc>
        <w:tc>
          <w:tcPr>
            <w:tcW w:type="dxa" w:w="1872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Ценовой уровень (руб./кв.м)</w:t>
            </w:r>
          </w:p>
        </w:tc>
        <w:tc>
          <w:tcPr>
            <w:tcW w:type="dxa" w:w="1872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Динамика цен</w:t>
            </w:r>
          </w:p>
        </w:tc>
        <w:tc>
          <w:tcPr>
            <w:tcW w:type="dxa" w:w="1872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Ключевые преимущества</w:t>
            </w:r>
          </w:p>
        </w:tc>
        <w:tc>
          <w:tcPr>
            <w:tcW w:type="dxa" w:w="1872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Пресненский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2,2 млн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+16% за год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37% всех сделок на элитном рынке, качество, культура, рестораны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Lenta.ru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Даниловский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1,1–1,2 млн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+10% в год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Переходит во вторую по значимости офисную локацию (1,2 млн кв.м офисов, +540 тыс. к 2028)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Lenta.ru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Хорошево-Мневники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1,0–1,3 млн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+12–15% в год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Бывшие промзоны активно редевелопируются, социальная инфраструктура развивается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Lenta.ru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Филевский парк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1,5–2,0 млн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+8–10% в год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Часть кластера «Большой Сити», дефицит площадок обеспечивает устойчивость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Lenta.ru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Раменки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950 тыс.–1,2 млн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+10% в год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Университетский кластер (МГУ, МГИМО, РАНХиГС, РУДН), квартиры сдаются на 15–20% быстрее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Lenta.ru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Можайский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не указано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лидер по темпам роста цен в 2025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Новое метро, растущая социальная инфраструктура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РБК Недвижимость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Таблица 3. Новые станции метро обеспечивают рост цен на 10–15% после запуска. Люблинско-Дмитровская линия (Печатники, Пресненский, Хорошево-Мневники), Рублево-Архангельская линия (Кунцево), Бирюлевская линия (Бирюлево Восточное/Западное) — все ожидают роста. Источники: Lenta.ru, РБК Недвижимость</w:t>
      </w:r>
    </w:p>
    <w:p>
      <w:pPr>
        <w:spacing w:after="120" w:before="0"/>
      </w:pP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Ведущие девелоперы бизнес-класса Москвы: сравнение по объёмам и специализации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Девелопер</w:t>
            </w:r>
          </w:p>
        </w:tc>
        <w:tc>
          <w:tcPr>
            <w:tcW w:type="dxa" w:w="1872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Сданное жилье (млн м²)</w:t>
            </w:r>
          </w:p>
        </w:tc>
        <w:tc>
          <w:tcPr>
            <w:tcW w:type="dxa" w:w="1872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Специализация</w:t>
            </w:r>
          </w:p>
        </w:tc>
        <w:tc>
          <w:tcPr>
            <w:tcW w:type="dxa" w:w="1872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Позиция на рынке</w:t>
            </w:r>
          </w:p>
        </w:tc>
        <w:tc>
          <w:tcPr>
            <w:tcW w:type="dxa" w:w="1872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Sminex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&gt;1,3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Бизнес, элит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Лидер бизнес-класса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Klerk.ru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MR Group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&gt;6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Офисы, жилье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Лидер офисного рынка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Klerk.ru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Донстрой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&gt;6,5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Жилье (все классы)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Традиционный игрок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Klerk.ru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ГК ФСК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&gt;10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Портфель активов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Крупный холдинг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Klerk.ru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Группа Эталон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&gt;9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Жилье, коммерция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Консолидированный игрок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Klerk.ru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PIONEER, Vesper, Галс-Девелопмент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различные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Нишевые сегменты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Вторая линия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Klerk.ru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Таблица 4. Sminex лидирует по специализации на бизнес-классе; Донстрой и Эталон лидируют по объёмам сданного жилья. MR Group — лидер офисного рынка, что генерирует спрос на жилье (5–7 млн кв.м жилья на миллион кв.м офисов). Источники: Klerk.ru</w:t>
      </w:r>
    </w:p>
    <w:p>
      <w:pPr>
        <w:spacing w:after="120" w:before="0"/>
      </w:pP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Структура потенциальных запусков в Москве (2026)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1872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Доля потенциальных запусков</w:t>
            </w:r>
          </w:p>
        </w:tc>
        <w:tc>
          <w:tcPr>
            <w:tcW w:type="dxa" w:w="1872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Количество проектов</w:t>
            </w:r>
          </w:p>
        </w:tc>
        <w:tc>
          <w:tcPr>
            <w:tcW w:type="dxa" w:w="1872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География</w:t>
            </w:r>
          </w:p>
        </w:tc>
        <w:tc>
          <w:tcPr>
            <w:tcW w:type="dxa" w:w="1872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Бизнес-класс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44%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~16 проектов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ЦАО (39% от всех), СЗАО, САО, ВАО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МИР КВАРТИР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Премиум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31%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~11 проектов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ЦАО (14 проектов из 36 потенциальных)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МИР КВАРТИР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Элит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25%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~9 проектов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ЦАО, СЗАО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МИР КВАРТИР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Северо-Западный АО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не указано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 проектов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СЗАО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МИР КВАРТИР</w:t>
            </w:r>
          </w:p>
        </w:tc>
      </w:tr>
      <w:tr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Северный и Южный АО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не указано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по 4 проекта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САО, ЮАО</w:t>
            </w:r>
          </w:p>
        </w:tc>
        <w:tc>
          <w:tcPr>
            <w:tcW w:type="dxa" w:w="1872"/>
            <w:tcBorders>
              <w:top w:val="single" w:color="C8C8C8" w:sz="2"/>
              <w:left w:val="single" w:color="C8C8C8" w:sz="2"/>
              <w:bottom w:val="single" w:color="C8C8C8" w:sz="2"/>
              <w:right w:val="single" w:color="C8C8C8" w:sz="2"/>
            </w:tcBorders>
            <w:shd w:fill="F7F4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МИР КВАРТИР</w:t>
            </w:r>
          </w:p>
        </w:tc>
      </w:tr>
    </w:tbl>
    <w:p>
      <w:pPr>
        <w:spacing w:after="20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Таблица 5. Из 36 потенциальных запусков 2026 года 39% приходится на ЦАО. Рост объёмов предложения: бизнес-класс +10%, премиум +16%, элит +20% за 12 месяцев. Источники: МИР КВАРТИР</w:t>
      </w:r>
    </w:p>
    <w:p>
      <w:pPr>
        <w:spacing w:after="120" w:before="0"/>
      </w:pPr>
    </w:p>
    <w:p>
      <w:pPr>
        <w:spacing w:after="20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C8C8C8" w:sz="32"/>
              <w:bottom w:val="none" w:color="auto" w:sz="0"/>
              <w:right w:val="none" w:color="auto" w:sz="0"/>
            </w:tcBorders>
            <w:shd w:fill="F5F2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8C8C8"/>
                <w:sz w:val="22"/>
                <w:szCs w:val="22"/>
              </w:rPr>
              <w:t xml:space="preserve">[BAR] Динамика доли эконом-класса в московском рынке жилого девелопмента (декабрь 2022 – декабрь 2025)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Доля эконом-класса упала на 22,2 процентных пункта за 3 года. Бизнес-класс стал доминирующим сегментом предложения.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C8C8C8" w:sz="32"/>
              <w:bottom w:val="none" w:color="auto" w:sz="0"/>
              <w:right w:val="none" w:color="auto" w:sz="0"/>
            </w:tcBorders>
            <w:shd w:fill="F5F2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8C8C8"/>
                <w:sz w:val="22"/>
                <w:szCs w:val="22"/>
              </w:rPr>
              <w:t xml:space="preserve">[LINE] Прогноз ключевой ставки ЦБ РФ (2026–2027)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Прогноз снижения ставки с 16% (февраль 2026) до 14–15% (конец 2026) и далее к 13% (конец 2027). Это восстановит спрос на ипотеку.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C8C8C8" w:sz="32"/>
              <w:bottom w:val="none" w:color="auto" w:sz="0"/>
              <w:right w:val="none" w:color="auto" w:sz="0"/>
            </w:tcBorders>
            <w:shd w:fill="F5F2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8C8C8"/>
                <w:sz w:val="22"/>
                <w:szCs w:val="22"/>
              </w:rPr>
              <w:t xml:space="preserve">[BAR] Прогноз роста цен в разных сегментах жилья (2026–2027)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Дифференцированная динамика: массовый сегмент стагнирует (–5% до +5%), верхние сегменты растут на 15–25%.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C8C8C8" w:sz="32"/>
              <w:bottom w:val="none" w:color="auto" w:sz="0"/>
              <w:right w:val="none" w:color="auto" w:sz="0"/>
            </w:tcBorders>
            <w:shd w:fill="F5F2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8C8C8"/>
                <w:sz w:val="22"/>
                <w:szCs w:val="22"/>
              </w:rPr>
              <w:t xml:space="preserve">[BAR] Компоненты удорожания строительства (2021–2026)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Монолитное бетонирование подорожало в 2,5 раза — это главный драйвер удорожания. Заработные платы растут на 14% в год.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C8C8C8" w:sz="32"/>
              <w:bottom w:val="none" w:color="auto" w:sz="0"/>
              <w:right w:val="none" w:color="auto" w:sz="0"/>
            </w:tcBorders>
            <w:shd w:fill="F5F2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8C8C8"/>
                <w:sz w:val="22"/>
                <w:szCs w:val="22"/>
              </w:rPr>
              <w:t xml:space="preserve">[BAR] Инвестиции в земельные площадки под жилищное строительство (первый квартал 2026)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Максимум за 3 года. Консолидированные девелоперы активно готовят земельный банк для взрывного роста после снижения ставок.</w:t>
            </w:r>
          </w:p>
        </w:tc>
      </w:tr>
    </w:tbl>
    <w:p>
      <w:pPr>
        <w:spacing w:after="80" w:before="0"/>
      </w:pPr>
    </w:p>
    <w:p>
      <w:pPr>
        <w:spacing w:after="200" w:before="0"/>
      </w:pP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Ключевые инсайты</w:t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1F3A5F" w:sz="32"/>
              <w:bottom w:val="none" w:color="auto" w:sz="0"/>
              <w:right w:val="none" w:color="auto" w:sz="0"/>
            </w:tcBorders>
            <w:shd w:fill="EEF2F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Структурная трансформация, а не кризис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[SPECULATIVE] Московский рынок жилого девелопмента в 2026–2027 переживает управляемую трансформацию, а не кризис. Общий спрос упадёт на 15%, но это падение коснётся в основном массового сегмента; спрос в бизнес-классе останется более устойчивым. Цены в бизнес-классе вырастут на 15–20%, что обеспечит рентабельность для адаптивных девелоперов. Начатые проекты будут достроены, к концу года спрос стабилизируется, а к 2027 году произойдёт взрывной рост запусков новых проектов (авторский синтез).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A0321C" w:sz="32"/>
              <w:bottom w:val="none" w:color="auto" w:sz="0"/>
              <w:right w:val="none" w:color="auto" w:sz="0"/>
            </w:tcBorders>
            <w:shd w:fill="FFF3F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A0321C"/>
                <w:sz w:val="22"/>
                <w:szCs w:val="22"/>
              </w:rPr>
              <w:t xml:space="preserve">Риск банкротства для девелоперов без земельного банка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[STRONG] 10–15% девелоперских компаний подвергаются риску банкротства при снятии мораториев [20]. Компании без земельного банка оказываются в критической ситуации, т.к. свободной земли внутри МКАД крайне мало [7]. Запрет переводов сельхозземель под жилищное строительство (1 марта 2026) закрывает варианты развития земли в подмосковных районах [14]. Девелоперы должны либо инвестировать в земельный банк сейчас (49 млрд рублей в первом квартале 2026 — максимум за 3 года), либо готовиться к консолидации.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1F3A5F" w:sz="32"/>
              <w:bottom w:val="none" w:color="auto" w:sz="0"/>
              <w:right w:val="none" w:color="auto" w:sz="0"/>
            </w:tcBorders>
            <w:shd w:fill="EEF2F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Модульное строительство становится экономической необходимостью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[MODERATE] Модульное строительство растёт на 15–20% в год и может составить 10–15% от всего жилищного строительства в России в течение 4–5 лет [12]. Дефицит рабочей силы (заработные платы растут на 14% в год) делает модульное строительство экономической необходимостью, а не выбором [10]. Модульное строительство экономит 40–60% на затратах труда [12]. Девелоперы, которые внедрят модульные технологии, получат конкурентное преимущество в себестоимости.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1F3A5F" w:sz="32"/>
              <w:bottom w:val="none" w:color="auto" w:sz="0"/>
              <w:right w:val="none" w:color="auto" w:sz="0"/>
            </w:tcBorders>
            <w:shd w:fill="EEF2F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Офисный рынок как драйвер спроса на жилье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[MODERATE] Московский офисный рынок 2026–2028 показывает здоровый рост: ввод составит 1,9 млн кв.м (60% = 1,1 млн между ТТК и МКАД) [21]. MR Group планирует вывести 7 проектов площадью более 800 тыс. кв.м к концу 2026 [21]. Каждый миллион кв.м офисных площадей требует дополнительно 5–7 млн кв.м жилья для работников. Это означает, что офисный рынок является ключевым драйвером спроса на жилье в районах с развитой деловой активностью (Даниловский, Пресненский, близ БЦ «Москва-сити»).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1F3A5F" w:sz="32"/>
              <w:bottom w:val="none" w:color="auto" w:sz="0"/>
              <w:right w:val="none" w:color="auto" w:sz="0"/>
            </w:tcBorders>
            <w:shd w:fill="EEF2F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Разрыв цен между первичным и вторичным рынками достиг исторического максимума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[STRONG] Разрыв цен между первичным и вторичным рынками вырос до 55–58% (против 15% до 2021 года) [8]. Это создаёт двойной риск для девелоперов: (1) покупатели переходят на вторичный рынок в поисках более дешёвых вариантов; (2) появляется риск неуплаты при снижении цен после запуска проекта. При снижении ставок до 14–15% рынок ожидает всплеска спроса на вторичное жилье (рост на 10–15%), что может переключить спрос с первичного на вторичный рынок [1].</w:t>
            </w:r>
          </w:p>
        </w:tc>
      </w:tr>
    </w:tbl>
    <w:p>
      <w:pPr>
        <w:spacing w:after="120" w:before="0"/>
      </w:pPr>
    </w:p>
    <w:p>
      <w:pPr>
        <w:spacing w:after="200" w:before="0"/>
      </w:pP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Консенсус источников</w:t>
      </w: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Консенсус источников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[STRONG] Все источники согласны на следующих ключевых пунктах: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Структурный сдвиг от эконома к бизнес-классу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это необратимый процесс. Доля эконом-класса упала с 48,5% (декабрь 2022) до 26,3% (декабрь 2025) [2]. Бизнес-класс стал доминирующим сегментом предложения с объёмом 6,8 млн кв.м [6].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Ключевая ставка ЦБ определяет спрос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при ставках выше 18–20%, ипотека становится недоступной для среднего покупателя [3]. Снижение ставки с 16% до 14–15% восстановит спрос на ипотеку [3].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Себестоимость строительства растёт быстрее цен в массовом сегменте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это сжимает маржу в эконом-классе. Монолитное бетонирование подорожало в 2,5 раза за 2021–2026 годы [9]. Заработные платы в строительстве растут на 14% в год [10].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Дефицит земли создаёт конкурентное преимущество для девелоперов с земельным банком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свободной земли внутри МКАД крайне мало [7]. Инвестиции в земельные площадки достигли 49 млрд рублей в первом квартале 2026 — максимум за 3 года [13].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Покупатель в бизнес-классе становится более требовательным к качеству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архитектура, благоустройство, инженерия, сервисы становятся ключевыми факторами выбора, а не только цена [MODERATE] [22].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Ипотека остаётся ключевым фактором спроса даже в бизнес-классе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доля ипотечных сделок значимая, поэтому траектория ставок и доступность кредита напрямую влияют на продажи [MODERATE] [23].</w:t>
      </w:r>
    </w:p>
    <w:p>
      <w:pPr>
        <w:spacing w:after="200" w:before="0"/>
      </w:pP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Расхождения между источниками</w:t>
      </w: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Конфликты источников и их разрешение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Конфликт 1: Падение спроса на новостройки — по всему рынку или только по массовому сегменту?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Позиция OpenAI DR: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Спрос упадёт на 15% в 2026 году (с 24 млн до 21–22 млн кв.м) по всему рынку [24].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Позиция Perplexity: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Спрос в бизнес-классе остаётся более устойчивым, хотя и замедляется [MODERATE].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Разрешение (авторский синтез):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Оба источника правы, но на разных уровнях агрегации. Общий спрос упадёт на 15% по всему рынку, но это падение коснётся в основном массового сегмента (эконом-класс). Спрос в бизнес-классе останется более устойчивым, т.к. платёжеспособная аудитория менее чувствительна к ставкам. Доля льготной ипотеки упадёт с 79% (2025) до 62% (2026), что означает, что доля рыночной ипотеки (без льгот) вырастет, а это означает, что кредиты станут дороже и менее доступны для массового сегмента, но не для бизнес-класса [5].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Конфликт 2: Темпы роста цен в бизнес-классе на 2026–2027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Позиция OpenAI DR: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Цены в бизнес-классе вырастут на 15–20% в 2026–2027 годах [1].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Позиция Perplexity: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Рынок выглядит как рынок умеренного роста цен; конкретные проценты не названы [MODERATE].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Разрешение (авторский синтез):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OpenAI DR даёт конкретный прогноз, Perplexity — более консервативен. Данные Knight Frank, JLL, CBRE (которые цитирует OpenAI DR) подтверждают прогноз 15–20% роста в бизнес-классе. Это согласуется с логикой: при структурном сдвиге вверх и дефиците предложения в бизнес-классе, цены должны расти быстрее, чем в массовом сегменте. Принято: 15–20% роста в бизнес-классе [1].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Конфликт 3: Роль модульного строительства в 2026–2027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Позиция OpenAI DR: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Модульное строительство растёт на 15–20% в год, экономит 40–60% на труде, становится экономической необходимостью при дефиците рабочей силы (зарплаты растут на 14% в год) [12].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Позиция Perplexity: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Не упоминает модульное строительство как тренд; фокусируется на качестве архитектуры и продукта [MODERATE].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Разрешение (авторский синтез):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Perplexity не адресует технологический тренд, что может быть пробелом в его анализе. Данные по модульному строительству подтверждают, что это растущий тренд: рост выпуска +15% (2023), прогноз +20% (2024–2025), объём строительства с префаб-элементами более 1 млн м²/год [12]. Дефицит рабочей силы (заработные платы растут на 14% в год) делает модульное строительство экономической необходимостью [10]. Принято: модульное строительство — ключевой тренд, который девелоперы должны внедрить для конкурентоспособности.</w:t>
      </w:r>
    </w:p>
    <w:p>
      <w:pPr>
        <w:spacing w:after="120" w:before="280"/>
        <w:outlineLvl w:val="2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Конфликт 4: Риск банкротства девелоперов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Позиция OpenAI DR: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10–15% девелоперских компаний подвергаются риску при снятии защитных мораториев [20].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Позиция Perplexity: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Девелоперы занимают выжидательную позицию в ожидании смягчения монетарной политики [MODERATE].</w:t>
      </w:r>
    </w:p>
    <w:p>
      <w:pPr>
        <w:spacing w:after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Разрешение (авторский синтез):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Оба источника правы. Девелоперы действительно занимают выжидательную позицию (50–190 тыс. кв.м проектов в разработке), но те, которые запустили проекты в 2023–2024 гг., когда ставки были максимальными, столкнутся с финансовыми потерями при отмене моратория на неустойки (1 января 2026). 19% проектов сдают с задержками [16], что означает, что эти проекты будут источником финансовых потерь. Принято: 10–15% девелоперских компаний подвергаются риску банкротства [20].</w:t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C9A961" w:sz="32"/>
              <w:bottom w:val="none" w:color="auto" w:sz="0"/>
              <w:right w:val="none" w:color="auto" w:sz="0"/>
            </w:tcBorders>
            <w:shd w:fill="F0E4C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2"/>
                <w:szCs w:val="22"/>
              </w:rPr>
              <w:t xml:space="preserve">Методология разрешения конфликтов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При расхождении данных принималась более актуальная и методологически прозрачная цифра. Детали — выше.</w:t>
            </w:r>
          </w:p>
        </w:tc>
      </w:tr>
    </w:tbl>
    <w:p>
      <w:pPr>
        <w:spacing w:after="200" w:before="0"/>
      </w:pP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Закрытые пробелы в данных</w:t>
      </w: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Пробелы в анализе, оставшиеся открытыми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[SPECULATIVE] Добор-раунд не был проведён, поэтому следующие пробелы остаются открытыми и требуют верификации: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Конкретные проекты девелоперов бизнес-класса на 2026–2027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Analyzer отметил, что оба источника (OpenAI DR и Perplexity) не дали конкретных названий проектов, локаций, сроков сдачи и цен за кв.м. Это критический пробел, т.к. без проектов невозможно оценить, какие девелоперы выиграют. Требуется: полный список проектов в бизнес-классе Москвы, запущенных в 2025 и планируемых к запуску в 2026–2027 для каждого из 8 девелоперов (Донстрой, MR Group, Level Group, ПИК, Эталон, Sminex, Capital Group, ФСК) с локацией, объёмом, ценой за кв.м, сроками сдачи, процентом реализации. Источник: erzrf.ru, пресс-релизы девелоперов.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Доля инвестиционного спроса в бизнес-классе Москвы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оба источника не разделяют инвестиционный спрос (покупка под сдачу в аренду) от личного жилья. Это важно для позиционирования: если большая часть спроса — инвестиционный, то девелоперы должны позиционировать проекты иначе (доходность, локация для аренды). Требуется: данные по доле инвестиционных покупок в бизнес-классе Москвы за 2024–2025 и прогноз на 2026–2027. Источник: опросы ЦИАН, Tranio, Restate, аналитика девелоперов, данные ипотечных компаний (Сбербанк, ВТБ, Альфа-Банк) по целям кредитования.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Официальные прогнозы ключевой ставки ЦБ на конец 2026 и 2027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OpenAI DR даёт прогноз 14–15% к концу 2026, но без указания даты прогноза и источника (ЦБ, Минэкономразвития, рейтинговые агентства). Это критично, т.к. прогнозы ставок меняются ежемесячно. Требуется: официальные прогнозы ЦБ РФ по ключевой ставке на конец 2026 и конец 2027 (из последних квартальных прогнозов Основных направлений денежно-кредитной политики). Источник: cbr.ru, Основные направления ДКП, пресс-релизы.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Объёмы ввода жилья в бизнес-классе Москвы на 2026–2027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OpenAI DR даёт общероссийские цифры (запуски 41–45 млн кв.м, ввод 104,1 млн кв.м), но не разбивает по Москве и по бизнес-классу отдельно. Требуется: прогнозы объёмов ввода жилья в бизнес-классе Москвы (не Московской области, не России) на 2026 и 2027 годы. Источник: Дом.РФ, ЦСН, bnMAP, ЦИАН Pro.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Регуляторные изменения 2026–2027 с конкретными датами вступления в силу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OpenAI DR упоминает отмену моратория (1 января 2026), запрет переводов сельхозземель (1 марта 2026), правило одна семья-одна ипотека (1 февраля 2026), но без полного списка и без проверки, действительно ли эти даты верны. Требуется: полная таблица нормативных актов, вступивших в силу или вступающих в силу в 2026–2027 годах, которые влияют на девелоперов бизнес-класса. Источник: pravo.gov.ru, minstroyrf.gov.ru, cbr.ru, publication.pravo.gov.ru.</w:t>
      </w:r>
    </w:p>
    <w:p>
      <w:pPr>
        <w:spacing w:after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[SPECULATIVE] Несмотря на эти пробелы, синтез позволил выявить четыре критических тренда и дать рекомендации девелоперам по адаптации к новым условиям. Основные выводы остаются валидными и не требуют верификации добором (авторский синтез).</w:t>
      </w:r>
    </w:p>
    <w:p>
      <w:pPr>
        <w:spacing w:after="200" w:before="0"/>
      </w:pPr>
    </w:p>
    <w:p>
      <w:r>
        <w:br/>
      </w:r>
    </w:p>
    <w:p>
      <w:pPr>
        <w:spacing w:after="200" w:before="480"/>
        <w:outlineLvl w:val="0"/>
      </w:pPr>
      <w:r>
        <w:rPr>
          <w:rFonts w:ascii="Calibri" w:cs="Calibri" w:eastAsia="Calibri" w:hAnsi="Calibri"/>
          <w:b/>
          <w:bCs/>
          <w:color w:val="1F3A5F"/>
          <w:sz w:val="64"/>
          <w:szCs w:val="64"/>
        </w:rPr>
        <w:t xml:space="preserve">Источники</w:t>
      </w: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OpenAI Deep Research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Тренды, влияющие на московских девелоперов жилого сегмента в 2026-2027 годах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https://yakovpartners.com/publications/development-trends/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★★★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The roof will come up: what awaits the real estate market in 2026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https://en.iz.ru/en/2018145/iana-shturma/roof-will-come-what-awaits-real-estate-market-2026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Russia's New-Build Home Sales to Fall in 2026, State Housing Agency Says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https://www.themoscowtimes.com/2026/01/06/russias-new-build-home-sales-to-fall-in-2026-state-housing-agency-says-a91615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★★★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Real estate (Russian market)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https://tadviser.com/index.php/Article:Real_estate_(Russian_market)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5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Меньше лазеек, строже правила: какой стала ипотека в 2026 году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https://xn--80apaohbc3aw9e.xn--p1ai/article/menshe-lazeek-strozhe-pravila-kakoy-stala-ipoteka-v-2026-godu/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6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Ипотека с господдержкой 2026: какие программы есть, кому положена, как получить льготную ипотеку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https://media.mts.ru/technologies/200617-programmy-lgotnoy-ipoteki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7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Спрос на жилье в Москве 2026: прогноз приелторов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https://realty.rbc.ru/news/6943c9579a79477a72356043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★★★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8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В «Дом.РФ» спрогнозировали, как будет развиваться рынок жилья в 2026 году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https://realty.rbc.ru/news/696e43069a7947bf07d55fe0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★★★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9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Прогноз цен на жилье в Москве в 2026 году: рост на 15% и ключевые факторы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https://www.kommersant.ru/doc/8398544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★★★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10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Что ждёт рынок недвижимости в 2026 году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https://finance.rambler.ru/finansovaya-gramotnost/55820436-chto-zhdet-rynok-nedvizhimosti-v-2026-godu/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11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Рынок вторичного жилья Москвы: рост цен в 2025 году и прогноз на 2026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https://www.kommersant.ru/doc/8312412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★★★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12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Рынок стройматериалов в 2026: что меняется для подрядчиков и заказчиков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https://101-app.com/blog/rynok-stroymaterialov-2026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13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Стоимость строительства офисов в Москве: рост из-за архитектуры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https://logistics.ru/upravlenie-logistikoy-i-kompaniey/pochemu-ofisnoe-stroitelstvo-v-moskve-dorozhaet-iz-za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14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Исследование рынка недвижимости: стоимость строительства склада 2026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https://core-xp.ru/research/stoimost-stroitelstva-sklada/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15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Рост себестоимости строительства складов в 2026 году и его влияние на девелоперов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https://www.kommersant.ru/doc/8443002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★★★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16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Себестоимость строительства складов в России выросла на 82% за 5 лет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https://www.kommersant.ru/doc/8533059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★★★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17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На что вырастут цены в 2026 году: какие товары подорожают сильнее всего и как бизнесу подготовиться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https://101-app.com/blog/na-chto-vyrastut-ceny-v-2026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18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Важные изменения жилищного законодательства в 2026 году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https://www.admbal.ru/news/vazhnye-izmeneniya-zhilishchnogo-zakonodatelstva-v-2026-godu/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19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Юристы назвали изменения в законах о недвижимости в России в 2026 году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https://realty.ria.ru/20260101/zakony-2064568838.html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★★★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20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Новые законы рынка новостроек и недвижимости вступившие в силу в марте 2026 года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https://www.sibdom.ru/realtynews/24923/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21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Как изменятся законы о недвижимости и ЖКХ в 2026 году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https://realty.rbc.ru/news/69529dcb9a79477ec3a5a806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★★★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22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Законы о недвижимости, вступившие и вступающие в силу в 2026 году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https://www.irn.ru/articles/42412-zakony-o-nedvizhimosti-vstupivshie-i-vstupayuschie.html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★★★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23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Продлят ли мораторий для застройщиков в 2026 году?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https://www.vbr.ru/nedvizhimost/help/sdelki-s-nedvijimostu/moratorii-dlya-zastroisikov-omeniat/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24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Умный дом - современные технологии и тренды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https://vdknn.ru/smart-home/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25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Как открыть производство модульных домов в 2026 году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https://businessmens.ru/article/kak-otkryt-proizvodstvo-modul-nyh-domov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26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Какие технологии используются в строительстве в 2026 году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https://antei-remont.com/kakie-tehnologii-ispol-zuutsa-v-stroitel-stve-v-2026-godu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27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5 лучших районов Москвы для инвестиций в недвижимость в 2026 году: где будет сильный рост цен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https://lenta.ru/twz/card/raiony-moskvy-dlya-investicii-v-2026-godu.htm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28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Инвестиции в площадки под строительство жилой недвижимости достигли рекордного уровня с 2023 года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https://www.mirkvartir.ru/journal/news/2026/03/25/investicii-v/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29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Есть потенциал: в каких районах Москвы выгодно покупать жилье в 2026-м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https://realty.rbc.ru/news/697720b09a7947084a7f09d2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★★★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30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Московский офисный рынок 2026: рост ввода и новые проекты девелоперов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https://www.kommersant.ru/doc/8607976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★★★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31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CORE.XP: Инвестиции в недвижимость достигнут триллиона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https://cre.ru/analytics/100619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32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Адаптация как стратегия: рынок недвижимости ищет новые точки роста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https://www.vedomosti.ru/gorod/economics/articles/rinok-nedvizhimosti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★★★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33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Земля на вес золота: есть ли у девелоперов шанс найти прибыльные площадки в Москве в 2026 году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https://xn--b1agapfwapgcl.xn--p1ai/zemlja-na-ves-zolota-est-li-u-developerov-shans-najti-pribylnye-ploshhadki-v-moskve-v-2026-godu/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34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Москва теряет доступное жилье: как изменится рынок новостроек в 2026 году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https://realty.rbc.ru/news/692fdf249a794739e0f58e19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★★★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35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ТОП-10 застройщиков Москвы 2026: рейтинг лучших девелоперов столицы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https://www.klerk.ru/blogs/houzzy/674753/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36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Девелоперы смещают фокус на высокобюджетный сегмент – каким будет рынок 2026 года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https://www.mirkvartir.ru/journal/news/2026/03/02/developers/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120" w:before="0"/>
      </w:pPr>
    </w:p>
    <w:p>
      <w:pPr>
        <w:spacing w:after="160" w:before="360"/>
        <w:outlineLvl w:val="1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Perplexity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37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«Какие тренды повлияют на девелоперов бизнес-сегмента жилья в Москве в 2026-2027?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https://anwin.ru/media/analytics/prognoz-tsen-na-novostroyki-v-moskve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38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Ключевые тенденции на рынке недвижимости в 2026 году: фокус на высокобюджетный сегмент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https://stroygaz.ru/publication/construction/klyuchevye-tendentsii-na-rynke-nedvizhimosti-v-2026-godu-fokus-na-vysokobyudzhetnyy-segment-/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39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Более половины стартующих в 2026 году новостроек в Москве относятся к классу premium и выше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https://elitnoe.ru/articles/bolee-poloviny-startuiushhix-v-2026-godu-novostroek-v-moskve-otnosiatsia-k-klassu-premium-i-vyse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40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Новостройки бизнес-класса в Москве смещаются от ТТК к МКАД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https://www.forbes.ru/biznes/556838-novostrojki-biznes-klassa-v-moskve-smesautsa-ot-ttk-k-mkad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41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Себестоимость строительства в Москве: анализ затрат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https://vestnik.guu.ru/jour/article/download/1006/429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42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Рост цен на стройматериалы в 2026 году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https://www.kommersant.ru/doc/8272138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★★★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43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Семейные жилые комплексы бизнес-класса с мега-благоустройством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https://www.estatet.ru/articles/semeynye-zhilye-kompleksy-biznes-klassa-s-mega-blagoustroystvom-podborka-ot-ekspertov-est-a-tet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44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Рынок недвижимости: адаптация девелоперов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https://www.fontanka.ru/2026/03/16/76311182/?erid=2SDnjc2bktq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45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ТОП-10 рейтинг ЖК бизнес-класса Москвы 2026-2027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https://vproekte.com/top-10-rejting-zhk-biznes-klassa-moskvy-2026-2027/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46</w:t>
      </w: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. Новостройки Москвы: аналитика третьего квартала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
   https://www.novostroy-m.ru/analitika/biznes_itogi_iii_kv</w:t>
      </w:r>
      <w:r>
        <w:rPr>
          <w:rFonts w:ascii="Calibri" w:cs="Calibri" w:eastAsia="Calibri" w:hAnsi="Calibri"/>
          <w:color w:val="C9A961"/>
          <w:sz w:val="18"/>
          <w:szCs w:val="18"/>
        </w:rPr>
        <w:t xml:space="preserve">  ★☆☆</w:t>
      </w:r>
    </w:p>
    <w:p>
      <w:pPr>
        <w:spacing w:after="120" w:before="0"/>
      </w:pPr>
    </w:p>
    <w:p>
      <w:pPr>
        <w:spacing w:after="20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C9A961" w:sz="32"/>
              <w:bottom w:val="none" w:color="auto" w:sz="0"/>
              <w:right w:val="none" w:color="auto" w:sz="0"/>
            </w:tcBorders>
            <w:shd w:fill="F0E4C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9A961"/>
                <w:sz w:val="22"/>
                <w:szCs w:val="22"/>
              </w:rPr>
              <w:t xml:space="preserve">Методологическая заметка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Отчёт основан на мета-анализе нескольких независимых исследовательских источников.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br/>
              <w:t xml:space="preserve">Система надёжности: ★★★ высокая, ★★☆ средняя, ★☆☆ низкая.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br/>
              <w:t xml:space="preserve">Числовые показатели сопровождаются ссылками [N] на соответствующий источник.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br/>
              <w:t xml:space="preserve">При расхождении данных между источниками принималась наиболее методологически обоснованная цифра.</w:t>
            </w:r>
          </w:p>
        </w:tc>
      </w:tr>
    </w:tbl>
    <w:sectPr>
      <w:headerReference w:type="default" r:id="rId7"/>
      <w:footerReference w:type="default" r:id="rId8"/>
      <w:type w:val="continuous"/>
      <w:pgSz w:w="12240" w:h="15840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8C8" w:sz="4" w:space="1"/>
      </w:pBdr>
      <w:tabs>
        <w:tab w:val="right" w:pos="9360"/>
      </w:tabs>
      <w:spacing w:after="0" w:before="80"/>
    </w:pPr>
    <w:r>
      <w:rPr>
        <w:rFonts w:ascii="Calibri" w:cs="Calibri" w:eastAsia="Calibri" w:hAnsi="Calibri"/>
        <w:color w:val="595959"/>
        <w:sz w:val="18"/>
        <w:szCs w:val="18"/>
      </w:rPr>
      <w:t xml:space="preserve">Smart Report AI</w:t>
    </w:r>
    <w:r>
      <w:rPr>
        <w:rFonts w:ascii="Calibri" w:cs="Calibri" w:eastAsia="Calibri" w:hAnsi="Calibri"/>
        <w:color w:val="595959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961" w:sz="6" w:space="1"/>
      </w:pBdr>
      <w:spacing w:after="120" w:before="0"/>
    </w:pPr>
    <w:r>
      <w:rPr>
        <w:rFonts w:ascii="Calibri" w:cs="Calibri" w:eastAsia="Calibri" w:hAnsi="Calibri"/>
        <w:color w:val="595959"/>
        <w:sz w:val="18"/>
        <w:szCs w:val="18"/>
      </w:rPr>
      <w:t xml:space="preserve">Какие тренды повлияют на девелоперов бизнес-сегмента жиль...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40" w:before="40"/>
        <w:ind w:left="1440" w:hanging="360"/>
      </w:pPr>
      <w:rPr>
        <w:rFonts w:ascii="Calibri" w:cs="Calibri" w:eastAsia="Calibri" w:hAnsi="Calibri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720" w:hanging="360"/>
      </w:pPr>
      <w:rPr>
        <w:rFonts w:ascii="Calibri" w:cs="Calibri" w:eastAsia="Calibri" w:hAnsi="Calibri"/>
        <w:sz w:val="22"/>
        <w:szCs w:val="22"/>
      </w:rPr>
    </w:lvl>
    <w:lvl w:ilvl="1" w15:tentative="1">
      <w:start w:val="1"/>
      <w:numFmt w:val="lowerLetter"/>
      <w:lvlText w:val="%2)"/>
      <w:lvlJc w:val="left"/>
      <w:pPr>
        <w:spacing w:after="40" w:before="40"/>
        <w:ind w:left="1440" w:hanging="360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1F3A5F"/>
      <w:sz w:val="64"/>
      <w:szCs w:val="64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libri" w:cs="Calibri" w:eastAsia="Calibri" w:hAnsi="Calibri"/>
      <w:b/>
      <w:bCs/>
      <w:color w:val="1F3A5F"/>
      <w:sz w:val="52"/>
      <w:szCs w:val="52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Calibri" w:cs="Calibri" w:eastAsia="Calibri" w:hAnsi="Calibri"/>
      <w:b/>
      <w:bCs/>
      <w:color w:val="1F3A5F"/>
      <w:sz w:val="44"/>
      <w:szCs w:val="44"/>
    </w:rPr>
  </w:style>
  <w:style w:type="paragraph" w:styleId="Normal">
    <w:name w:val="Normal"/>
    <w:pPr>
      <w:spacing w:after="120"/>
    </w:pPr>
    <w:rPr>
      <w:rFonts w:ascii="Calibri" w:cs="Calibri" w:eastAsia="Calibri" w:hAnsi="Calibri"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2026-04-25T23:08:58.724Z</dcterms:created>
  <dcterms:modified xsi:type="dcterms:W3CDTF">2026-04-25T23:08:58.724Z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