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rPr>
          <w:trHeight w:val="1200" w:hRule="exact"/>
        </w:trPr>
        <w:tc>
          <w:tcPr>
            <w:tcW w:type="dxa" w:w="9360"/>
            <w:tcBorders>
              <w:top w:val="none" w:color="auto" w:sz="0"/>
              <w:left w:val="none" w:color="auto" w:sz="0"/>
              <w:bottom w:val="none" w:color="auto" w:sz="0"/>
              <w:right w:val="none" w:color="auto" w:sz="0"/>
            </w:tcBorders>
            <w:shd w:fill="1F3A5F" w:color="auto" w:val="clear"/>
            <w:tcMar>
              <w:top w:type="dxa" w:w="200"/>
              <w:left w:type="dxa" w:w="400"/>
              <w:bottom w:type="dxa" w:w="200"/>
              <w:right w:type="dxa" w:w="400"/>
            </w:tcMar>
          </w:tcPr>
          <w:p>
            <w:pPr>
              <w:spacing w:after="60" w:before="0"/>
              <w:jc w:val="left"/>
            </w:pPr>
            <w:r>
              <w:rPr>
                <w:rFonts w:ascii="Calibri" w:cs="Calibri" w:eastAsia="Calibri" w:hAnsi="Calibri"/>
                <w:b/>
                <w:bCs/>
                <w:color w:val="C9A961"/>
                <w:sz w:val="32"/>
                <w:szCs w:val="32"/>
              </w:rPr>
              <w:t xml:space="preserve">Аналитический отчёт</w:t>
            </w:r>
          </w:p>
        </w:tc>
      </w:tr>
    </w:tbl>
    <w:p>
      <w:pPr>
        <w:spacing w:after="300" w:before="0"/>
      </w:pPr>
    </w:p>
    <w:p>
      <w:pPr>
        <w:spacing w:after="240" w:before="0"/>
      </w:pPr>
      <w:r>
        <w:rPr>
          <w:rFonts w:ascii="Calibri" w:cs="Calibri" w:eastAsia="Calibri" w:hAnsi="Calibri"/>
          <w:b/>
          <w:bCs/>
          <w:color w:val="1F3A5F"/>
          <w:sz w:val="72"/>
          <w:szCs w:val="72"/>
        </w:rPr>
        <w:t xml:space="preserve">How is Direct Air Capture regulated in the EU and what subsidies are available in 2026?</w:t>
      </w:r>
    </w:p>
    <w:p>
      <w:pPr>
        <w:pBdr>
          <w:bottom w:val="single" w:color="C9A961" w:sz="12" w:space="1"/>
        </w:pBdr>
        <w:spacing w:after="120" w:before="120"/>
      </w:pPr>
    </w:p>
    <w:p>
      <w:pPr>
        <w:spacing w:after="2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4680"/>
        <w:gridCol w:w="4680"/>
      </w:tblGrid>
      <w:tr>
        <w:tc>
          <w:tcPr>
            <w:tcW w:type="dxa" w:w="4680"/>
            <w:tcBorders>
              <w:top w:val="none" w:color="auto" w:sz="0"/>
              <w:left w:val="none" w:color="auto" w:sz="0"/>
              <w:bottom w:val="none" w:color="auto" w:sz="0"/>
              <w:right w:val="none" w:color="auto" w:sz="0"/>
            </w:tcBorders>
          </w:tcPr>
          <w:p>
            <w:r>
              <w:rPr>
                <w:rFonts w:ascii="Calibri" w:cs="Calibri" w:eastAsia="Calibri" w:hAnsi="Calibri"/>
                <w:color w:val="595959"/>
                <w:sz w:val="18"/>
                <w:szCs w:val="18"/>
              </w:rPr>
              <w:t xml:space="preserve">Дата</w:t>
            </w:r>
          </w:p>
          <w:p>
            <w:r>
              <w:rPr>
                <w:rFonts w:ascii="Calibri" w:cs="Calibri" w:eastAsia="Calibri" w:hAnsi="Calibri"/>
                <w:b/>
                <w:bCs/>
                <w:color w:val="1A1A1A"/>
                <w:sz w:val="24"/>
                <w:szCs w:val="24"/>
              </w:rPr>
              <w:t xml:space="preserve">26 апреля 2026</w:t>
            </w:r>
          </w:p>
        </w:tc>
        <w:tc>
          <w:tcPr>
            <w:tcW w:type="dxa" w:w="4680"/>
            <w:tcBorders>
              <w:top w:val="none" w:color="auto" w:sz="0"/>
              <w:left w:val="none" w:color="auto" w:sz="0"/>
              <w:bottom w:val="none" w:color="auto" w:sz="0"/>
              <w:right w:val="none" w:color="auto" w:sz="0"/>
            </w:tcBorders>
          </w:tcPr>
          <w:p>
            <w:r>
              <w:rPr>
                <w:rFonts w:ascii="Calibri" w:cs="Calibri" w:eastAsia="Calibri" w:hAnsi="Calibri"/>
                <w:color w:val="595959"/>
                <w:sz w:val="18"/>
                <w:szCs w:val="18"/>
              </w:rPr>
              <w:t xml:space="preserve">Подготовлено</w:t>
            </w:r>
          </w:p>
          <w:p>
            <w:r>
              <w:rPr>
                <w:rFonts w:ascii="Calibri" w:cs="Calibri" w:eastAsia="Calibri" w:hAnsi="Calibri"/>
                <w:b/>
                <w:bCs/>
                <w:color w:val="1A1A1A"/>
                <w:sz w:val="24"/>
                <w:szCs w:val="24"/>
              </w:rPr>
              <w:t xml:space="preserve">Smart Report AI</w:t>
            </w:r>
          </w:p>
        </w:tc>
      </w:tr>
    </w:tbl>
    <w:p>
      <w:pPr>
        <w:spacing w:after="600" w:before="0"/>
      </w:pPr>
    </w:p>
    <w:p>
      <w:pPr>
        <w:spacing w:after="80" w:before="0"/>
      </w:pPr>
      <w:r>
        <w:rPr>
          <w:rFonts w:ascii="Calibri" w:cs="Calibri" w:eastAsia="Calibri" w:hAnsi="Calibri"/>
          <w:i/>
          <w:iCs/>
          <w:color w:val="595959"/>
          <w:sz w:val="16"/>
          <w:szCs w:val="16"/>
        </w:rPr>
        <w:t xml:space="preserve">Сессия: cf89b54777d3</w:t>
      </w:r>
    </w:p>
    <w:p>
      <w:r>
        <w:br/>
      </w:r>
    </w:p>
    <w:p>
      <w:pPr>
        <w:sectPr>
          <w:type w:val="nextPage"/>
          <w:pgSz w:w="12240" w:h="15840" w:orient="portrait"/>
          <w:pgMar w:top="1440" w:right="1440" w:bottom="1440" w:left="1440" w:header="708" w:footer="708" w:gutter="0"/>
          <w:pgNumType/>
          <w:docGrid w:linePitch="360"/>
        </w:sectPr>
      </w:pPr>
    </w:p>
    <w:p>
      <w:pPr>
        <w:spacing w:after="200" w:before="480"/>
        <w:outlineLvl w:val="0"/>
      </w:pPr>
      <w:r>
        <w:rPr>
          <w:rFonts w:ascii="Calibri" w:cs="Calibri" w:eastAsia="Calibri" w:hAnsi="Calibri"/>
          <w:b/>
          <w:bCs/>
          <w:color w:val="1F3A5F"/>
          <w:sz w:val="64"/>
          <w:szCs w:val="64"/>
        </w:rPr>
        <w:t xml:space="preserve">Аналитическое резюме</w:t>
      </w:r>
    </w:p>
    <w:p>
      <w:pPr>
        <w:spacing w:after="200"/>
        <w:jc w:val="left"/>
      </w:pPr>
      <w:r>
        <w:rPr>
          <w:rFonts w:ascii="Calibri" w:cs="Calibri" w:eastAsia="Calibri" w:hAnsi="Calibri"/>
          <w:b w:val="false"/>
          <w:bCs w:val="false"/>
          <w:i w:val="false"/>
          <w:iCs w:val="false"/>
          <w:color w:val="1A1A1A"/>
          <w:sz w:val="22"/>
          <w:szCs w:val="22"/>
        </w:rPr>
        <w:t xml:space="preserve">[STRONG] Регулирование улавливания прямого воздуха в ЕС в 2026 году определяется Регламентом об углеродных удалениях и углеродном земледелии (CRCF, ЕС 2024/3012), вступившим в силу в начале апреля 2026 года, который устанавливает четыре обязательных критерия качества (количественная оценка, дополнительность, геологическое хранилище ≥200 лет, устойчивость) и требует часового соответствия электричества [1]. [STRONG] Финансирование доступно через конкурентные гранты (Innovation Fund €2,9 млрд с дедлайном 23 апреля 2026 года, Horizon Europe €95,5 млрд, RRF €723,8 млрд) и национальные программы (Дания €3,5 млрд, Швеция €3 млрд, Нидерланды €2,1 млрд гарантия) [8][13]. [авторский синтез] Критическое противоречие: CRCF устанавливает мировые стандарты экологической строгости, но требование часового соответствия электричества и отсутствие прямых субсидий (в отличие от американского 45Q в €170/тонну) создают операционные и финансовые барьеры, которые будут концентрировать развертывание в странах-членах с национальным софинансированием (Нидерланды, Дания, Германия) вместо достижения масштабирования на уровне ЕС.</w:t>
      </w:r>
    </w:p>
    <w:p>
      <w:pPr>
        <w:spacing w:after="160" w:before="360"/>
        <w:outlineLvl w:val="1"/>
      </w:pPr>
      <w:r>
        <w:rPr>
          <w:rFonts w:ascii="Calibri" w:cs="Calibri" w:eastAsia="Calibri" w:hAnsi="Calibri"/>
          <w:b/>
          <w:bCs/>
          <w:color w:val="1F3A5F"/>
          <w:sz w:val="52"/>
          <w:szCs w:val="52"/>
        </w:rPr>
        <w:t xml:space="preserve">Ключевые показатели</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3040"/>
        <w:gridCol w:w="3040"/>
        <w:gridCol w:w="3040"/>
      </w:tblGrid>
      <w:tr>
        <w:trPr>
          <w:trHeight w:val="1600"/>
        </w:trPr>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€2,9 млрд</w:t>
            </w:r>
          </w:p>
          <w:p>
            <w:pPr>
              <w:spacing w:after="40" w:before="0"/>
              <w:jc w:val="center"/>
            </w:pPr>
            <w:r>
              <w:rPr>
                <w:rFonts w:ascii="Calibri" w:cs="Calibri" w:eastAsia="Calibri" w:hAnsi="Calibri"/>
                <w:color w:val="1A1A1A"/>
                <w:sz w:val="18"/>
                <w:szCs w:val="18"/>
              </w:rPr>
              <w:t xml:space="preserve">Innovation Fund 2025 Net-Zero Technologies call общий бюджет</w:t>
            </w:r>
          </w:p>
          <w:p>
            <w:pPr>
              <w:spacing w:after="0" w:before="0"/>
              <w:jc w:val="center"/>
            </w:pPr>
            <w:r>
              <w:rPr>
                <w:rFonts w:ascii="Calibri" w:cs="Calibri" w:eastAsia="Calibri" w:hAnsi="Calibri"/>
                <w:i/>
                <w:iCs/>
                <w:color w:val="595959"/>
                <w:sz w:val="16"/>
                <w:szCs w:val="16"/>
              </w:rPr>
              <w:t xml:space="preserve">https://tracker.carbongap.org/policy/innovation-fund/</w:t>
            </w:r>
          </w:p>
        </w:tc>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23 апреля 2026, 17:00 CEST</w:t>
            </w:r>
          </w:p>
          <w:p>
            <w:pPr>
              <w:spacing w:after="40" w:before="0"/>
              <w:jc w:val="center"/>
            </w:pPr>
            <w:r>
              <w:rPr>
                <w:rFonts w:ascii="Calibri" w:cs="Calibri" w:eastAsia="Calibri" w:hAnsi="Calibri"/>
                <w:color w:val="1A1A1A"/>
                <w:sz w:val="18"/>
                <w:szCs w:val="18"/>
              </w:rPr>
              <w:t xml:space="preserve">Innovation Fund IF25 NZT дедлайн приложения</w:t>
            </w:r>
          </w:p>
          <w:p>
            <w:pPr>
              <w:spacing w:after="0" w:before="0"/>
              <w:jc w:val="center"/>
            </w:pPr>
            <w:r>
              <w:rPr>
                <w:rFonts w:ascii="Calibri" w:cs="Calibri" w:eastAsia="Calibri" w:hAnsi="Calibri"/>
                <w:i/>
                <w:iCs/>
                <w:color w:val="595959"/>
                <w:sz w:val="16"/>
                <w:szCs w:val="16"/>
              </w:rPr>
              <w:t xml:space="preserve">https://cinea.ec.europa.eu/programmes/innovation-fund/calls-regular-grants_en</w:t>
            </w:r>
          </w:p>
        </w:tc>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≥200 лет</w:t>
            </w:r>
          </w:p>
          <w:p>
            <w:pPr>
              <w:spacing w:after="40" w:before="0"/>
              <w:jc w:val="center"/>
            </w:pPr>
            <w:r>
              <w:rPr>
                <w:rFonts w:ascii="Calibri" w:cs="Calibri" w:eastAsia="Calibri" w:hAnsi="Calibri"/>
                <w:color w:val="1A1A1A"/>
                <w:sz w:val="18"/>
                <w:szCs w:val="18"/>
              </w:rPr>
              <w:t xml:space="preserve">минимальный период геологического хранилища CO₂ под CRCF</w:t>
            </w:r>
          </w:p>
          <w:p>
            <w:pPr>
              <w:spacing w:after="0" w:before="0"/>
              <w:jc w:val="center"/>
            </w:pPr>
            <w:r>
              <w:rPr>
                <w:rFonts w:ascii="Calibri" w:cs="Calibri" w:eastAsia="Calibri" w:hAnsi="Calibri"/>
                <w:i/>
                <w:iCs/>
                <w:color w:val="595959"/>
                <w:sz w:val="16"/>
                <w:szCs w:val="16"/>
              </w:rPr>
              <w:t xml:space="preserve">https://zeroemissionsplatform.eu/publication/recommendations-for-the-certification-of-carbon-removals/</w:t>
            </w:r>
          </w:p>
        </w:tc>
      </w:tr>
    </w:tbl>
    <w:p>
      <w:pPr>
        <w:spacing w:after="16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3040"/>
        <w:gridCol w:w="3040"/>
        <w:gridCol w:w="3040"/>
      </w:tblGrid>
      <w:tr>
        <w:trPr>
          <w:trHeight w:val="1600"/>
        </w:trPr>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€3,5 млрд</w:t>
            </w:r>
          </w:p>
          <w:p>
            <w:pPr>
              <w:spacing w:after="40" w:before="0"/>
              <w:jc w:val="center"/>
            </w:pPr>
            <w:r>
              <w:rPr>
                <w:rFonts w:ascii="Calibri" w:cs="Calibri" w:eastAsia="Calibri" w:hAnsi="Calibri"/>
                <w:color w:val="1A1A1A"/>
                <w:sz w:val="18"/>
                <w:szCs w:val="18"/>
              </w:rPr>
              <w:t xml:space="preserve">Дания CCS Fund капитал</w:t>
            </w:r>
          </w:p>
          <w:p>
            <w:pPr>
              <w:spacing w:after="0" w:before="0"/>
              <w:jc w:val="center"/>
            </w:pPr>
            <w:r>
              <w:rPr>
                <w:rFonts w:ascii="Calibri" w:cs="Calibri" w:eastAsia="Calibri" w:hAnsi="Calibri"/>
                <w:i/>
                <w:iCs/>
                <w:color w:val="595959"/>
                <w:sz w:val="16"/>
                <w:szCs w:val="16"/>
              </w:rPr>
              <w:t xml:space="preserve">https://www.globalccsinstitute.com/ccs-in-europe-a-regional-overview/</w:t>
            </w:r>
          </w:p>
        </w:tc>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€2,1 млрд</w:t>
            </w:r>
          </w:p>
          <w:p>
            <w:pPr>
              <w:spacing w:after="40" w:before="0"/>
              <w:jc w:val="center"/>
            </w:pPr>
            <w:r>
              <w:rPr>
                <w:rFonts w:ascii="Calibri" w:cs="Calibri" w:eastAsia="Calibri" w:hAnsi="Calibri"/>
                <w:color w:val="1A1A1A"/>
                <w:sz w:val="18"/>
                <w:szCs w:val="18"/>
              </w:rPr>
              <w:t xml:space="preserve">Нидерланды гарантия для Rotterdam CCS Project</w:t>
            </w:r>
          </w:p>
          <w:p>
            <w:pPr>
              <w:spacing w:after="0" w:before="0"/>
              <w:jc w:val="center"/>
            </w:pPr>
            <w:r>
              <w:rPr>
                <w:rFonts w:ascii="Calibri" w:cs="Calibri" w:eastAsia="Calibri" w:hAnsi="Calibri"/>
                <w:i/>
                <w:iCs/>
                <w:color w:val="595959"/>
                <w:sz w:val="16"/>
                <w:szCs w:val="16"/>
              </w:rPr>
              <w:t xml:space="preserve">https://www.catf.us/carbon-capture/europe/</w:t>
            </w:r>
          </w:p>
        </w:tc>
        <w:tc>
          <w:tcPr>
            <w:tcW w:type="dxa" w:w="304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2,5 Mt CO₂/год</w:t>
            </w:r>
          </w:p>
          <w:p>
            <w:pPr>
              <w:spacing w:after="40" w:before="0"/>
              <w:jc w:val="center"/>
            </w:pPr>
            <w:r>
              <w:rPr>
                <w:rFonts w:ascii="Calibri" w:cs="Calibri" w:eastAsia="Calibri" w:hAnsi="Calibri"/>
                <w:color w:val="1A1A1A"/>
                <w:sz w:val="18"/>
                <w:szCs w:val="18"/>
              </w:rPr>
              <w:t xml:space="preserve">ожидаемая годовая мощность захвата Rotterdam CCS Project (операционный 2026)</w:t>
            </w:r>
          </w:p>
          <w:p>
            <w:pPr>
              <w:spacing w:after="0" w:before="0"/>
              <w:jc w:val="center"/>
            </w:pPr>
            <w:r>
              <w:rPr>
                <w:rFonts w:ascii="Calibri" w:cs="Calibri" w:eastAsia="Calibri" w:hAnsi="Calibri"/>
                <w:i/>
                <w:iCs/>
                <w:color w:val="595959"/>
                <w:sz w:val="16"/>
                <w:szCs w:val="16"/>
              </w:rPr>
              <w:t xml:space="preserve">https://www.catf.us/carbon-capture/europe/</w:t>
            </w:r>
          </w:p>
        </w:tc>
      </w:tr>
    </w:tbl>
    <w:p>
      <w:pPr>
        <w:spacing w:after="16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rPr>
          <w:trHeight w:val="1600"/>
        </w:trPr>
        <w:tc>
          <w:tcPr>
            <w:tcW w:type="dxa" w:w="9360"/>
            <w:tcBorders>
              <w:top w:val="single" w:color="1F3A5F" w:sz="8"/>
              <w:left w:val="single" w:color="1F3A5F" w:sz="8"/>
              <w:bottom w:val="single" w:color="1F3A5F" w:sz="8"/>
              <w:right w:val="single" w:color="1F3A5F" w:sz="8"/>
            </w:tcBorders>
            <w:shd w:fill="F5F2EC" w:color="auto" w:val="clear"/>
            <w:tcMar>
              <w:top w:type="dxa" w:w="120"/>
              <w:left w:type="dxa" w:w="160"/>
              <w:bottom w:type="dxa" w:w="120"/>
              <w:right w:type="dxa" w:w="160"/>
            </w:tcMar>
            <w:vAlign w:val="center"/>
          </w:tcPr>
          <w:p>
            <w:pPr>
              <w:spacing w:after="60" w:before="0"/>
              <w:jc w:val="center"/>
            </w:pPr>
            <w:r>
              <w:rPr>
                <w:rFonts w:ascii="Calibri" w:cs="Calibri" w:eastAsia="Calibri" w:hAnsi="Calibri"/>
                <w:b/>
                <w:bCs/>
                <w:color w:val="1F3A5F"/>
                <w:sz w:val="96"/>
                <w:szCs w:val="96"/>
              </w:rPr>
              <w:t xml:space="preserve">€38+ млрд</w:t>
            </w:r>
          </w:p>
          <w:p>
            <w:pPr>
              <w:spacing w:after="40" w:before="0"/>
              <w:jc w:val="center"/>
            </w:pPr>
            <w:r>
              <w:rPr>
                <w:rFonts w:ascii="Calibri" w:cs="Calibri" w:eastAsia="Calibri" w:hAnsi="Calibri"/>
                <w:color w:val="1A1A1A"/>
                <w:sz w:val="18"/>
                <w:szCs w:val="18"/>
              </w:rPr>
              <w:t xml:space="preserve">общее финансирование ЕС для DAC 2020–2030</w:t>
            </w:r>
          </w:p>
          <w:p>
            <w:pPr>
              <w:spacing w:after="0" w:before="0"/>
              <w:jc w:val="center"/>
            </w:pPr>
            <w:r>
              <w:rPr>
                <w:rFonts w:ascii="Calibri" w:cs="Calibri" w:eastAsia="Calibri" w:hAnsi="Calibri"/>
                <w:i/>
                <w:iCs/>
                <w:color w:val="595959"/>
                <w:sz w:val="16"/>
                <w:szCs w:val="16"/>
              </w:rPr>
              <w:t xml:space="preserve">https://carbongap.org/eu-carbon-removal-funding/</w:t>
            </w:r>
          </w:p>
        </w:tc>
      </w:tr>
    </w:tbl>
    <w:p>
      <w:pPr>
        <w:spacing w:after="160" w:before="0"/>
      </w:pPr>
    </w:p>
    <w:p>
      <w:pPr>
        <w:spacing w:after="200" w:before="0"/>
      </w:pPr>
    </w:p>
    <w:p>
      <w:pPr>
        <w:spacing w:after="160" w:before="360"/>
        <w:outlineLvl w:val="1"/>
      </w:pPr>
      <w:r>
        <w:rPr>
          <w:rFonts w:ascii="Calibri" w:cs="Calibri" w:eastAsia="Calibri" w:hAnsi="Calibri"/>
          <w:b/>
          <w:bCs/>
          <w:color w:val="1F3A5F"/>
          <w:sz w:val="52"/>
          <w:szCs w:val="52"/>
        </w:rPr>
        <w:t xml:space="preserve">Ответы на ключевые вопросы</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Какова первичная нормативно-правовая база для регулирования улавливания прямого воздуха в ЕС?</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Регламент об углеродных удалениях и углеродном земледелии (CRCF, ЕС 2024/3012), принятый в декабре 2024 года и вступивший в силу в начале апреля 2026 года, представляет первую в мире комплексную добровольную систему сертификации для постоянного удаления углерода [1]. Он дополняется Директивой по CCS (2009/31/EC) для геологического хранилища и существующими правилами EU ETS.</w:t>
      </w:r>
    </w:p>
    <w:p>
      <w:pPr>
        <w:spacing w:after="80" w:before="0"/>
      </w:pPr>
      <w:r>
        <w:rPr>
          <w:rFonts w:ascii="Calibri" w:cs="Calibri" w:eastAsia="Calibri" w:hAnsi="Calibri"/>
          <w:i/>
          <w:iCs/>
          <w:color w:val="595959"/>
          <w:sz w:val="18"/>
          <w:szCs w:val="18"/>
        </w:rPr>
        <w:t xml:space="preserve">Подробнее: Раздел 1 в main_synthesis: Нормативно-правовая база CRCF как переломный момент</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Какие четыре обязательные критерии качества CRCF применяются к проектам DACCS?</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(1) Количественная оценка: проекты должны измерять и сообщать объёмы удаления CO₂ с указанными уровнями точности, используя одобренные методологии [2]. (2) Дополнительность: проекты должны демонстрировать через анализ затрат-выгод, что они не произойдут без сертификации [22]. (3) Геологическое хранилище ≥200 лет: удалённый CO₂ должен оставаться геологически секвестрированным минимум 200 лет [3]. (4) Устойчивость: проекты должны демонстрировать отсутствие значительных отрицательных воздействий на окружающую среду, общество или экономику [4].</w:t>
      </w:r>
    </w:p>
    <w:p>
      <w:pPr>
        <w:spacing w:after="80" w:before="0"/>
      </w:pPr>
      <w:r>
        <w:rPr>
          <w:rFonts w:ascii="Calibri" w:cs="Calibri" w:eastAsia="Calibri" w:hAnsi="Calibri"/>
          <w:i/>
          <w:iCs/>
          <w:color w:val="595959"/>
          <w:sz w:val="18"/>
          <w:szCs w:val="18"/>
        </w:rPr>
        <w:t xml:space="preserve">Подробнее: Раздел 1.1 в main_synthesis: Четыре критерия качества CRCF</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Какой самый важный финансовый механизм доступен для DAC проектов в 2026 году?</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Innovation Fund 2025 Net-Zero Technologies call представляет наиболее немедленно релевантную возможность финансирования с общим бюджетом €2,9 млрд (€2,4 млрд для технологий нулевых выбросов), до 60% софинансирования, и дедлайном приложения 23 апреля 2026 года 17:00 CEST [8][21]. Проекты DACCS явно приемлемы. Результаты ожидаются Q3 2026, награды объявлены Q1 2027.</w:t>
      </w:r>
    </w:p>
    <w:p>
      <w:pPr>
        <w:spacing w:after="80" w:before="0"/>
      </w:pPr>
      <w:r>
        <w:rPr>
          <w:rFonts w:ascii="Calibri" w:cs="Calibri" w:eastAsia="Calibri" w:hAnsi="Calibri"/>
          <w:i/>
          <w:iCs/>
          <w:color w:val="595959"/>
          <w:sz w:val="18"/>
          <w:szCs w:val="18"/>
        </w:rPr>
        <w:t xml:space="preserve">Подробнее: Раздел 3.1 в main_synthesis: Innovation Fund 2025 Net-Zero Technologies Call</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Какие национальные программы финансирования доступны для DAC в 2026 году?</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Дания управляет CCS Fund с €3,5 млрд капитала, первый тендер октябрь 2024 [17]. [STRONG] Швеция выделяет €3 млрд BECCS Aid Scheme (одобрено июль 2024) [17]. [STRONG] Нидерланды предоставляют €2,1 млрд гарантию для проекта Rotterdam CCS (ожидается операционный 2026, 2,5 Mt CO₂/год) плюс €141 млн из других национальных инструментов [18]. [MODERATE] Германия предлагает BIK (Federal Funding for Industry and Climate Protection) с интенсивностью 40–50% и минимальными грантами €500 тыс. (малые предприятия) до €1 млн (крупные предприятия) [14].</w:t>
      </w:r>
    </w:p>
    <w:p>
      <w:pPr>
        <w:spacing w:after="80" w:before="0"/>
      </w:pPr>
      <w:r>
        <w:rPr>
          <w:rFonts w:ascii="Calibri" w:cs="Calibri" w:eastAsia="Calibri" w:hAnsi="Calibri"/>
          <w:i/>
          <w:iCs/>
          <w:color w:val="595959"/>
          <w:sz w:val="18"/>
          <w:szCs w:val="18"/>
        </w:rPr>
        <w:t xml:space="preserve">Подробнее: Раздел 2 в main_synthesis: Национальные программы финансирования</w:t>
      </w:r>
    </w:p>
    <w:p>
      <w:pPr>
        <w:spacing w:after="60" w:before="200"/>
      </w:pPr>
      <w:r>
        <w:rPr>
          <w:rFonts w:ascii="Calibri" w:cs="Calibri" w:eastAsia="Calibri" w:hAnsi="Calibri"/>
          <w:b/>
          <w:bCs/>
          <w:color w:val="1F3A5F"/>
          <w:sz w:val="22"/>
          <w:szCs w:val="22"/>
        </w:rPr>
        <w:t xml:space="preserve">В: </w:t>
      </w:r>
      <w:r>
        <w:rPr>
          <w:rFonts w:ascii="Calibri" w:cs="Calibri" w:eastAsia="Calibri" w:hAnsi="Calibri"/>
          <w:b/>
          <w:bCs/>
          <w:color w:val="1A1A1A"/>
          <w:sz w:val="22"/>
          <w:szCs w:val="22"/>
        </w:rPr>
        <w:t xml:space="preserve">Какие критические барьеры существуют для развертывания DAC в ЕС в 2026 году?</w:t>
      </w:r>
    </w:p>
    <w:p>
      <w:pPr>
        <w:spacing w:after="60" w:before="0"/>
      </w:pPr>
      <w:r>
        <w:rPr>
          <w:rFonts w:ascii="Calibri" w:cs="Calibri" w:eastAsia="Calibri" w:hAnsi="Calibri"/>
          <w:b/>
          <w:bCs/>
          <w:color w:val="C9A961"/>
          <w:sz w:val="22"/>
          <w:szCs w:val="22"/>
        </w:rPr>
        <w:t xml:space="preserve">О: </w:t>
      </w:r>
      <w:r>
        <w:rPr>
          <w:rFonts w:ascii="Calibri" w:cs="Calibri" w:eastAsia="Calibri" w:hAnsi="Calibri"/>
          <w:color w:val="1A1A1A"/>
          <w:sz w:val="22"/>
          <w:szCs w:val="22"/>
        </w:rPr>
        <w:t xml:space="preserve">[STRONG] Требование часового соответствия электричества CRCF исключает использование накопленной возобновляемой энергии или удалённого сетевого электричества, существенно ограничивая места размещения проектов регионами с надёжной местной возобновляемой мощностью [5]. [STRONG] Критический разрыв финансирования существует между демонстрационными объектами (TRL 4–6, требующие €50–100 млн) и коммерческим развертыванием (TRL 9–10, требующие €500+ млн), с ограниченными механизмами финансирования, перекрывающими этот разрыв [5]. [авторский синтез] ЕС поддержка DAC работает через конкурентные гранты (40–60% софинансирования, требующие 2-летних периодов оценки) вместо прямых субсидий, сравнимых с US 45Q €170/тонну, создавая структурный недостаток конкурентоспособности.</w:t>
      </w:r>
    </w:p>
    <w:p>
      <w:pPr>
        <w:spacing w:after="80" w:before="0"/>
      </w:pPr>
      <w:r>
        <w:rPr>
          <w:rFonts w:ascii="Calibri" w:cs="Calibri" w:eastAsia="Calibri" w:hAnsi="Calibri"/>
          <w:i/>
          <w:iCs/>
          <w:color w:val="595959"/>
          <w:sz w:val="18"/>
          <w:szCs w:val="18"/>
        </w:rPr>
        <w:t xml:space="preserve">Подробнее: Раздел 4 в main_synthesis: Критические барьеры и стратегический прогноз</w:t>
      </w:r>
    </w:p>
    <w:p>
      <w:pPr>
        <w:spacing w:after="200" w:before="0"/>
      </w:pPr>
    </w:p>
    <w:p>
      <w:pPr>
        <w:spacing w:after="160" w:before="360"/>
        <w:outlineLvl w:val="1"/>
      </w:pPr>
      <w:r>
        <w:rPr>
          <w:rFonts w:ascii="Calibri" w:cs="Calibri" w:eastAsia="Calibri" w:hAnsi="Calibri"/>
          <w:b/>
          <w:bCs/>
          <w:color w:val="1F3A5F"/>
          <w:sz w:val="52"/>
          <w:szCs w:val="52"/>
        </w:rPr>
        <w:t xml:space="preserve">Ключевые выводы</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CRCF Regulation (ЕС 2024/3012) представляет первую в мире комплексную добровольную систему сертификации для постоянного удаления углерода, принятую в декабре 2024 года и вступившую в силу в начале апреля 2026 года [REF:https://climate.ec.europa.eu/news-other-reads/news/eu-sets-worlds-first-voluntary-standard-permanent-carbon-removals-2026-02-03_en]</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Проекты DACCS должны соответствовать четырём обязательным критериям качества: количественная оценка с указанной точностью, дополнительность (демонстрация через анализ затрат-выгод), геологическое хранилище ≥200 лет и оценка устойчивости (воздействие на воду, почву, воздух, общественное принятие) [REF:https://www.climefi.com/blog-posts/climefi-eu-crcf-update]</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Требование часового соответствия электричества исключает использование накопленной возобновляемой энергии или удалённого сетевого электричества, существенно ограничивая места размещения проектов регионами с надёжной местной возобновляемой мощностью [REF:https://www.europarl.europa.eu/RegData/etudes/STUD/2025/772474/ECTI_STU(2025)772474_EN.pdf]</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Innovation Fund 2025 Net-Zero Technologies call: €2,9 млрд общего бюджета (€2,4 млрд для технологий нулевых выбросов), до 60% софинансирования, дедлайн приложения 23 апреля 2026 года 17:00 CEST, результаты ожидаются Q3 2026, награды объявлены Q1 2027 [REF:https://tracker.carbongap.org/policy/innovation-fund/][REF:https://cinea.ec.europa.eu/programmes/innovation-fund/calls-regular-grants_en]</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Horizon Europe выделяет €95,5 млрд на 2021–2027 годы, с 3,8% бюджета 2023–2024 направленным на проекты удаления диоксида углерода и €15–16 млн на выделенные вызовы прямого улавливания воздуха [REF:https://carbongap.org/eu-carbon-removal-funding/]</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Recovery and Resilience Facility: €723,8 млрд общего бюджета, распределённый между государствами-членами с идентифицированными выделениями DAC (Бельгия €95 млн, Хорватия €658 млн, Дания €27 млн, Финляндия €136 млн, Греция €150 млн) [REF:https://carbongap.org/eu-carbon-removal-funding/]</w:t>
      </w:r>
    </w:p>
    <w:p>
      <w:pPr>
        <w:pStyle w:val="ListParagraph"/>
        <w:numPr>
          <w:ilvl w:val="0"/>
          <w:numId w:val="2"/>
        </w:numPr>
        <w:spacing w:after="60" w:before="60"/>
      </w:pPr>
      <w:r>
        <w:rPr>
          <w:rFonts w:ascii="Calibri" w:cs="Calibri" w:eastAsia="Calibri" w:hAnsi="Calibri"/>
          <w:b w:val="false"/>
          <w:bCs w:val="false"/>
          <w:i w:val="false"/>
          <w:iCs w:val="false"/>
          <w:color w:val="1A1A1A"/>
          <w:sz w:val="22"/>
          <w:szCs w:val="22"/>
        </w:rPr>
        <w:t xml:space="preserve">[STRONG] Национальные программы: Дания €3,5 млрд CCS Fund (первый тендер октябрь 2024), Швеция €3 млрд BECCS Aid Scheme (одобрено июль 2024), Нидерланды €2,1 млрд гарантия для проекта Rotterdam CCS (ожидается операционный 2026, 2,5 Mt CO₂/год) плюс €141 млн из других национальных инструментов [REF:https://www.globalccsinstitute.com/ccs-in-europe-a-regional-overview/][REF:https://www.catf.us/carbon-capture/europe/]</w:t>
      </w:r>
    </w:p>
    <w:p>
      <w:pPr>
        <w:spacing w:after="2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9A961" w:sz="32"/>
              <w:bottom w:val="none" w:color="auto" w:sz="0"/>
              <w:right w:val="none" w:color="auto" w:sz="0"/>
            </w:tcBorders>
            <w:shd w:fill="F0E4C4" w:color="auto" w:val="clear"/>
            <w:tcMar>
              <w:top w:type="dxa" w:w="120"/>
              <w:left w:type="dxa" w:w="200"/>
              <w:bottom w:type="dxa" w:w="120"/>
              <w:right w:type="dxa" w:w="200"/>
            </w:tcMar>
          </w:tcPr>
          <w:p>
            <w:pPr>
              <w:spacing w:after="80" w:before="0"/>
            </w:pPr>
            <w:r>
              <w:rPr>
                <w:rFonts w:ascii="Calibri" w:cs="Calibri" w:eastAsia="Calibri" w:hAnsi="Calibri"/>
                <w:b/>
                <w:bCs/>
                <w:color w:val="C9A961"/>
                <w:sz w:val="22"/>
                <w:szCs w:val="22"/>
              </w:rPr>
              <w:t xml:space="preserve">Методологическая заметка</w:t>
            </w:r>
          </w:p>
          <w:p>
            <w:pPr>
              <w:spacing w:after="0" w:before="0"/>
            </w:pPr>
            <w:r>
              <w:rPr>
                <w:rFonts w:ascii="Calibri" w:cs="Calibri" w:eastAsia="Calibri" w:hAnsi="Calibri"/>
                <w:color w:val="1A1A1A"/>
                <w:sz w:val="20"/>
                <w:szCs w:val="20"/>
              </w:rPr>
              <w:t xml:space="preserve">⚠ Пробелы в доказательной базе: найдено 1 под-вопросов с недостаточным покрытием (критичных: 0, умеренных: 0, незначительных: 1).
• [Незначительно] Под-вопрос 1: What are the eligibility criteria, application timelines, and funding caps for EU DAC subsidies in 2026?
Аналитику стоит прогнать целевые исследовательские запросы по этим темам и повторно загрузить новые отчёты в систему. Целевые промпты доступны через системный эндпоинт проверки пробелов (см. метаданные отчёта).
[STRONG] Высокий уровень доверия к нормативно-правовой базе и механизмам финансирования на уровне ЕС (первичные источники: Европейская комиссия, CINEA, Европейский парламент). [MODERATE] Детали национального финансирования опираются на вторичные агрегаторы (carbongap.org, Global CCS Institute); конкретные дедлайны вызовов 2026 и процедуры требуют проверки против национальных портальных министерств. [WEAK] Цены добровольных углеродных кредитов (€200–800/тонна) требуют верификации Q1 2026 рыночных данных (Ecosystem Marketplace, Refinitiv, Verra price index).</w:t>
            </w:r>
            <w:r>
              <w:rPr>
                <w:rFonts w:ascii="Calibri" w:cs="Calibri" w:eastAsia="Calibri" w:hAnsi="Calibri"/>
                <w:color w:val="1A1A1A"/>
                <w:sz w:val="20"/>
                <w:szCs w:val="20"/>
              </w:rPr>
              <w:br/>
              <w:t xml:space="preserve">[авторский синтез] Этот синтез разрешает ключевое противоречие между регуляторной строгостью (CRCF устанавливает мировые стандарты) и финансовой неадекватностью (отсутствие прямых субсидий, сравнимых с US 45Q €170/тонну): требование часового соответствия электричества и разрыв финансирования между пилотом (€50–100 млн) и коммерческим масштабом (€500+ млн) означают, что развертывание DAC в ЕС будет концентрироваться в странах-членах с национальным софинансированием (Нидерланды, Дания, Германия) вместо достижения масштабирования на уровне ЕС. Q3 2026 обновления EU ETS и Energy Union Package потенциально разблокируют дополнительную экономику проектов, если Certified Removal Units (CRUs) получат признание ETS.</w:t>
            </w:r>
          </w:p>
        </w:tc>
      </w:tr>
    </w:tbl>
    <w:p>
      <w:pPr>
        <w:spacing w:after="200" w:before="0"/>
      </w:pPr>
    </w:p>
    <w:p>
      <w:r>
        <w:br/>
      </w:r>
    </w:p>
    <w:p>
      <w:pPr>
        <w:spacing w:after="200" w:before="480"/>
        <w:outlineLvl w:val="0"/>
      </w:pPr>
      <w:r>
        <w:rPr>
          <w:rFonts w:ascii="Calibri" w:cs="Calibri" w:eastAsia="Calibri" w:hAnsi="Calibri"/>
          <w:b/>
          <w:bCs/>
          <w:color w:val="1F3A5F"/>
          <w:sz w:val="64"/>
          <w:szCs w:val="64"/>
        </w:rPr>
        <w:t xml:space="preserve">Содержание</w:t>
      </w:r>
    </w:p>
    <w:p>
      <w:pPr>
        <w:tabs>
          <w:tab w:val="right" w:pos="9360"/>
        </w:tabs>
        <w:spacing w:after="60" w:before="120"/>
      </w:pPr>
      <w:r>
        <w:rPr>
          <w:rFonts w:ascii="Calibri" w:cs="Calibri" w:eastAsia="Calibri" w:hAnsi="Calibri"/>
          <w:b/>
          <w:bCs/>
          <w:color w:val="1F3A5F"/>
          <w:sz w:val="22"/>
          <w:szCs w:val="22"/>
        </w:rPr>
        <w:t xml:space="preserve">Аналитическое резюме</w:t>
      </w:r>
    </w:p>
    <w:p>
      <w:pPr>
        <w:tabs>
          <w:tab w:val="right" w:pos="9360"/>
        </w:tabs>
        <w:spacing w:after="40" w:before="60"/>
        <w:ind w:left="720"/>
      </w:pPr>
      <w:r>
        <w:rPr>
          <w:rFonts w:ascii="Calibri" w:cs="Calibri" w:eastAsia="Calibri" w:hAnsi="Calibri"/>
          <w:b w:val="false"/>
          <w:bCs w:val="false"/>
          <w:color w:val="1A1A1A"/>
          <w:sz w:val="20"/>
          <w:szCs w:val="20"/>
        </w:rPr>
        <w:t xml:space="preserve">Ответы на ключевые вопросы</w:t>
      </w:r>
    </w:p>
    <w:p>
      <w:pPr>
        <w:tabs>
          <w:tab w:val="right" w:pos="9360"/>
        </w:tabs>
        <w:spacing w:after="40" w:before="60"/>
        <w:ind w:left="720"/>
      </w:pPr>
      <w:r>
        <w:rPr>
          <w:rFonts w:ascii="Calibri" w:cs="Calibri" w:eastAsia="Calibri" w:hAnsi="Calibri"/>
          <w:b w:val="false"/>
          <w:bCs w:val="false"/>
          <w:color w:val="1A1A1A"/>
          <w:sz w:val="20"/>
          <w:szCs w:val="20"/>
        </w:rPr>
        <w:t xml:space="preserve">Ключевые выводы</w:t>
      </w:r>
    </w:p>
    <w:p>
      <w:pPr>
        <w:tabs>
          <w:tab w:val="right" w:pos="9360"/>
        </w:tabs>
        <w:spacing w:after="60" w:before="120"/>
      </w:pPr>
      <w:r>
        <w:rPr>
          <w:rFonts w:ascii="Calibri" w:cs="Calibri" w:eastAsia="Calibri" w:hAnsi="Calibri"/>
          <w:b/>
          <w:bCs/>
          <w:color w:val="1F3A5F"/>
          <w:sz w:val="22"/>
          <w:szCs w:val="22"/>
        </w:rPr>
        <w:t xml:space="preserve">Синтез: Регуляторная архитектура и финансовый ландшафт DAC в ЕС 2026</w:t>
      </w:r>
    </w:p>
    <w:p>
      <w:pPr>
        <w:tabs>
          <w:tab w:val="right" w:pos="9360"/>
        </w:tabs>
        <w:spacing w:after="40" w:before="60"/>
        <w:ind w:left="720"/>
      </w:pPr>
      <w:r>
        <w:rPr>
          <w:rFonts w:ascii="Calibri" w:cs="Calibri" w:eastAsia="Calibri" w:hAnsi="Calibri"/>
          <w:b w:val="false"/>
          <w:bCs w:val="false"/>
          <w:color w:val="1A1A1A"/>
          <w:sz w:val="20"/>
          <w:szCs w:val="20"/>
        </w:rPr>
        <w:t xml:space="preserve">Позиция автора</w:t>
      </w:r>
    </w:p>
    <w:p>
      <w:pPr>
        <w:tabs>
          <w:tab w:val="right" w:pos="9360"/>
        </w:tabs>
        <w:spacing w:after="40" w:before="60"/>
        <w:ind w:left="720"/>
      </w:pPr>
      <w:r>
        <w:rPr>
          <w:rFonts w:ascii="Calibri" w:cs="Calibri" w:eastAsia="Calibri" w:hAnsi="Calibri"/>
          <w:b w:val="false"/>
          <w:bCs w:val="false"/>
          <w:color w:val="1A1A1A"/>
          <w:sz w:val="20"/>
          <w:szCs w:val="20"/>
        </w:rPr>
        <w:t xml:space="preserve">1. Нормативно-правовая база: CRCF как переломный момент</w:t>
      </w:r>
    </w:p>
    <w:p>
      <w:pPr>
        <w:tabs>
          <w:tab w:val="right" w:pos="9360"/>
        </w:tabs>
        <w:spacing w:after="40" w:before="60"/>
        <w:ind w:left="720"/>
      </w:pPr>
      <w:r>
        <w:rPr>
          <w:rFonts w:ascii="Calibri" w:cs="Calibri" w:eastAsia="Calibri" w:hAnsi="Calibri"/>
          <w:b w:val="false"/>
          <w:bCs w:val="false"/>
          <w:color w:val="1A1A1A"/>
          <w:sz w:val="20"/>
          <w:szCs w:val="20"/>
        </w:rPr>
        <w:t xml:space="preserve">2. Поддерживающая нормативно-правовая база: Директива по CCS и EU ETS</w:t>
      </w:r>
    </w:p>
    <w:p>
      <w:pPr>
        <w:tabs>
          <w:tab w:val="right" w:pos="9360"/>
        </w:tabs>
        <w:spacing w:after="40" w:before="60"/>
        <w:ind w:left="720"/>
      </w:pPr>
      <w:r>
        <w:rPr>
          <w:rFonts w:ascii="Calibri" w:cs="Calibri" w:eastAsia="Calibri" w:hAnsi="Calibri"/>
          <w:b w:val="false"/>
          <w:bCs w:val="false"/>
          <w:color w:val="1A1A1A"/>
          <w:sz w:val="20"/>
          <w:szCs w:val="20"/>
        </w:rPr>
        <w:t xml:space="preserve">3. Финансовые механизмы: €2,9 млрд Innovation Fund как центральная возможность</w:t>
      </w:r>
    </w:p>
    <w:p>
      <w:pPr>
        <w:tabs>
          <w:tab w:val="right" w:pos="9360"/>
        </w:tabs>
        <w:spacing w:after="40" w:before="60"/>
        <w:ind w:left="720"/>
      </w:pPr>
      <w:r>
        <w:rPr>
          <w:rFonts w:ascii="Calibri" w:cs="Calibri" w:eastAsia="Calibri" w:hAnsi="Calibri"/>
          <w:b w:val="false"/>
          <w:bCs w:val="false"/>
          <w:color w:val="1A1A1A"/>
          <w:sz w:val="20"/>
          <w:szCs w:val="20"/>
        </w:rPr>
        <w:t xml:space="preserve">4. Национальные программы финансирования: государства-члены-специфичные механизмы</w:t>
      </w:r>
    </w:p>
    <w:p>
      <w:pPr>
        <w:tabs>
          <w:tab w:val="right" w:pos="9360"/>
        </w:tabs>
        <w:spacing w:after="40" w:before="60"/>
        <w:ind w:left="720"/>
      </w:pPr>
      <w:r>
        <w:rPr>
          <w:rFonts w:ascii="Calibri" w:cs="Calibri" w:eastAsia="Calibri" w:hAnsi="Calibri"/>
          <w:b w:val="false"/>
          <w:bCs w:val="false"/>
          <w:color w:val="1A1A1A"/>
          <w:sz w:val="20"/>
          <w:szCs w:val="20"/>
        </w:rPr>
        <w:t xml:space="preserve">5. Механизмы углеродного рынка (потоки доходов без субсидий)</w:t>
      </w:r>
    </w:p>
    <w:p>
      <w:pPr>
        <w:tabs>
          <w:tab w:val="right" w:pos="9360"/>
        </w:tabs>
        <w:spacing w:after="40" w:before="60"/>
        <w:ind w:left="720"/>
      </w:pPr>
      <w:r>
        <w:rPr>
          <w:rFonts w:ascii="Calibri" w:cs="Calibri" w:eastAsia="Calibri" w:hAnsi="Calibri"/>
          <w:b w:val="false"/>
          <w:bCs w:val="false"/>
          <w:color w:val="1A1A1A"/>
          <w:sz w:val="20"/>
          <w:szCs w:val="20"/>
        </w:rPr>
        <w:t xml:space="preserve">6. Критические барьеры и стратегический прогноз</w:t>
      </w:r>
    </w:p>
    <w:p>
      <w:pPr>
        <w:tabs>
          <w:tab w:val="right" w:pos="9360"/>
        </w:tabs>
        <w:spacing w:after="40" w:before="60"/>
        <w:ind w:left="720"/>
      </w:pPr>
      <w:r>
        <w:rPr>
          <w:rFonts w:ascii="Calibri" w:cs="Calibri" w:eastAsia="Calibri" w:hAnsi="Calibri"/>
          <w:b w:val="false"/>
          <w:bCs w:val="false"/>
          <w:color w:val="1A1A1A"/>
          <w:sz w:val="20"/>
          <w:szCs w:val="20"/>
        </w:rPr>
        <w:t xml:space="preserve">Заключение</w:t>
      </w:r>
    </w:p>
    <w:p>
      <w:pPr>
        <w:tabs>
          <w:tab w:val="right" w:pos="9360"/>
        </w:tabs>
        <w:spacing w:after="60" w:before="120"/>
      </w:pPr>
      <w:r>
        <w:rPr>
          <w:rFonts w:ascii="Calibri" w:cs="Calibri" w:eastAsia="Calibri" w:hAnsi="Calibri"/>
          <w:b/>
          <w:bCs/>
          <w:color w:val="1F3A5F"/>
          <w:sz w:val="22"/>
          <w:szCs w:val="22"/>
        </w:rPr>
        <w:t xml:space="preserve">Аналитические таблицы</w:t>
      </w:r>
    </w:p>
    <w:p>
      <w:pPr>
        <w:tabs>
          <w:tab w:val="right" w:pos="9360"/>
        </w:tabs>
        <w:spacing w:after="60" w:before="120"/>
      </w:pPr>
      <w:r>
        <w:rPr>
          <w:rFonts w:ascii="Calibri" w:cs="Calibri" w:eastAsia="Calibri" w:hAnsi="Calibri"/>
          <w:b/>
          <w:bCs/>
          <w:color w:val="1F3A5F"/>
          <w:sz w:val="22"/>
          <w:szCs w:val="22"/>
        </w:rPr>
        <w:t xml:space="preserve">Ключевые инсайты</w:t>
      </w:r>
    </w:p>
    <w:p>
      <w:pPr>
        <w:tabs>
          <w:tab w:val="right" w:pos="9360"/>
        </w:tabs>
        <w:spacing w:after="60" w:before="120"/>
      </w:pPr>
      <w:r>
        <w:rPr>
          <w:rFonts w:ascii="Calibri" w:cs="Calibri" w:eastAsia="Calibri" w:hAnsi="Calibri"/>
          <w:b/>
          <w:bCs/>
          <w:color w:val="1F3A5F"/>
          <w:sz w:val="22"/>
          <w:szCs w:val="22"/>
        </w:rPr>
        <w:t xml:space="preserve">Консенсус источников</w:t>
      </w:r>
    </w:p>
    <w:p>
      <w:pPr>
        <w:tabs>
          <w:tab w:val="right" w:pos="9360"/>
        </w:tabs>
        <w:spacing w:after="60" w:before="120"/>
      </w:pPr>
      <w:r>
        <w:rPr>
          <w:rFonts w:ascii="Calibri" w:cs="Calibri" w:eastAsia="Calibri" w:hAnsi="Calibri"/>
          <w:b/>
          <w:bCs/>
          <w:color w:val="1F3A5F"/>
          <w:sz w:val="22"/>
          <w:szCs w:val="22"/>
        </w:rPr>
        <w:t xml:space="preserve">Расхождения между источниками</w:t>
      </w:r>
    </w:p>
    <w:p>
      <w:pPr>
        <w:tabs>
          <w:tab w:val="right" w:pos="9360"/>
        </w:tabs>
        <w:spacing w:after="60" w:before="120"/>
      </w:pPr>
      <w:r>
        <w:rPr>
          <w:rFonts w:ascii="Calibri" w:cs="Calibri" w:eastAsia="Calibri" w:hAnsi="Calibri"/>
          <w:b/>
          <w:bCs/>
          <w:color w:val="1F3A5F"/>
          <w:sz w:val="22"/>
          <w:szCs w:val="22"/>
        </w:rPr>
        <w:t xml:space="preserve">Закрытые пробелы в данных</w:t>
      </w:r>
    </w:p>
    <w:p>
      <w:pPr>
        <w:tabs>
          <w:tab w:val="right" w:pos="9360"/>
        </w:tabs>
        <w:spacing w:after="60" w:before="120"/>
      </w:pPr>
      <w:r>
        <w:rPr>
          <w:rFonts w:ascii="Calibri" w:cs="Calibri" w:eastAsia="Calibri" w:hAnsi="Calibri"/>
          <w:b/>
          <w:bCs/>
          <w:color w:val="1F3A5F"/>
          <w:sz w:val="22"/>
          <w:szCs w:val="22"/>
        </w:rPr>
        <w:t xml:space="preserve">Источники</w:t>
      </w:r>
    </w:p>
    <w:p>
      <w:pPr>
        <w:spacing w:after="200" w:before="0"/>
      </w:pPr>
    </w:p>
    <w:p>
      <w:r>
        <w:br/>
      </w:r>
    </w:p>
    <w:p>
      <w:pPr>
        <w:spacing w:after="160" w:before="360"/>
        <w:outlineLvl w:val="1"/>
      </w:pPr>
      <w:r>
        <w:rPr>
          <w:rFonts w:ascii="Calibri" w:cs="Calibri" w:eastAsia="Calibri" w:hAnsi="Calibri"/>
          <w:b/>
          <w:bCs/>
          <w:color w:val="1F3A5F"/>
          <w:sz w:val="52"/>
          <w:szCs w:val="52"/>
        </w:rPr>
        <w:t xml:space="preserve">Синтез: Регуляторная архитектура и финансовый ландшафт DAC в ЕС 2026</w:t>
      </w:r>
    </w:p>
    <w:p>
      <w:pPr>
        <w:spacing w:after="120" w:before="280"/>
        <w:outlineLvl w:val="2"/>
      </w:pPr>
      <w:r>
        <w:rPr>
          <w:rFonts w:ascii="Calibri" w:cs="Calibri" w:eastAsia="Calibri" w:hAnsi="Calibri"/>
          <w:b/>
          <w:bCs/>
          <w:color w:val="1F3A5F"/>
          <w:sz w:val="44"/>
          <w:szCs w:val="44"/>
        </w:rPr>
        <w:t xml:space="preserve">Позиция автора</w:t>
      </w:r>
    </w:p>
    <w:p>
      <w:pPr>
        <w:spacing w:after="160"/>
        <w:jc w:val="left"/>
      </w:pPr>
      <w:r>
        <w:rPr>
          <w:rFonts w:ascii="Calibri" w:cs="Calibri" w:eastAsia="Calibri" w:hAnsi="Calibri"/>
          <w:b w:val="false"/>
          <w:bCs w:val="false"/>
          <w:i w:val="false"/>
          <w:iCs w:val="false"/>
          <w:color w:val="1A1A1A"/>
          <w:sz w:val="22"/>
          <w:szCs w:val="22"/>
        </w:rPr>
        <w:t xml:space="preserve">[авторский синтез] Регуляторная и финансовая ландшафт DAC в ЕС 2026 характеризуется фундаментальным противоречием: CRCF Regulation устанавливает мировые стандарты экологической строгости (≥200-летнее геологическое хранилище, часовое соответствие электричества, индивидуальные аудиты), но отсутствие прямых субсидий (в отличие от американского 45Q €170/тонну) и требование часового соответствия электричества создают операционные и финансовые барьеры, которые будут концентрировать развёртывание в странах-членах с национальным софинансированием (Нидерланды, Дания, Германия) вместо достижения масштабирования на уровне ЕС. Результат: развёртывание DAC в ЕС будет концентрироваться в регионах с избыточной ветровой/солнечной мощностью и национальной поддержкой, оставляя Южную и Восточную Европу недостаточно обслуживаемыми. Успех требует одновременной навигации технических (часовое соответствие), финансовых (разрыв между пилотом и коммерческим масштабом) и нормативных (CRCF сертификация vs Innovation Fund оценка) сложностей в сжатом 2026 году.</w:t>
      </w:r>
    </w:p>
    <w:p>
      <w:pPr>
        <w:spacing w:after="120" w:before="280"/>
        <w:outlineLvl w:val="2"/>
      </w:pPr>
      <w:r>
        <w:rPr>
          <w:rFonts w:ascii="Calibri" w:cs="Calibri" w:eastAsia="Calibri" w:hAnsi="Calibri"/>
          <w:b/>
          <w:bCs/>
          <w:color w:val="1F3A5F"/>
          <w:sz w:val="44"/>
          <w:szCs w:val="44"/>
        </w:rPr>
        <w:t xml:space="preserve">1. Нормативно-правовая база: CRCF как переломный момент</w:t>
      </w:r>
    </w:p>
    <w:p>
      <w:pPr>
        <w:spacing w:after="160"/>
        <w:jc w:val="left"/>
      </w:pPr>
      <w:r>
        <w:rPr>
          <w:rFonts w:ascii="Calibri" w:cs="Calibri" w:eastAsia="Calibri" w:hAnsi="Calibri"/>
          <w:b w:val="false"/>
          <w:bCs w:val="false"/>
          <w:i w:val="false"/>
          <w:iCs w:val="false"/>
          <w:color w:val="1A1A1A"/>
          <w:sz w:val="22"/>
          <w:szCs w:val="22"/>
        </w:rPr>
        <w:t xml:space="preserve">[STRONG] Carbon Removals and Carbon Farming Regulation (ЕС 2024/3012), принятая в декабре 2024 года и вступившая в силу в начале апреля 2026 года, представляет первую в мире комплексную добровольную систему сертификации для постоянного удаления углерода [1]. Регламент устанавливает четыре обязательных критерия качества для проектов DACCS:</w:t>
      </w:r>
    </w:p>
    <w:p>
      <w:pPr>
        <w:spacing w:after="160"/>
        <w:jc w:val="left"/>
      </w:pPr>
      <w:r>
        <w:rPr>
          <w:rFonts w:ascii="Calibri" w:cs="Calibri" w:eastAsia="Calibri" w:hAnsi="Calibri"/>
          <w:b/>
          <w:bCs/>
          <w:i w:val="false"/>
          <w:iCs w:val="false"/>
          <w:color w:val="1A1A1A"/>
          <w:sz w:val="22"/>
          <w:szCs w:val="22"/>
        </w:rPr>
        <w:t xml:space="preserve">Критерий 1: Количественная оценка.</w:t>
      </w:r>
      <w:r>
        <w:rPr>
          <w:rFonts w:ascii="Calibri" w:cs="Calibri" w:eastAsia="Calibri" w:hAnsi="Calibri"/>
          <w:b w:val="false"/>
          <w:bCs w:val="false"/>
          <w:i w:val="false"/>
          <w:iCs w:val="false"/>
          <w:color w:val="1A1A1A"/>
          <w:sz w:val="22"/>
          <w:szCs w:val="22"/>
        </w:rPr>
        <w:t xml:space="preserve"> [STRONG] Проекты должны измерять и сообщать объёмы удаления CO₂ с указанными уровнями точности, используя одобренные методологии, которые учитывают определение границ, установление базовых показателей и точность расчётов [2]. Это обеспечивает прозрачные, проверяемые системы измерения, позволяющие стандартизированную отчётность по проектам.</w:t>
      </w:r>
    </w:p>
    <w:p>
      <w:pPr>
        <w:spacing w:after="160"/>
        <w:jc w:val="left"/>
      </w:pPr>
      <w:r>
        <w:rPr>
          <w:rFonts w:ascii="Calibri" w:cs="Calibri" w:eastAsia="Calibri" w:hAnsi="Calibri"/>
          <w:b/>
          <w:bCs/>
          <w:i w:val="false"/>
          <w:iCs w:val="false"/>
          <w:color w:val="1A1A1A"/>
          <w:sz w:val="22"/>
          <w:szCs w:val="22"/>
        </w:rPr>
        <w:t xml:space="preserve">Критерий 2: Дополнительность.</w:t>
      </w:r>
      <w:r>
        <w:rPr>
          <w:rFonts w:ascii="Calibri" w:cs="Calibri" w:eastAsia="Calibri" w:hAnsi="Calibri"/>
          <w:b w:val="false"/>
          <w:bCs w:val="false"/>
          <w:i w:val="false"/>
          <w:iCs w:val="false"/>
          <w:color w:val="1A1A1A"/>
          <w:sz w:val="22"/>
          <w:szCs w:val="22"/>
        </w:rPr>
        <w:t xml:space="preserve"> [STRONG] Проекты должны демонстрировать через анализ затрат-выгод, что они не произойдут без сертификации CRCF или поддерживающей политики, обеспечивая, что сертификация стимулирует подлинную дополнительную деятельность удаления [2]. Это означает, что разработчики должны показать, что экономика проекта не работает без сертификации.</w:t>
      </w:r>
    </w:p>
    <w:p>
      <w:pPr>
        <w:spacing w:after="160"/>
        <w:jc w:val="left"/>
      </w:pPr>
      <w:r>
        <w:rPr>
          <w:rFonts w:ascii="Calibri" w:cs="Calibri" w:eastAsia="Calibri" w:hAnsi="Calibri"/>
          <w:b/>
          <w:bCs/>
          <w:i w:val="false"/>
          <w:iCs w:val="false"/>
          <w:color w:val="1A1A1A"/>
          <w:sz w:val="22"/>
          <w:szCs w:val="22"/>
        </w:rPr>
        <w:t xml:space="preserve">Критерий 3: Геологическое хранилище ≥200 лет.</w:t>
      </w:r>
      <w:r>
        <w:rPr>
          <w:rFonts w:ascii="Calibri" w:cs="Calibri" w:eastAsia="Calibri" w:hAnsi="Calibri"/>
          <w:b w:val="false"/>
          <w:bCs w:val="false"/>
          <w:i w:val="false"/>
          <w:iCs w:val="false"/>
          <w:color w:val="1A1A1A"/>
          <w:sz w:val="22"/>
          <w:szCs w:val="22"/>
        </w:rPr>
        <w:t xml:space="preserve"> [STRONG] Удалённый CO₂ должен оставаться геологически секвестрированным минимум ≥200 лет (интерпретировано из требования регламента о "нескольких веках") [3]. Этот стандарт постоянства обеспечивается через рамки ответственности Директивы по CCS и требует непрерывного мониторинга.</w:t>
      </w:r>
    </w:p>
    <w:p>
      <w:pPr>
        <w:spacing w:after="160"/>
        <w:jc w:val="left"/>
      </w:pPr>
      <w:r>
        <w:rPr>
          <w:rFonts w:ascii="Calibri" w:cs="Calibri" w:eastAsia="Calibri" w:hAnsi="Calibri"/>
          <w:b/>
          <w:bCs/>
          <w:i w:val="false"/>
          <w:iCs w:val="false"/>
          <w:color w:val="1A1A1A"/>
          <w:sz w:val="22"/>
          <w:szCs w:val="22"/>
        </w:rPr>
        <w:t xml:space="preserve">Критерий 4: Устойчивость.</w:t>
      </w:r>
      <w:r>
        <w:rPr>
          <w:rFonts w:ascii="Calibri" w:cs="Calibri" w:eastAsia="Calibri" w:hAnsi="Calibri"/>
          <w:b w:val="false"/>
          <w:bCs w:val="false"/>
          <w:i w:val="false"/>
          <w:iCs w:val="false"/>
          <w:color w:val="1A1A1A"/>
          <w:sz w:val="22"/>
          <w:szCs w:val="22"/>
        </w:rPr>
        <w:t xml:space="preserve"> [STRONG] Проекты должны демонстрировать отсутствие значительных отрицательных воздействий на окружающую среду, общество или экономику через оценки устойчивости, адресующие использование воды, воздействие на почву, качество воздуха и общественное принятие [4].</w:t>
      </w:r>
    </w:p>
    <w:p>
      <w:pPr>
        <w:spacing w:after="160"/>
        <w:jc w:val="left"/>
      </w:pPr>
      <w:r>
        <w:rPr>
          <w:rFonts w:ascii="Calibri" w:cs="Calibri" w:eastAsia="Calibri" w:hAnsi="Calibri"/>
          <w:b w:val="false"/>
          <w:bCs w:val="false"/>
          <w:i w:val="false"/>
          <w:iCs w:val="false"/>
          <w:color w:val="1A1A1A"/>
          <w:sz w:val="22"/>
          <w:szCs w:val="22"/>
        </w:rPr>
        <w:t xml:space="preserve">Помимо критериев качества, CRCF Regulation предписывает несколько операционных требований, которые напрямую влияют на проектирование и исполнение:</w:t>
      </w:r>
    </w:p>
    <w:p>
      <w:pPr>
        <w:spacing w:after="160"/>
        <w:jc w:val="left"/>
      </w:pPr>
      <w:r>
        <w:rPr>
          <w:rFonts w:ascii="Calibri" w:cs="Calibri" w:eastAsia="Calibri" w:hAnsi="Calibri"/>
          <w:b/>
          <w:bCs/>
          <w:i w:val="false"/>
          <w:iCs w:val="false"/>
          <w:color w:val="1A1A1A"/>
          <w:sz w:val="22"/>
          <w:szCs w:val="22"/>
        </w:rPr>
        <w:t xml:space="preserve">Контроль единым юридическим лицом.</w:t>
      </w:r>
      <w:r>
        <w:rPr>
          <w:rFonts w:ascii="Calibri" w:cs="Calibri" w:eastAsia="Calibri" w:hAnsi="Calibri"/>
          <w:b w:val="false"/>
          <w:bCs w:val="false"/>
          <w:i w:val="false"/>
          <w:iCs w:val="false"/>
          <w:color w:val="1A1A1A"/>
          <w:sz w:val="22"/>
          <w:szCs w:val="22"/>
        </w:rPr>
        <w:t xml:space="preserve"> [STRONG] Единое юридическое лицо должно контролировать всю физическую систему захвата — фрагментация инфраструктуры захвата не разрешена [2]. Это требование упрощает подотчётность, но ограничивает консорциумные модели проектов и соглашения о совместной инфраструктуре, которые в противном случае могли бы снизить затраты.</w:t>
      </w:r>
    </w:p>
    <w:p>
      <w:pPr>
        <w:spacing w:after="160"/>
        <w:jc w:val="left"/>
      </w:pPr>
      <w:r>
        <w:rPr>
          <w:rFonts w:ascii="Calibri" w:cs="Calibri" w:eastAsia="Calibri" w:hAnsi="Calibri"/>
          <w:b/>
          <w:bCs/>
          <w:i w:val="false"/>
          <w:iCs w:val="false"/>
          <w:color w:val="1A1A1A"/>
          <w:sz w:val="22"/>
          <w:szCs w:val="22"/>
        </w:rPr>
        <w:t xml:space="preserve">15-летние периоды кредитов с индивидуальными аудитами.</w:t>
      </w:r>
      <w:r>
        <w:rPr>
          <w:rFonts w:ascii="Calibri" w:cs="Calibri" w:eastAsia="Calibri" w:hAnsi="Calibri"/>
          <w:b w:val="false"/>
          <w:bCs w:val="false"/>
          <w:i w:val="false"/>
          <w:iCs w:val="false"/>
          <w:color w:val="1A1A1A"/>
          <w:sz w:val="22"/>
          <w:szCs w:val="22"/>
        </w:rPr>
        <w:t xml:space="preserve"> [STRONG] Каждый проект DACCS работает на 15-летних периодах кредитов, в течение которых ежегодные индивидуальные аудиты проверяют соответствие всем требованиям сертификации [2]. Примечательно, что регламент явно запрещает групповой аудит для проектов DACCS, означая, что каждое учреждение проходит отдельную проверку — требование, которое увеличивает операционные затраты соответствия по сравнению с менее тщательно проверяемыми методологиями.</w:t>
      </w:r>
    </w:p>
    <w:p>
      <w:pPr>
        <w:spacing w:after="160"/>
        <w:jc w:val="left"/>
      </w:pPr>
      <w:r>
        <w:rPr>
          <w:rFonts w:ascii="Calibri" w:cs="Calibri" w:eastAsia="Calibri" w:hAnsi="Calibri"/>
          <w:b/>
          <w:bCs/>
          <w:i w:val="false"/>
          <w:iCs w:val="false"/>
          <w:color w:val="1A1A1A"/>
          <w:sz w:val="22"/>
          <w:szCs w:val="22"/>
        </w:rPr>
        <w:t xml:space="preserve">Мониторинг и ответственность за обратное движение.</w:t>
      </w:r>
      <w:r>
        <w:rPr>
          <w:rFonts w:ascii="Calibri" w:cs="Calibri" w:eastAsia="Calibri" w:hAnsi="Calibri"/>
          <w:b w:val="false"/>
          <w:bCs w:val="false"/>
          <w:i w:val="false"/>
          <w:iCs w:val="false"/>
          <w:color w:val="1A1A1A"/>
          <w:sz w:val="22"/>
          <w:szCs w:val="22"/>
        </w:rPr>
        <w:t xml:space="preserve"> [STRONG] Проекты должны мониторить хранилище CO₂ и потенциальную утечку на протяжении периода кредитов и продолжая до тех пор, пока ответственность за хранилище формально не передастся Союзу [2]. Если произойдёт обратное движение или утечка, оператор проекта сталкивается с ответственностью удалить эквивалентный CO₂, эффективно создавая вечные операционные обязательства, которые расширяются за пределы формального 15-летнего окна кредитов.</w:t>
      </w:r>
    </w:p>
    <w:p>
      <w:pPr>
        <w:spacing w:after="160"/>
        <w:jc w:val="left"/>
      </w:pPr>
      <w:r>
        <w:rPr>
          <w:rFonts w:ascii="Calibri" w:cs="Calibri" w:eastAsia="Calibri" w:hAnsi="Calibri"/>
          <w:b/>
          <w:bCs/>
          <w:i w:val="false"/>
          <w:iCs w:val="false"/>
          <w:color w:val="1A1A1A"/>
          <w:sz w:val="22"/>
          <w:szCs w:val="22"/>
        </w:rPr>
        <w:t xml:space="preserve">Требование часового соответствия электричества.</w:t>
      </w:r>
      <w:r>
        <w:rPr>
          <w:rFonts w:ascii="Calibri" w:cs="Calibri" w:eastAsia="Calibri" w:hAnsi="Calibri"/>
          <w:b w:val="false"/>
          <w:bCs w:val="false"/>
          <w:i w:val="false"/>
          <w:iCs w:val="false"/>
          <w:color w:val="1A1A1A"/>
          <w:sz w:val="22"/>
          <w:szCs w:val="22"/>
        </w:rPr>
        <w:t xml:space="preserve"> [STRONG] Технически сложное требование предписывает, что электричество, используемое в процессах захвата, должно соответствовать часовому с географической корреляцией, означая, что возобновляемое электричество должно быть развёрнуто в регионе и синхронизировано с фактическими операциями захвата [5]. [авторский синтез] Это ограничение исключает использование времени-сдвинутой возобновляемой энергии или удалённого сетевого электричества, существенно ограничивая места размещения проектов регионами с надёжной местной возобновляемой мощностью и создавая взаимозависимости между объектами захвата и развитием инфраструктуры электричества. Результат: жизнеспособные места размещения DAC в ЕС будут концентрироваться в Северной Европе (ветер), Иберийском полуострове (солнце) и других регионах с избыточной возобновляемой мощностью.</w:t>
      </w:r>
    </w:p>
    <w:p>
      <w:pPr>
        <w:spacing w:after="120" w:before="280"/>
        <w:outlineLvl w:val="2"/>
      </w:pPr>
      <w:r>
        <w:rPr>
          <w:rFonts w:ascii="Calibri" w:cs="Calibri" w:eastAsia="Calibri" w:hAnsi="Calibri"/>
          <w:b/>
          <w:bCs/>
          <w:color w:val="1F3A5F"/>
          <w:sz w:val="44"/>
          <w:szCs w:val="44"/>
        </w:rPr>
        <w:t xml:space="preserve">2. Поддерживающая нормативно-правовая база: Директива по CCS и EU ETS</w:t>
      </w:r>
    </w:p>
    <w:p>
      <w:pPr>
        <w:spacing w:after="160"/>
        <w:jc w:val="left"/>
      </w:pPr>
      <w:r>
        <w:rPr>
          <w:rFonts w:ascii="Calibri" w:cs="Calibri" w:eastAsia="Calibri" w:hAnsi="Calibri"/>
          <w:b w:val="false"/>
          <w:bCs w:val="false"/>
          <w:i w:val="false"/>
          <w:iCs w:val="false"/>
          <w:color w:val="1A1A1A"/>
          <w:sz w:val="22"/>
          <w:szCs w:val="22"/>
        </w:rPr>
        <w:t xml:space="preserve">[STRONG] Директива по CCS (2009/31/EC) предоставляет рамки геологического хранилища, на которые полагаются проекты DACCS [6]. Объекты, хранящие ≥100 ktCO₂ ежегодно, должны соответствовать строгим требованиям, включая характеристику участка, системы мониторинга, положения о закрытии и соглашения о долгосрочной ответственности [7]. Критически, Статьи 17–18 Директивы по CCS устанавливают рамки ответственности, которые расширяются неопределённо — операторы хранилища сохраняют финансовую и юридическую ответственность за потенциальную утечку CO₂ даже после прекращения операций [3].</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Обращение EU ETS:</w:t>
      </w:r>
      <w:r>
        <w:rPr>
          <w:rFonts w:ascii="Calibri" w:cs="Calibri" w:eastAsia="Calibri" w:hAnsi="Calibri"/>
          <w:b w:val="false"/>
          <w:bCs w:val="false"/>
          <w:i w:val="false"/>
          <w:iCs w:val="false"/>
          <w:color w:val="1A1A1A"/>
          <w:sz w:val="22"/>
          <w:szCs w:val="22"/>
        </w:rPr>
        <w:t xml:space="preserve"> CCS и постоянно связанное использование CO₂ (CCU) полностью освобождены от торговли выбросами в соответствии с текущими правилами EU ETS, означая, что объекты не покупают разрешения на выбросы для захватанного CO₂ [7]. Однако захватанный CO₂ </w:t>
      </w:r>
      <w:r>
        <w:rPr>
          <w:rFonts w:ascii="Calibri" w:cs="Calibri" w:eastAsia="Calibri" w:hAnsi="Calibri"/>
          <w:b/>
          <w:bCs/>
          <w:i w:val="false"/>
          <w:iCs w:val="false"/>
          <w:color w:val="1A1A1A"/>
          <w:sz w:val="22"/>
          <w:szCs w:val="22"/>
        </w:rPr>
        <w:t xml:space="preserve">не генерирует дополнительные разрешения или кредиты в рамках ETS</w:t>
      </w:r>
      <w:r>
        <w:rPr>
          <w:rFonts w:ascii="Calibri" w:cs="Calibri" w:eastAsia="Calibri" w:hAnsi="Calibri"/>
          <w:b w:val="false"/>
          <w:bCs w:val="false"/>
          <w:i w:val="false"/>
          <w:iCs w:val="false"/>
          <w:color w:val="1A1A1A"/>
          <w:sz w:val="22"/>
          <w:szCs w:val="22"/>
        </w:rPr>
        <w:t xml:space="preserve"> — нормативный разрыв, находящийся под текущим рассмотрением с отчётом Европейской комиссии, подлежащим в 2026 году, о том, должны ли отрицательные выбросы получить явное признание ETS [7].</w:t>
      </w:r>
    </w:p>
    <w:p>
      <w:pPr>
        <w:spacing w:after="120" w:before="280"/>
        <w:outlineLvl w:val="2"/>
      </w:pPr>
      <w:r>
        <w:rPr>
          <w:rFonts w:ascii="Calibri" w:cs="Calibri" w:eastAsia="Calibri" w:hAnsi="Calibri"/>
          <w:b/>
          <w:bCs/>
          <w:color w:val="1F3A5F"/>
          <w:sz w:val="44"/>
          <w:szCs w:val="44"/>
        </w:rPr>
        <w:t xml:space="preserve">3. Финансовые механизмы: €2,9 млрд Innovation Fund как центральная возможность</w:t>
      </w:r>
    </w:p>
    <w:p>
      <w:pPr>
        <w:spacing w:after="160"/>
        <w:jc w:val="left"/>
      </w:pPr>
      <w:r>
        <w:rPr>
          <w:rFonts w:ascii="Calibri" w:cs="Calibri" w:eastAsia="Calibri" w:hAnsi="Calibri"/>
          <w:b w:val="false"/>
          <w:bCs w:val="false"/>
          <w:i w:val="false"/>
          <w:iCs w:val="false"/>
          <w:color w:val="1A1A1A"/>
          <w:sz w:val="22"/>
          <w:szCs w:val="22"/>
        </w:rPr>
        <w:t xml:space="preserve">#### 3.1 Innovation Fund 2025 Net-Zero Technologies Call</w:t>
      </w:r>
    </w:p>
    <w:p>
      <w:pPr>
        <w:spacing w:after="160"/>
        <w:jc w:val="left"/>
      </w:pPr>
      <w:r>
        <w:rPr>
          <w:rFonts w:ascii="Calibri" w:cs="Calibri" w:eastAsia="Calibri" w:hAnsi="Calibri"/>
          <w:b w:val="false"/>
          <w:bCs w:val="false"/>
          <w:i w:val="false"/>
          <w:iCs w:val="false"/>
          <w:color w:val="1A1A1A"/>
          <w:sz w:val="22"/>
          <w:szCs w:val="22"/>
        </w:rPr>
        <w:t xml:space="preserve">[STRONG] Innovation Fund's 2025 Net-Zero Technologies (IF25 NZT) call представляет наиболее немедленно релевантную возможность финансирования, с дедлайном приложения </w:t>
      </w:r>
      <w:r>
        <w:rPr>
          <w:rFonts w:ascii="Calibri" w:cs="Calibri" w:eastAsia="Calibri" w:hAnsi="Calibri"/>
          <w:b/>
          <w:bCs/>
          <w:i w:val="false"/>
          <w:iCs w:val="false"/>
          <w:color w:val="1A1A1A"/>
          <w:sz w:val="22"/>
          <w:szCs w:val="22"/>
        </w:rPr>
        <w:t xml:space="preserve">23 апреля 2026 года, 17:00 CEST</w:t>
      </w:r>
      <w:r>
        <w:rPr>
          <w:rFonts w:ascii="Calibri" w:cs="Calibri" w:eastAsia="Calibri" w:hAnsi="Calibri"/>
          <w:b w:val="false"/>
          <w:bCs w:val="false"/>
          <w:i w:val="false"/>
          <w:iCs w:val="false"/>
          <w:color w:val="1A1A1A"/>
          <w:sz w:val="22"/>
          <w:szCs w:val="22"/>
        </w:rPr>
        <w:t xml:space="preserve"> [8]. Этот вызов критичен, потому что его дедлайн совпадает почти точно с вступлением рамок CRCF в силу в апреле 2026 года, означая, что проекты могут начать приложения сертификации CRCF одновременно с подачей предложений Innovation Fund.</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Бюджет и распределение:</w:t>
      </w:r>
      <w:r>
        <w:rPr>
          <w:rFonts w:ascii="Calibri" w:cs="Calibri" w:eastAsia="Calibri" w:hAnsi="Calibri"/>
          <w:b w:val="false"/>
          <w:bCs w:val="false"/>
          <w:i w:val="false"/>
          <w:iCs w:val="false"/>
          <w:color w:val="1A1A1A"/>
          <w:sz w:val="22"/>
          <w:szCs w:val="22"/>
        </w:rPr>
        <w:t xml:space="preserve"> Общий бюджет вызова составляет </w:t>
      </w:r>
      <w:r>
        <w:rPr>
          <w:rFonts w:ascii="Calibri" w:cs="Calibri" w:eastAsia="Calibri" w:hAnsi="Calibri"/>
          <w:b/>
          <w:bCs/>
          <w:i w:val="false"/>
          <w:iCs w:val="false"/>
          <w:color w:val="1A1A1A"/>
          <w:sz w:val="22"/>
          <w:szCs w:val="22"/>
        </w:rPr>
        <w:t xml:space="preserve">€2,9 млрд</w:t>
      </w:r>
      <w:r>
        <w:rPr>
          <w:rFonts w:ascii="Calibri" w:cs="Calibri" w:eastAsia="Calibri" w:hAnsi="Calibri"/>
          <w:b w:val="false"/>
          <w:bCs w:val="false"/>
          <w:i w:val="false"/>
          <w:iCs w:val="false"/>
          <w:color w:val="1A1A1A"/>
          <w:sz w:val="22"/>
          <w:szCs w:val="22"/>
        </w:rPr>
        <w:t xml:space="preserve">, с €2,4 млрд, выделенными специально для технологий нулевых выбросов [8]. В этом выделении:</w:t>
      </w:r>
    </w:p>
    <w:p>
      <w:pPr>
        <w:pStyle w:val="ListParagraph"/>
        <w:numPr>
          <w:ilvl w:val="0"/>
          <w:numId w:val="3"/>
        </w:numPr>
        <w:spacing w:after="60" w:before="60"/>
      </w:pPr>
      <w:r>
        <w:rPr>
          <w:rFonts w:ascii="Calibri" w:cs="Calibri" w:eastAsia="Calibri" w:hAnsi="Calibri"/>
          <w:b/>
          <w:bCs/>
          <w:i w:val="false"/>
          <w:iCs w:val="false"/>
          <w:color w:val="1A1A1A"/>
          <w:sz w:val="22"/>
          <w:szCs w:val="22"/>
        </w:rPr>
        <w:t xml:space="preserve">€1,2 млрд</w:t>
      </w:r>
      <w:r>
        <w:rPr>
          <w:rFonts w:ascii="Calibri" w:cs="Calibri" w:eastAsia="Calibri" w:hAnsi="Calibri"/>
          <w:b w:val="false"/>
          <w:bCs w:val="false"/>
          <w:i w:val="false"/>
          <w:iCs w:val="false"/>
          <w:color w:val="1A1A1A"/>
          <w:sz w:val="22"/>
          <w:szCs w:val="22"/>
        </w:rPr>
        <w:t xml:space="preserve"> для крупномасштабных промышленных проектов</w:t>
      </w:r>
    </w:p>
    <w:p>
      <w:pPr>
        <w:pStyle w:val="ListParagraph"/>
        <w:numPr>
          <w:ilvl w:val="0"/>
          <w:numId w:val="3"/>
        </w:numPr>
        <w:spacing w:after="60" w:before="60"/>
      </w:pPr>
      <w:r>
        <w:rPr>
          <w:rFonts w:ascii="Calibri" w:cs="Calibri" w:eastAsia="Calibri" w:hAnsi="Calibri"/>
          <w:b/>
          <w:bCs/>
          <w:i w:val="false"/>
          <w:iCs w:val="false"/>
          <w:color w:val="1A1A1A"/>
          <w:sz w:val="22"/>
          <w:szCs w:val="22"/>
        </w:rPr>
        <w:t xml:space="preserve">€1 млрд</w:t>
      </w:r>
      <w:r>
        <w:rPr>
          <w:rFonts w:ascii="Calibri" w:cs="Calibri" w:eastAsia="Calibri" w:hAnsi="Calibri"/>
          <w:b w:val="false"/>
          <w:bCs w:val="false"/>
          <w:i w:val="false"/>
          <w:iCs w:val="false"/>
          <w:color w:val="1A1A1A"/>
          <w:sz w:val="22"/>
          <w:szCs w:val="22"/>
        </w:rPr>
        <w:t xml:space="preserve"> для производства/промышленного оборудования</w:t>
      </w:r>
    </w:p>
    <w:p>
      <w:pPr>
        <w:pStyle w:val="ListParagraph"/>
        <w:numPr>
          <w:ilvl w:val="0"/>
          <w:numId w:val="3"/>
        </w:numPr>
        <w:spacing w:after="60" w:before="60"/>
      </w:pPr>
      <w:r>
        <w:rPr>
          <w:rFonts w:ascii="Calibri" w:cs="Calibri" w:eastAsia="Calibri" w:hAnsi="Calibri"/>
          <w:b/>
          <w:bCs/>
          <w:i w:val="false"/>
          <w:iCs w:val="false"/>
          <w:color w:val="1A1A1A"/>
          <w:sz w:val="22"/>
          <w:szCs w:val="22"/>
        </w:rPr>
        <w:t xml:space="preserve">€300 млн</w:t>
      </w:r>
      <w:r>
        <w:rPr>
          <w:rFonts w:ascii="Calibri" w:cs="Calibri" w:eastAsia="Calibri" w:hAnsi="Calibri"/>
          <w:b w:val="false"/>
          <w:bCs w:val="false"/>
          <w:i w:val="false"/>
          <w:iCs w:val="false"/>
          <w:color w:val="1A1A1A"/>
          <w:sz w:val="22"/>
          <w:szCs w:val="22"/>
        </w:rPr>
        <w:t xml:space="preserve"> для среднемасштабных проектов</w:t>
      </w:r>
    </w:p>
    <w:p>
      <w:pPr>
        <w:pStyle w:val="ListParagraph"/>
        <w:numPr>
          <w:ilvl w:val="0"/>
          <w:numId w:val="3"/>
        </w:numPr>
        <w:spacing w:after="60" w:before="60"/>
      </w:pPr>
      <w:r>
        <w:rPr>
          <w:rFonts w:ascii="Calibri" w:cs="Calibri" w:eastAsia="Calibri" w:hAnsi="Calibri"/>
          <w:b/>
          <w:bCs/>
          <w:i w:val="false"/>
          <w:iCs w:val="false"/>
          <w:color w:val="1A1A1A"/>
          <w:sz w:val="22"/>
          <w:szCs w:val="22"/>
        </w:rPr>
        <w:t xml:space="preserve">€300 млн</w:t>
      </w:r>
      <w:r>
        <w:rPr>
          <w:rFonts w:ascii="Calibri" w:cs="Calibri" w:eastAsia="Calibri" w:hAnsi="Calibri"/>
          <w:b w:val="false"/>
          <w:bCs w:val="false"/>
          <w:i w:val="false"/>
          <w:iCs w:val="false"/>
          <w:color w:val="1A1A1A"/>
          <w:sz w:val="22"/>
          <w:szCs w:val="22"/>
        </w:rPr>
        <w:t xml:space="preserve"> для пилотных/демонстрационных проектов</w:t>
      </w:r>
    </w:p>
    <w:p>
      <w:pPr>
        <w:pStyle w:val="ListParagraph"/>
        <w:numPr>
          <w:ilvl w:val="0"/>
          <w:numId w:val="3"/>
        </w:numPr>
        <w:spacing w:after="60" w:before="60"/>
      </w:pPr>
      <w:r>
        <w:rPr>
          <w:rFonts w:ascii="Calibri" w:cs="Calibri" w:eastAsia="Calibri" w:hAnsi="Calibri"/>
          <w:b/>
          <w:bCs/>
          <w:i w:val="false"/>
          <w:iCs w:val="false"/>
          <w:color w:val="1A1A1A"/>
          <w:sz w:val="22"/>
          <w:szCs w:val="22"/>
        </w:rPr>
        <w:t xml:space="preserve">€100 млн</w:t>
      </w:r>
      <w:r>
        <w:rPr>
          <w:rFonts w:ascii="Calibri" w:cs="Calibri" w:eastAsia="Calibri" w:hAnsi="Calibri"/>
          <w:b w:val="false"/>
          <w:bCs w:val="false"/>
          <w:i w:val="false"/>
          <w:iCs w:val="false"/>
          <w:color w:val="1A1A1A"/>
          <w:sz w:val="22"/>
          <w:szCs w:val="22"/>
        </w:rPr>
        <w:t xml:space="preserve"> для мелкомасштабных объектов [9]</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Ставка финансирования и приемлемые виды деятельности:</w:t>
      </w:r>
      <w:r>
        <w:rPr>
          <w:rFonts w:ascii="Calibri" w:cs="Calibri" w:eastAsia="Calibri" w:hAnsi="Calibri"/>
          <w:b w:val="false"/>
          <w:bCs w:val="false"/>
          <w:i w:val="false"/>
          <w:iCs w:val="false"/>
          <w:color w:val="1A1A1A"/>
          <w:sz w:val="22"/>
          <w:szCs w:val="22"/>
        </w:rPr>
        <w:t xml:space="preserve"> Заявители могут получить </w:t>
      </w:r>
      <w:r>
        <w:rPr>
          <w:rFonts w:ascii="Calibri" w:cs="Calibri" w:eastAsia="Calibri" w:hAnsi="Calibri"/>
          <w:b/>
          <w:bCs/>
          <w:i w:val="false"/>
          <w:iCs w:val="false"/>
          <w:color w:val="1A1A1A"/>
          <w:sz w:val="22"/>
          <w:szCs w:val="22"/>
        </w:rPr>
        <w:t xml:space="preserve">до 60% релевантных затрат</w:t>
      </w:r>
      <w:r>
        <w:rPr>
          <w:rFonts w:ascii="Calibri" w:cs="Calibri" w:eastAsia="Calibri" w:hAnsi="Calibri"/>
          <w:b w:val="false"/>
          <w:bCs w:val="false"/>
          <w:i w:val="false"/>
          <w:iCs w:val="false"/>
          <w:color w:val="1A1A1A"/>
          <w:sz w:val="22"/>
          <w:szCs w:val="22"/>
        </w:rPr>
        <w:t xml:space="preserve">, существенно снижая требования к капиталу для квалифицирующихся проектов [8]. Проекты DACCS и BECCS явно перечислены как приемлемые технологии [10].</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Требования размера проекта:</w:t>
      </w:r>
      <w:r>
        <w:rPr>
          <w:rFonts w:ascii="Calibri" w:cs="Calibri" w:eastAsia="Calibri" w:hAnsi="Calibri"/>
          <w:b w:val="false"/>
          <w:bCs w:val="false"/>
          <w:i w:val="false"/>
          <w:iCs w:val="false"/>
          <w:color w:val="1A1A1A"/>
          <w:sz w:val="22"/>
          <w:szCs w:val="22"/>
        </w:rPr>
        <w:t xml:space="preserve"> Пилотные проекты могут получить до </w:t>
      </w:r>
      <w:r>
        <w:rPr>
          <w:rFonts w:ascii="Calibri" w:cs="Calibri" w:eastAsia="Calibri" w:hAnsi="Calibri"/>
          <w:b/>
          <w:bCs/>
          <w:i w:val="false"/>
          <w:iCs w:val="false"/>
          <w:color w:val="1A1A1A"/>
          <w:sz w:val="22"/>
          <w:szCs w:val="22"/>
        </w:rPr>
        <w:t xml:space="preserve">€40 млн</w:t>
      </w:r>
      <w:r>
        <w:rPr>
          <w:rFonts w:ascii="Calibri" w:cs="Calibri" w:eastAsia="Calibri" w:hAnsi="Calibri"/>
          <w:b w:val="false"/>
          <w:bCs w:val="false"/>
          <w:i w:val="false"/>
          <w:iCs w:val="false"/>
          <w:color w:val="1A1A1A"/>
          <w:sz w:val="22"/>
          <w:szCs w:val="22"/>
        </w:rPr>
        <w:t xml:space="preserve">, в то время как крупномасштабные промышленные проекты обычно превышают </w:t>
      </w:r>
      <w:r>
        <w:rPr>
          <w:rFonts w:ascii="Calibri" w:cs="Calibri" w:eastAsia="Calibri" w:hAnsi="Calibri"/>
          <w:b/>
          <w:bCs/>
          <w:i w:val="false"/>
          <w:iCs w:val="false"/>
          <w:color w:val="1A1A1A"/>
          <w:sz w:val="22"/>
          <w:szCs w:val="22"/>
        </w:rPr>
        <w:t xml:space="preserve">€100 млн</w:t>
      </w:r>
      <w:r>
        <w:rPr>
          <w:rFonts w:ascii="Calibri" w:cs="Calibri" w:eastAsia="Calibri" w:hAnsi="Calibri"/>
          <w:b w:val="false"/>
          <w:bCs w:val="false"/>
          <w:i w:val="false"/>
          <w:iCs w:val="false"/>
          <w:color w:val="1A1A1A"/>
          <w:sz w:val="22"/>
          <w:szCs w:val="22"/>
        </w:rPr>
        <w:t xml:space="preserve"> в общих инвестициях, с Innovation Fund, охватывающим 60% порцию [11].</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Оценка и сроки:</w:t>
      </w:r>
      <w:r>
        <w:rPr>
          <w:rFonts w:ascii="Calibri" w:cs="Calibri" w:eastAsia="Calibri" w:hAnsi="Calibri"/>
          <w:b w:val="false"/>
          <w:bCs w:val="false"/>
          <w:i w:val="false"/>
          <w:iCs w:val="false"/>
          <w:color w:val="1A1A1A"/>
          <w:sz w:val="22"/>
          <w:szCs w:val="22"/>
        </w:rPr>
        <w:t xml:space="preserve"> Приложения проходят одноэтапную оценку на основе эффективности сокращения выбросов парниковых газов, уровня инноваций, технологической зрелости (Technology Readiness Level), потенциала масштабируемости и экономической эффективности [11]. Результаты ожидаются в Q3 2026, с награды, объявленными в Q1 2027 [11]. День информации был проведён 16 декабря 2025 года, предоставляя техническое руководство заявителям [12].</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Портал приложения:</w:t>
      </w:r>
      <w:r>
        <w:rPr>
          <w:rFonts w:ascii="Calibri" w:cs="Calibri" w:eastAsia="Calibri" w:hAnsi="Calibri"/>
          <w:b w:val="false"/>
          <w:bCs w:val="false"/>
          <w:i w:val="false"/>
          <w:iCs w:val="false"/>
          <w:color w:val="1A1A1A"/>
          <w:sz w:val="22"/>
          <w:szCs w:val="22"/>
        </w:rPr>
        <w:t xml:space="preserve"> Подачи происходят через Портал финансирования и тендеров ЕС (ec.europa.eu) [11].</w:t>
      </w:r>
    </w:p>
    <w:p>
      <w:pPr>
        <w:spacing w:after="160"/>
        <w:jc w:val="left"/>
      </w:pPr>
      <w:r>
        <w:rPr>
          <w:rFonts w:ascii="Calibri" w:cs="Calibri" w:eastAsia="Calibri" w:hAnsi="Calibri"/>
          <w:b w:val="false"/>
          <w:bCs w:val="false"/>
          <w:i w:val="false"/>
          <w:iCs w:val="false"/>
          <w:color w:val="1A1A1A"/>
          <w:sz w:val="22"/>
          <w:szCs w:val="22"/>
        </w:rPr>
        <w:t xml:space="preserve">#### 3.2 Horizon Europe: €95,5 млрд с выделенными DAC вызовами</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Horizon Europe</w:t>
      </w:r>
      <w:r>
        <w:rPr>
          <w:rFonts w:ascii="Calibri" w:cs="Calibri" w:eastAsia="Calibri" w:hAnsi="Calibri"/>
          <w:b w:val="false"/>
          <w:bCs w:val="false"/>
          <w:i w:val="false"/>
          <w:iCs w:val="false"/>
          <w:color w:val="1A1A1A"/>
          <w:sz w:val="22"/>
          <w:szCs w:val="22"/>
        </w:rPr>
        <w:t xml:space="preserve">, основная программа исследований и инноваций ЕС, выделяет </w:t>
      </w:r>
      <w:r>
        <w:rPr>
          <w:rFonts w:ascii="Calibri" w:cs="Calibri" w:eastAsia="Calibri" w:hAnsi="Calibri"/>
          <w:b/>
          <w:bCs/>
          <w:i w:val="false"/>
          <w:iCs w:val="false"/>
          <w:color w:val="1A1A1A"/>
          <w:sz w:val="22"/>
          <w:szCs w:val="22"/>
        </w:rPr>
        <w:t xml:space="preserve">€95,5 млрд на 2021–2027</w:t>
      </w:r>
      <w:r>
        <w:rPr>
          <w:rFonts w:ascii="Calibri" w:cs="Calibri" w:eastAsia="Calibri" w:hAnsi="Calibri"/>
          <w:b w:val="false"/>
          <w:bCs w:val="false"/>
          <w:i w:val="false"/>
          <w:iCs w:val="false"/>
          <w:color w:val="1A1A1A"/>
          <w:sz w:val="22"/>
          <w:szCs w:val="22"/>
        </w:rPr>
        <w:t xml:space="preserve">, с приблизительно </w:t>
      </w:r>
      <w:r>
        <w:rPr>
          <w:rFonts w:ascii="Calibri" w:cs="Calibri" w:eastAsia="Calibri" w:hAnsi="Calibri"/>
          <w:b/>
          <w:bCs/>
          <w:i w:val="false"/>
          <w:iCs w:val="false"/>
          <w:color w:val="1A1A1A"/>
          <w:sz w:val="22"/>
          <w:szCs w:val="22"/>
        </w:rPr>
        <w:t xml:space="preserve">3,8% бюджетов 2023–2024</w:t>
      </w:r>
      <w:r>
        <w:rPr>
          <w:rFonts w:ascii="Calibri" w:cs="Calibri" w:eastAsia="Calibri" w:hAnsi="Calibri"/>
          <w:b w:val="false"/>
          <w:bCs w:val="false"/>
          <w:i w:val="false"/>
          <w:iCs w:val="false"/>
          <w:color w:val="1A1A1A"/>
          <w:sz w:val="22"/>
          <w:szCs w:val="22"/>
        </w:rPr>
        <w:t xml:space="preserve"> направленным на проекты удаления диоксида углерода (CDR), из которых </w:t>
      </w:r>
      <w:r>
        <w:rPr>
          <w:rFonts w:ascii="Calibri" w:cs="Calibri" w:eastAsia="Calibri" w:hAnsi="Calibri"/>
          <w:b/>
          <w:bCs/>
          <w:i w:val="false"/>
          <w:iCs w:val="false"/>
          <w:color w:val="1A1A1A"/>
          <w:sz w:val="22"/>
          <w:szCs w:val="22"/>
        </w:rPr>
        <w:t xml:space="preserve">1,2% финансирует прямое исследование CDR специально</w:t>
      </w:r>
      <w:r>
        <w:rPr>
          <w:rFonts w:ascii="Calibri" w:cs="Calibri" w:eastAsia="Calibri" w:hAnsi="Calibri"/>
          <w:b w:val="false"/>
          <w:bCs w:val="false"/>
          <w:i w:val="false"/>
          <w:iCs w:val="false"/>
          <w:color w:val="1A1A1A"/>
          <w:sz w:val="22"/>
          <w:szCs w:val="22"/>
        </w:rPr>
        <w:t xml:space="preserve"> [13].</w:t>
      </w:r>
    </w:p>
    <w:p>
      <w:pPr>
        <w:spacing w:after="160"/>
        <w:jc w:val="left"/>
      </w:pPr>
      <w:r>
        <w:rPr>
          <w:rFonts w:ascii="Calibri" w:cs="Calibri" w:eastAsia="Calibri" w:hAnsi="Calibri"/>
          <w:b w:val="false"/>
          <w:bCs w:val="false"/>
          <w:i w:val="false"/>
          <w:iCs w:val="false"/>
          <w:color w:val="1A1A1A"/>
          <w:sz w:val="22"/>
          <w:szCs w:val="22"/>
        </w:rPr>
        <w:t xml:space="preserve">Выделенные вызовы для DAC включают:</w:t>
      </w:r>
    </w:p>
    <w:p>
      <w:pPr>
        <w:pStyle w:val="ListParagraph"/>
        <w:numPr>
          <w:ilvl w:val="0"/>
          <w:numId w:val="3"/>
        </w:numPr>
        <w:spacing w:after="60" w:before="60"/>
      </w:pPr>
      <w:r>
        <w:rPr>
          <w:rFonts w:ascii="Calibri" w:cs="Calibri" w:eastAsia="Calibri" w:hAnsi="Calibri"/>
          <w:b/>
          <w:bCs/>
          <w:i w:val="false"/>
          <w:iCs w:val="false"/>
          <w:color w:val="1A1A1A"/>
          <w:sz w:val="22"/>
          <w:szCs w:val="22"/>
        </w:rPr>
        <w:t xml:space="preserve">"Advancements in Direct Air Capture"</w:t>
      </w:r>
      <w:r>
        <w:rPr>
          <w:rFonts w:ascii="Calibri" w:cs="Calibri" w:eastAsia="Calibri" w:hAnsi="Calibri"/>
          <w:b w:val="false"/>
          <w:bCs w:val="false"/>
          <w:i w:val="false"/>
          <w:iCs w:val="false"/>
          <w:color w:val="1A1A1A"/>
          <w:sz w:val="22"/>
          <w:szCs w:val="22"/>
        </w:rPr>
        <w:t xml:space="preserve"> с </w:t>
      </w:r>
      <w:r>
        <w:rPr>
          <w:rFonts w:ascii="Calibri" w:cs="Calibri" w:eastAsia="Calibri" w:hAnsi="Calibri"/>
          <w:b/>
          <w:bCs/>
          <w:i w:val="false"/>
          <w:iCs w:val="false"/>
          <w:color w:val="1A1A1A"/>
          <w:sz w:val="22"/>
          <w:szCs w:val="22"/>
        </w:rPr>
        <w:t xml:space="preserve">€15–16 млн</w:t>
      </w:r>
      <w:r>
        <w:rPr>
          <w:rFonts w:ascii="Calibri" w:cs="Calibri" w:eastAsia="Calibri" w:hAnsi="Calibri"/>
          <w:b w:val="false"/>
          <w:bCs w:val="false"/>
          <w:i w:val="false"/>
          <w:iCs w:val="false"/>
          <w:color w:val="1A1A1A"/>
          <w:sz w:val="22"/>
          <w:szCs w:val="22"/>
        </w:rPr>
        <w:t xml:space="preserve"> бюджетированным для проектов исследований и демонстрации 2026–2027 [14]</w:t>
      </w:r>
    </w:p>
    <w:p>
      <w:pPr>
        <w:pStyle w:val="ListParagraph"/>
        <w:numPr>
          <w:ilvl w:val="0"/>
          <w:numId w:val="3"/>
        </w:numPr>
        <w:spacing w:after="60" w:before="60"/>
      </w:pPr>
      <w:r>
        <w:rPr>
          <w:rFonts w:ascii="Calibri" w:cs="Calibri" w:eastAsia="Calibri" w:hAnsi="Calibri"/>
          <w:b/>
          <w:bCs/>
          <w:i w:val="false"/>
          <w:iCs w:val="false"/>
          <w:color w:val="1A1A1A"/>
          <w:sz w:val="22"/>
          <w:szCs w:val="22"/>
        </w:rPr>
        <w:t xml:space="preserve">"DACCS and BECCS for CO₂ Removal/Negative Emissions"</w:t>
      </w:r>
      <w:r>
        <w:rPr>
          <w:rFonts w:ascii="Calibri" w:cs="Calibri" w:eastAsia="Calibri" w:hAnsi="Calibri"/>
          <w:b w:val="false"/>
          <w:bCs w:val="false"/>
          <w:i w:val="false"/>
          <w:iCs w:val="false"/>
          <w:color w:val="1A1A1A"/>
          <w:sz w:val="22"/>
          <w:szCs w:val="22"/>
        </w:rPr>
        <w:t xml:space="preserve"> (HORIZON-CL5-2024-D3-02-12), нацеленный на демонстрационные объекты [14]</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European Innovation Council (EIC)</w:t>
      </w:r>
      <w:r>
        <w:rPr>
          <w:rFonts w:ascii="Calibri" w:cs="Calibri" w:eastAsia="Calibri" w:hAnsi="Calibri"/>
          <w:b w:val="false"/>
          <w:bCs w:val="false"/>
          <w:i w:val="false"/>
          <w:iCs w:val="false"/>
          <w:color w:val="1A1A1A"/>
          <w:sz w:val="22"/>
          <w:szCs w:val="22"/>
        </w:rPr>
        <w:t xml:space="preserve"> переход к новым структурам программ в 2026 году вводит выделенные пути для SMEs и стартапов, нацеленных на созревание технологии CDR, признавая, что меньшие предприятия стимулируют значительные инновации в этом пространстве [14].</w:t>
      </w:r>
    </w:p>
    <w:p>
      <w:pPr>
        <w:spacing w:after="160"/>
        <w:jc w:val="left"/>
      </w:pPr>
      <w:r>
        <w:rPr>
          <w:rFonts w:ascii="Calibri" w:cs="Calibri" w:eastAsia="Calibri" w:hAnsi="Calibri"/>
          <w:b w:val="false"/>
          <w:bCs w:val="false"/>
          <w:i w:val="false"/>
          <w:iCs w:val="false"/>
          <w:color w:val="1A1A1A"/>
          <w:sz w:val="22"/>
          <w:szCs w:val="22"/>
        </w:rPr>
        <w:t xml:space="preserve">Исторический контекст: с 2020–2023, Horizon Europe выплатил приблизительно </w:t>
      </w:r>
      <w:r>
        <w:rPr>
          <w:rFonts w:ascii="Calibri" w:cs="Calibri" w:eastAsia="Calibri" w:hAnsi="Calibri"/>
          <w:b/>
          <w:bCs/>
          <w:i w:val="false"/>
          <w:iCs w:val="false"/>
          <w:color w:val="1A1A1A"/>
          <w:sz w:val="22"/>
          <w:szCs w:val="22"/>
        </w:rPr>
        <w:t xml:space="preserve">€657 млн</w:t>
      </w:r>
      <w:r>
        <w:rPr>
          <w:rFonts w:ascii="Calibri" w:cs="Calibri" w:eastAsia="Calibri" w:hAnsi="Calibri"/>
          <w:b w:val="false"/>
          <w:bCs w:val="false"/>
          <w:i w:val="false"/>
          <w:iCs w:val="false"/>
          <w:color w:val="1A1A1A"/>
          <w:sz w:val="22"/>
          <w:szCs w:val="22"/>
        </w:rPr>
        <w:t xml:space="preserve"> методам удаления углерода, демонстрируя устойчивое обязательство ЕС к инфраструктуре исследований CDR [13].</w:t>
      </w:r>
    </w:p>
    <w:p>
      <w:pPr>
        <w:spacing w:after="160"/>
        <w:jc w:val="left"/>
      </w:pPr>
      <w:r>
        <w:rPr>
          <w:rFonts w:ascii="Calibri" w:cs="Calibri" w:eastAsia="Calibri" w:hAnsi="Calibri"/>
          <w:b w:val="false"/>
          <w:bCs w:val="false"/>
          <w:i w:val="false"/>
          <w:iCs w:val="false"/>
          <w:color w:val="1A1A1A"/>
          <w:sz w:val="22"/>
          <w:szCs w:val="22"/>
        </w:rPr>
        <w:t xml:space="preserve">#### 3.3 Recovery and Resilience Facility: €723,8 млрд выделенных ресурсов государств-членов</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Recovery and Resilience Facility</w:t>
      </w:r>
      <w:r>
        <w:rPr>
          <w:rFonts w:ascii="Calibri" w:cs="Calibri" w:eastAsia="Calibri" w:hAnsi="Calibri"/>
          <w:b w:val="false"/>
          <w:bCs w:val="false"/>
          <w:i w:val="false"/>
          <w:iCs w:val="false"/>
          <w:color w:val="1A1A1A"/>
          <w:sz w:val="22"/>
          <w:szCs w:val="22"/>
        </w:rPr>
        <w:t xml:space="preserve">, часть более широкой программы восстановления ЕС, включает </w:t>
      </w:r>
      <w:r>
        <w:rPr>
          <w:rFonts w:ascii="Calibri" w:cs="Calibri" w:eastAsia="Calibri" w:hAnsi="Calibri"/>
          <w:b/>
          <w:bCs/>
          <w:i w:val="false"/>
          <w:iCs w:val="false"/>
          <w:color w:val="1A1A1A"/>
          <w:sz w:val="22"/>
          <w:szCs w:val="22"/>
        </w:rPr>
        <w:t xml:space="preserve">€723,8 млрд</w:t>
      </w:r>
      <w:r>
        <w:rPr>
          <w:rFonts w:ascii="Calibri" w:cs="Calibri" w:eastAsia="Calibri" w:hAnsi="Calibri"/>
          <w:b w:val="false"/>
          <w:bCs w:val="false"/>
          <w:i w:val="false"/>
          <w:iCs w:val="false"/>
          <w:color w:val="1A1A1A"/>
          <w:sz w:val="22"/>
          <w:szCs w:val="22"/>
        </w:rPr>
        <w:t xml:space="preserve"> доступных через конец 2026 года, с государствами-членами, требуемыми выделить минимум </w:t>
      </w:r>
      <w:r>
        <w:rPr>
          <w:rFonts w:ascii="Calibri" w:cs="Calibri" w:eastAsia="Calibri" w:hAnsi="Calibri"/>
          <w:b/>
          <w:bCs/>
          <w:i w:val="false"/>
          <w:iCs w:val="false"/>
          <w:color w:val="1A1A1A"/>
          <w:sz w:val="22"/>
          <w:szCs w:val="22"/>
        </w:rPr>
        <w:t xml:space="preserve">37% своих национальных выделений на зелёные инвестиции</w:t>
      </w:r>
      <w:r>
        <w:rPr>
          <w:rFonts w:ascii="Calibri" w:cs="Calibri" w:eastAsia="Calibri" w:hAnsi="Calibri"/>
          <w:b w:val="false"/>
          <w:bCs w:val="false"/>
          <w:i w:val="false"/>
          <w:iCs w:val="false"/>
          <w:color w:val="1A1A1A"/>
          <w:sz w:val="22"/>
          <w:szCs w:val="22"/>
        </w:rPr>
        <w:t xml:space="preserve"> [13]. Несколько государств-членов направили порции своих выделений RRF специально на инфраструктуру захвата углерода: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Государство-член</w:t>
            </w:r>
          </w:p>
        </w:tc>
        <w:tc>
          <w:tcPr>
            <w:tcW w:type="dxa" w:w="312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Выделение RRF (захват углерода/удаление)</w:t>
            </w:r>
          </w:p>
        </w:tc>
        <w:tc>
          <w:tcPr>
            <w:tcW w:type="dxa" w:w="312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Фокус проекта</w:t>
            </w:r>
          </w:p>
        </w:tc>
      </w:tr>
      <w:tr>
        <w:tc>
          <w:tcPr>
            <w:tcW w:type="dxa" w:w="312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Бельгия</w:t>
            </w:r>
          </w:p>
        </w:tc>
        <w:tc>
          <w:tcPr>
            <w:tcW w:type="dxa" w:w="312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€95 млн</w:t>
            </w:r>
          </w:p>
        </w:tc>
        <w:tc>
          <w:tcPr>
            <w:tcW w:type="dxa" w:w="312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Инфраструктура CO₂ backbone [13]</w:t>
            </w:r>
          </w:p>
        </w:tc>
      </w:tr>
      <w:tr>
        <w:tc>
          <w:tcPr>
            <w:tcW w:type="dxa" w:w="312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Хорватия</w:t>
            </w:r>
          </w:p>
        </w:tc>
        <w:tc>
          <w:tcPr>
            <w:tcW w:type="dxa" w:w="312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€658 млн</w:t>
            </w:r>
          </w:p>
        </w:tc>
        <w:tc>
          <w:tcPr>
            <w:tcW w:type="dxa" w:w="312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CCS и возобновляемый водород [13]</w:t>
            </w:r>
          </w:p>
        </w:tc>
      </w:tr>
      <w:tr>
        <w:tc>
          <w:tcPr>
            <w:tcW w:type="dxa" w:w="312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Дания</w:t>
            </w:r>
          </w:p>
        </w:tc>
        <w:tc>
          <w:tcPr>
            <w:tcW w:type="dxa" w:w="312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€27 млн</w:t>
            </w:r>
          </w:p>
        </w:tc>
        <w:tc>
          <w:tcPr>
            <w:tcW w:type="dxa" w:w="312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Субсидия схема хранилища CO₂ [13]</w:t>
            </w:r>
          </w:p>
        </w:tc>
      </w:tr>
      <w:tr>
        <w:tc>
          <w:tcPr>
            <w:tcW w:type="dxa" w:w="312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Финляндия</w:t>
            </w:r>
          </w:p>
        </w:tc>
        <w:tc>
          <w:tcPr>
            <w:tcW w:type="dxa" w:w="312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€136 млн</w:t>
            </w:r>
          </w:p>
        </w:tc>
        <w:tc>
          <w:tcPr>
            <w:tcW w:type="dxa" w:w="312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Развёртывание низкоуглеродного водорода &amp; CCS [13]</w:t>
            </w:r>
          </w:p>
        </w:tc>
      </w:tr>
      <w:tr>
        <w:tc>
          <w:tcPr>
            <w:tcW w:type="dxa" w:w="312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Греция</w:t>
            </w:r>
          </w:p>
        </w:tc>
        <w:tc>
          <w:tcPr>
            <w:tcW w:type="dxa" w:w="312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€150 млн</w:t>
            </w:r>
          </w:p>
        </w:tc>
        <w:tc>
          <w:tcPr>
            <w:tcW w:type="dxa" w:w="312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Проект хранилища CO₂ Prinos (в Средиземном море) [13]</w:t>
            </w:r>
          </w:p>
        </w:tc>
      </w:tr>
    </w:tbl>
    <w:p>
      <w:pPr>
        <w:spacing w:after="160"/>
        <w:jc w:val="left"/>
      </w:pPr>
      <w:r>
        <w:rPr>
          <w:rFonts w:ascii="Calibri" w:cs="Calibri" w:eastAsia="Calibri" w:hAnsi="Calibri"/>
          <w:b w:val="false"/>
          <w:bCs w:val="false"/>
          <w:i w:val="false"/>
          <w:iCs w:val="false"/>
          <w:color w:val="1A1A1A"/>
          <w:sz w:val="22"/>
          <w:szCs w:val="22"/>
        </w:rPr>
        <w:t xml:space="preserve">Эти выделения подчёркивают признание государствами-членами того, что инфраструктура DAC/CCS требует существенных капитальных инвестиций, с большинством поддержки RRF, нацеленной на общую инфраструктуру (трубопроводы, участки хранилища, сопроизводство водорода) вместо отдельных объектов захвата.</w:t>
      </w:r>
    </w:p>
    <w:p>
      <w:pPr>
        <w:spacing w:after="160"/>
        <w:jc w:val="left"/>
      </w:pPr>
      <w:r>
        <w:rPr>
          <w:rFonts w:ascii="Calibri" w:cs="Calibri" w:eastAsia="Calibri" w:hAnsi="Calibri"/>
          <w:b w:val="false"/>
          <w:bCs w:val="false"/>
          <w:i w:val="false"/>
          <w:iCs w:val="false"/>
          <w:color w:val="1A1A1A"/>
          <w:sz w:val="22"/>
          <w:szCs w:val="22"/>
        </w:rPr>
        <w:t xml:space="preserve">#### 3.4 Дополнительные программы ЕС</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Just Transition Fund (2021–2027):</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€17,5 млрд</w:t>
      </w:r>
      <w:r>
        <w:rPr>
          <w:rFonts w:ascii="Calibri" w:cs="Calibri" w:eastAsia="Calibri" w:hAnsi="Calibri"/>
          <w:b w:val="false"/>
          <w:bCs w:val="false"/>
          <w:i w:val="false"/>
          <w:iCs w:val="false"/>
          <w:color w:val="1A1A1A"/>
          <w:sz w:val="22"/>
          <w:szCs w:val="22"/>
        </w:rPr>
        <w:t xml:space="preserve"> доступны для поддержки переходов в углеродоёмких регионах, с ставками финансирования </w:t>
      </w:r>
      <w:r>
        <w:rPr>
          <w:rFonts w:ascii="Calibri" w:cs="Calibri" w:eastAsia="Calibri" w:hAnsi="Calibri"/>
          <w:b/>
          <w:bCs/>
          <w:i w:val="false"/>
          <w:iCs w:val="false"/>
          <w:color w:val="1A1A1A"/>
          <w:sz w:val="22"/>
          <w:szCs w:val="22"/>
        </w:rPr>
        <w:t xml:space="preserve">85% (менее развитые регионы), 70% (переходные регионы), и 50% (развитые регионы)</w:t>
      </w:r>
      <w:r>
        <w:rPr>
          <w:rFonts w:ascii="Calibri" w:cs="Calibri" w:eastAsia="Calibri" w:hAnsi="Calibri"/>
          <w:b w:val="false"/>
          <w:bCs w:val="false"/>
          <w:i w:val="false"/>
          <w:iCs w:val="false"/>
          <w:color w:val="1A1A1A"/>
          <w:sz w:val="22"/>
          <w:szCs w:val="22"/>
        </w:rPr>
        <w:t xml:space="preserve"> [13]. Эта программа напрямую нацелена на инфраструктуру CCS/CCU/CDR в угольных, стальных и цементных регионах, сталкивающихся с давлением декарбонизации.</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Connecting Europe Facility (CEF) Energy:</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€850 млн</w:t>
      </w:r>
      <w:r>
        <w:rPr>
          <w:rFonts w:ascii="Calibri" w:cs="Calibri" w:eastAsia="Calibri" w:hAnsi="Calibri"/>
          <w:b w:val="false"/>
          <w:bCs w:val="false"/>
          <w:i w:val="false"/>
          <w:iCs w:val="false"/>
          <w:color w:val="1A1A1A"/>
          <w:sz w:val="22"/>
          <w:szCs w:val="22"/>
        </w:rPr>
        <w:t xml:space="preserve"> новый вызов (2024) выделен для проектов инфраструктуры транспорта CO₂ проектов общего интереса (PCIs) и проектов взаимного интереса (PMIs), признавая, что сети трубопроводов CO₂ — критическая включающая инфраструктура [13].</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LIFE Programme</w:t>
      </w:r>
      <w:r>
        <w:rPr>
          <w:rFonts w:ascii="Calibri" w:cs="Calibri" w:eastAsia="Calibri" w:hAnsi="Calibri"/>
          <w:b w:val="false"/>
          <w:bCs w:val="false"/>
          <w:i w:val="false"/>
          <w:iCs w:val="false"/>
          <w:color w:val="1A1A1A"/>
          <w:sz w:val="22"/>
          <w:szCs w:val="22"/>
        </w:rPr>
        <w:t xml:space="preserve"> (2021–2027, €5,45 млрд всего): </w:t>
      </w:r>
      <w:r>
        <w:rPr>
          <w:rFonts w:ascii="Calibri" w:cs="Calibri" w:eastAsia="Calibri" w:hAnsi="Calibri"/>
          <w:b/>
          <w:bCs/>
          <w:i w:val="false"/>
          <w:iCs w:val="false"/>
          <w:color w:val="1A1A1A"/>
          <w:sz w:val="22"/>
          <w:szCs w:val="22"/>
        </w:rPr>
        <w:t xml:space="preserve">€11,2 млн</w:t>
      </w:r>
      <w:r>
        <w:rPr>
          <w:rFonts w:ascii="Calibri" w:cs="Calibri" w:eastAsia="Calibri" w:hAnsi="Calibri"/>
          <w:b w:val="false"/>
          <w:bCs w:val="false"/>
          <w:i w:val="false"/>
          <w:iCs w:val="false"/>
          <w:color w:val="1A1A1A"/>
          <w:sz w:val="22"/>
          <w:szCs w:val="22"/>
        </w:rPr>
        <w:t xml:space="preserve"> выделены на основанное на природе CDR; однако DACCS представляет первое упоминание инженерного CDR в вызове 2024 года, указывая расширяющийся объём [13].</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Important Projects of Common European Interest (IPCEI):</w:t>
      </w:r>
      <w:r>
        <w:rPr>
          <w:rFonts w:ascii="Calibri" w:cs="Calibri" w:eastAsia="Calibri" w:hAnsi="Calibri"/>
          <w:b w:val="false"/>
          <w:bCs w:val="false"/>
          <w:i w:val="false"/>
          <w:iCs w:val="false"/>
          <w:color w:val="1A1A1A"/>
          <w:sz w:val="22"/>
          <w:szCs w:val="22"/>
        </w:rPr>
        <w:t xml:space="preserve"> Рамки, поддерживающие проекты на Technology Readiness Levels 4–10 (пилот через коммерческий масштаб), комбинирующие государственные гранты с сопроизводством частного сектора, с Германией и Нидерландами, устанавливающими рамки IPCEI для CCUS [13].</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EU-Catalyst Partnership</w:t>
      </w:r>
      <w:r>
        <w:rPr>
          <w:rFonts w:ascii="Calibri" w:cs="Calibri" w:eastAsia="Calibri" w:hAnsi="Calibri"/>
          <w:b w:val="false"/>
          <w:bCs w:val="false"/>
          <w:i w:val="false"/>
          <w:iCs w:val="false"/>
          <w:color w:val="1A1A1A"/>
          <w:sz w:val="22"/>
          <w:szCs w:val="22"/>
        </w:rPr>
        <w:t xml:space="preserve"> (Европейская комиссия, Европейский инвестиционный банк, Breakthrough Energy): Приблизительно </w:t>
      </w:r>
      <w:r>
        <w:rPr>
          <w:rFonts w:ascii="Calibri" w:cs="Calibri" w:eastAsia="Calibri" w:hAnsi="Calibri"/>
          <w:b/>
          <w:bCs/>
          <w:i w:val="false"/>
          <w:iCs w:val="false"/>
          <w:color w:val="1A1A1A"/>
          <w:sz w:val="22"/>
          <w:szCs w:val="22"/>
        </w:rPr>
        <w:t xml:space="preserve">€820 млн</w:t>
      </w:r>
      <w:r>
        <w:rPr>
          <w:rFonts w:ascii="Calibri" w:cs="Calibri" w:eastAsia="Calibri" w:hAnsi="Calibri"/>
          <w:b w:val="false"/>
          <w:bCs w:val="false"/>
          <w:i w:val="false"/>
          <w:iCs w:val="false"/>
          <w:color w:val="1A1A1A"/>
          <w:sz w:val="22"/>
          <w:szCs w:val="22"/>
        </w:rPr>
        <w:t xml:space="preserve"> (2022–2026), выделенные масштабированию инновационных низкоуглеродных технологий, включая DAC, предоставляя льготное финансирование ниже рыночных ставок [15].</w:t>
      </w:r>
    </w:p>
    <w:p>
      <w:pPr>
        <w:spacing w:after="120" w:before="280"/>
        <w:outlineLvl w:val="2"/>
      </w:pPr>
      <w:r>
        <w:rPr>
          <w:rFonts w:ascii="Calibri" w:cs="Calibri" w:eastAsia="Calibri" w:hAnsi="Calibri"/>
          <w:b/>
          <w:bCs/>
          <w:color w:val="1F3A5F"/>
          <w:sz w:val="44"/>
          <w:szCs w:val="44"/>
        </w:rPr>
        <w:t xml:space="preserve">4. Национальные программы финансирования: государства-члены-специфичные механизмы</w:t>
      </w:r>
    </w:p>
    <w:p>
      <w:pPr>
        <w:spacing w:after="160"/>
        <w:jc w:val="left"/>
      </w:pPr>
      <w:r>
        <w:rPr>
          <w:rFonts w:ascii="Calibri" w:cs="Calibri" w:eastAsia="Calibri" w:hAnsi="Calibri"/>
          <w:b w:val="false"/>
          <w:bCs w:val="false"/>
          <w:i w:val="false"/>
          <w:iCs w:val="false"/>
          <w:color w:val="1A1A1A"/>
          <w:sz w:val="22"/>
          <w:szCs w:val="22"/>
        </w:rPr>
        <w:t xml:space="preserve">#### 4.1 Дания: €3,5 млрд CCS Fund</w:t>
      </w:r>
    </w:p>
    <w:p>
      <w:pPr>
        <w:spacing w:after="160"/>
        <w:jc w:val="left"/>
      </w:pPr>
      <w:r>
        <w:rPr>
          <w:rFonts w:ascii="Calibri" w:cs="Calibri" w:eastAsia="Calibri" w:hAnsi="Calibri"/>
          <w:b w:val="false"/>
          <w:bCs w:val="false"/>
          <w:i w:val="false"/>
          <w:iCs w:val="false"/>
          <w:color w:val="1A1A1A"/>
          <w:sz w:val="22"/>
          <w:szCs w:val="22"/>
        </w:rPr>
        <w:t xml:space="preserve">[STRONG] Дания управляет </w:t>
      </w:r>
      <w:r>
        <w:rPr>
          <w:rFonts w:ascii="Calibri" w:cs="Calibri" w:eastAsia="Calibri" w:hAnsi="Calibri"/>
          <w:b/>
          <w:bCs/>
          <w:i w:val="false"/>
          <w:iCs w:val="false"/>
          <w:color w:val="1A1A1A"/>
          <w:sz w:val="22"/>
          <w:szCs w:val="22"/>
        </w:rPr>
        <w:t xml:space="preserve">Danish CCS Fund</w:t>
      </w:r>
      <w:r>
        <w:rPr>
          <w:rFonts w:ascii="Calibri" w:cs="Calibri" w:eastAsia="Calibri" w:hAnsi="Calibri"/>
          <w:b w:val="false"/>
          <w:bCs w:val="false"/>
          <w:i w:val="false"/>
          <w:iCs w:val="false"/>
          <w:color w:val="1A1A1A"/>
          <w:sz w:val="22"/>
          <w:szCs w:val="22"/>
        </w:rPr>
        <w:t xml:space="preserve"> с приблизительно </w:t>
      </w:r>
      <w:r>
        <w:rPr>
          <w:rFonts w:ascii="Calibri" w:cs="Calibri" w:eastAsia="Calibri" w:hAnsi="Calibri"/>
          <w:b/>
          <w:bCs/>
          <w:i w:val="false"/>
          <w:iCs w:val="false"/>
          <w:color w:val="1A1A1A"/>
          <w:sz w:val="22"/>
          <w:szCs w:val="22"/>
        </w:rPr>
        <w:t xml:space="preserve">€3,5 млрд</w:t>
      </w:r>
      <w:r>
        <w:rPr>
          <w:rFonts w:ascii="Calibri" w:cs="Calibri" w:eastAsia="Calibri" w:hAnsi="Calibri"/>
          <w:b w:val="false"/>
          <w:bCs w:val="false"/>
          <w:i w:val="false"/>
          <w:iCs w:val="false"/>
          <w:color w:val="1A1A1A"/>
          <w:sz w:val="22"/>
          <w:szCs w:val="22"/>
        </w:rPr>
        <w:t xml:space="preserve"> капитала, с первым раундом тендера, проведённым в октябре 2024 года [16]. Этот фонд напрямую поддерживает промышленный захват углерода из цемента, стали и объектов преобразования отходов в энергию, с потенциальным расширением на прямой захват воздуха. </w:t>
      </w:r>
      <w:r>
        <w:rPr>
          <w:rFonts w:ascii="Calibri" w:cs="Calibri" w:eastAsia="Calibri" w:hAnsi="Calibri"/>
          <w:b/>
          <w:bCs/>
          <w:i w:val="false"/>
          <w:iCs w:val="false"/>
          <w:color w:val="1A1A1A"/>
          <w:sz w:val="22"/>
          <w:szCs w:val="22"/>
        </w:rPr>
        <w:t xml:space="preserve">NECCS Pool</w:t>
      </w:r>
      <w:r>
        <w:rPr>
          <w:rFonts w:ascii="Calibri" w:cs="Calibri" w:eastAsia="Calibri" w:hAnsi="Calibri"/>
          <w:b w:val="false"/>
          <w:bCs w:val="false"/>
          <w:i w:val="false"/>
          <w:iCs w:val="false"/>
          <w:color w:val="1A1A1A"/>
          <w:sz w:val="22"/>
          <w:szCs w:val="22"/>
        </w:rPr>
        <w:t xml:space="preserve"> присудил контракты в апреле 2024 года для проектов захвата биогенного CO₂, устанавливая операционный прецедент [17].</w:t>
      </w:r>
    </w:p>
    <w:p>
      <w:pPr>
        <w:spacing w:after="160"/>
        <w:jc w:val="left"/>
      </w:pPr>
      <w:r>
        <w:rPr>
          <w:rFonts w:ascii="Calibri" w:cs="Calibri" w:eastAsia="Calibri" w:hAnsi="Calibri"/>
          <w:b w:val="false"/>
          <w:bCs w:val="false"/>
          <w:i w:val="false"/>
          <w:iCs w:val="false"/>
          <w:color w:val="1A1A1A"/>
          <w:sz w:val="22"/>
          <w:szCs w:val="22"/>
        </w:rPr>
        <w:t xml:space="preserve">#### 4.2 Швеция: €3 млрд BECCS Aid Scheme</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Sweden's BECCS Aid Scheme</w:t>
      </w:r>
      <w:r>
        <w:rPr>
          <w:rFonts w:ascii="Calibri" w:cs="Calibri" w:eastAsia="Calibri" w:hAnsi="Calibri"/>
          <w:b w:val="false"/>
          <w:bCs w:val="false"/>
          <w:i w:val="false"/>
          <w:iCs w:val="false"/>
          <w:color w:val="1A1A1A"/>
          <w:sz w:val="22"/>
          <w:szCs w:val="22"/>
        </w:rPr>
        <w:t xml:space="preserve"> выделяет </w:t>
      </w:r>
      <w:r>
        <w:rPr>
          <w:rFonts w:ascii="Calibri" w:cs="Calibri" w:eastAsia="Calibri" w:hAnsi="Calibri"/>
          <w:b/>
          <w:bCs/>
          <w:i w:val="false"/>
          <w:iCs w:val="false"/>
          <w:color w:val="1A1A1A"/>
          <w:sz w:val="22"/>
          <w:szCs w:val="22"/>
        </w:rPr>
        <w:t xml:space="preserve">€3 млрд</w:t>
      </w:r>
      <w:r>
        <w:rPr>
          <w:rFonts w:ascii="Calibri" w:cs="Calibri" w:eastAsia="Calibri" w:hAnsi="Calibri"/>
          <w:b w:val="false"/>
          <w:bCs w:val="false"/>
          <w:i w:val="false"/>
          <w:iCs w:val="false"/>
          <w:color w:val="1A1A1A"/>
          <w:sz w:val="22"/>
          <w:szCs w:val="22"/>
        </w:rPr>
        <w:t xml:space="preserve"> (одобрено Европейской комиссией в июле 2024 года), нацеленные на захват углерода на основе биомассы с хранилищем [17]. Хотя сосредоточена на BECCS, схема демонстрирует существенное обязательство Швеции к инфраструктуре удаления углерода и устанавливает операционный прецедент для финансирования проектов хранилища.</w:t>
      </w:r>
    </w:p>
    <w:p>
      <w:pPr>
        <w:spacing w:after="160"/>
        <w:jc w:val="left"/>
      </w:pPr>
      <w:r>
        <w:rPr>
          <w:rFonts w:ascii="Calibri" w:cs="Calibri" w:eastAsia="Calibri" w:hAnsi="Calibri"/>
          <w:b w:val="false"/>
          <w:bCs w:val="false"/>
          <w:i w:val="false"/>
          <w:iCs w:val="false"/>
          <w:color w:val="1A1A1A"/>
          <w:sz w:val="22"/>
          <w:szCs w:val="22"/>
        </w:rPr>
        <w:t xml:space="preserve">#### 4.3 Нидерланды: €2,1 млрд гарантия правительства и €141 млн прямая поддержка</w:t>
      </w:r>
    </w:p>
    <w:p>
      <w:pPr>
        <w:spacing w:after="160"/>
        <w:jc w:val="left"/>
      </w:pPr>
      <w:r>
        <w:rPr>
          <w:rFonts w:ascii="Calibri" w:cs="Calibri" w:eastAsia="Calibri" w:hAnsi="Calibri"/>
          <w:b w:val="false"/>
          <w:bCs w:val="false"/>
          <w:i w:val="false"/>
          <w:iCs w:val="false"/>
          <w:color w:val="1A1A1A"/>
          <w:sz w:val="22"/>
          <w:szCs w:val="22"/>
        </w:rPr>
        <w:t xml:space="preserve">[STRONG] Нидерланды управляют несколькими механизмами:</w:t>
      </w:r>
    </w:p>
    <w:p>
      <w:pPr>
        <w:pStyle w:val="ListParagraph"/>
        <w:numPr>
          <w:ilvl w:val="0"/>
          <w:numId w:val="3"/>
        </w:numPr>
        <w:spacing w:after="60" w:before="60"/>
      </w:pPr>
      <w:r>
        <w:rPr>
          <w:rFonts w:ascii="Calibri" w:cs="Calibri" w:eastAsia="Calibri" w:hAnsi="Calibri"/>
          <w:b/>
          <w:bCs/>
          <w:i w:val="false"/>
          <w:iCs w:val="false"/>
          <w:color w:val="1A1A1A"/>
          <w:sz w:val="22"/>
          <w:szCs w:val="22"/>
        </w:rPr>
        <w:t xml:space="preserve">Rotterdam CCS Project Guarantee:</w:t>
      </w:r>
      <w:r>
        <w:rPr>
          <w:rFonts w:ascii="Calibri" w:cs="Calibri" w:eastAsia="Calibri" w:hAnsi="Calibri"/>
          <w:b w:val="false"/>
          <w:bCs w:val="false"/>
          <w:i w:val="false"/>
          <w:iCs w:val="false"/>
          <w:color w:val="1A1A1A"/>
          <w:sz w:val="22"/>
          <w:szCs w:val="22"/>
        </w:rPr>
        <w:t xml:space="preserve"> </w:t>
      </w:r>
      <w:r>
        <w:rPr>
          <w:rFonts w:ascii="Calibri" w:cs="Calibri" w:eastAsia="Calibri" w:hAnsi="Calibri"/>
          <w:b/>
          <w:bCs/>
          <w:i w:val="false"/>
          <w:iCs w:val="false"/>
          <w:color w:val="1A1A1A"/>
          <w:sz w:val="22"/>
          <w:szCs w:val="22"/>
        </w:rPr>
        <w:t xml:space="preserve">€2,1 млрд</w:t>
      </w:r>
      <w:r>
        <w:rPr>
          <w:rFonts w:ascii="Calibri" w:cs="Calibri" w:eastAsia="Calibri" w:hAnsi="Calibri"/>
          <w:b w:val="false"/>
          <w:bCs w:val="false"/>
          <w:i w:val="false"/>
          <w:iCs w:val="false"/>
          <w:color w:val="1A1A1A"/>
          <w:sz w:val="22"/>
          <w:szCs w:val="22"/>
        </w:rPr>
        <w:t xml:space="preserve"> гарантия правительства для крупномасштабного проекта захвата, ожидающего захватить </w:t>
      </w:r>
      <w:r>
        <w:rPr>
          <w:rFonts w:ascii="Calibri" w:cs="Calibri" w:eastAsia="Calibri" w:hAnsi="Calibri"/>
          <w:b/>
          <w:bCs/>
          <w:i w:val="false"/>
          <w:iCs w:val="false"/>
          <w:color w:val="1A1A1A"/>
          <w:sz w:val="22"/>
          <w:szCs w:val="22"/>
        </w:rPr>
        <w:t xml:space="preserve">2,5 Mt CO₂ ежегодно</w:t>
      </w:r>
      <w:r>
        <w:rPr>
          <w:rFonts w:ascii="Calibri" w:cs="Calibri" w:eastAsia="Calibri" w:hAnsi="Calibri"/>
          <w:b w:val="false"/>
          <w:bCs w:val="false"/>
          <w:i w:val="false"/>
          <w:iCs w:val="false"/>
          <w:color w:val="1A1A1A"/>
          <w:sz w:val="22"/>
          <w:szCs w:val="22"/>
        </w:rPr>
        <w:t xml:space="preserve"> (ожидается операционный 2026 год) [18], существенно снижая риск частного финансирования.</w:t>
      </w:r>
    </w:p>
    <w:p>
      <w:pPr>
        <w:pStyle w:val="ListParagraph"/>
        <w:numPr>
          <w:ilvl w:val="0"/>
          <w:numId w:val="3"/>
        </w:numPr>
        <w:spacing w:after="60" w:before="60"/>
      </w:pPr>
      <w:r>
        <w:rPr>
          <w:rFonts w:ascii="Calibri" w:cs="Calibri" w:eastAsia="Calibri" w:hAnsi="Calibri"/>
          <w:b/>
          <w:bCs/>
          <w:i w:val="false"/>
          <w:iCs w:val="false"/>
          <w:color w:val="1A1A1A"/>
          <w:sz w:val="22"/>
          <w:szCs w:val="22"/>
        </w:rPr>
        <w:t xml:space="preserve">SDE++ Program:</w:t>
      </w:r>
      <w:r>
        <w:rPr>
          <w:rFonts w:ascii="Calibri" w:cs="Calibri" w:eastAsia="Calibri" w:hAnsi="Calibri"/>
          <w:b w:val="false"/>
          <w:bCs w:val="false"/>
          <w:i w:val="false"/>
          <w:iCs w:val="false"/>
          <w:color w:val="1A1A1A"/>
          <w:sz w:val="22"/>
          <w:szCs w:val="22"/>
        </w:rPr>
        <w:t xml:space="preserve"> Существующая поддержка для проектов CCS с расширениями, находящимися в разработке для BECCS [16]</w:t>
      </w:r>
    </w:p>
    <w:p>
      <w:pPr>
        <w:pStyle w:val="ListParagraph"/>
        <w:numPr>
          <w:ilvl w:val="0"/>
          <w:numId w:val="3"/>
        </w:numPr>
        <w:spacing w:after="60" w:before="60"/>
      </w:pPr>
      <w:r>
        <w:rPr>
          <w:rFonts w:ascii="Calibri" w:cs="Calibri" w:eastAsia="Calibri" w:hAnsi="Calibri"/>
          <w:b w:val="false"/>
          <w:bCs w:val="false"/>
          <w:i w:val="false"/>
          <w:iCs w:val="false"/>
          <w:color w:val="1A1A1A"/>
          <w:sz w:val="22"/>
          <w:szCs w:val="22"/>
        </w:rPr>
        <w:t xml:space="preserve">Дополнительная идентифицированная поддержка: </w:t>
      </w:r>
      <w:r>
        <w:rPr>
          <w:rFonts w:ascii="Calibri" w:cs="Calibri" w:eastAsia="Calibri" w:hAnsi="Calibri"/>
          <w:b/>
          <w:bCs/>
          <w:i w:val="false"/>
          <w:iCs w:val="false"/>
          <w:color w:val="1A1A1A"/>
          <w:sz w:val="22"/>
          <w:szCs w:val="22"/>
        </w:rPr>
        <w:t xml:space="preserve">€141 млн</w:t>
      </w:r>
      <w:r>
        <w:rPr>
          <w:rFonts w:ascii="Calibri" w:cs="Calibri" w:eastAsia="Calibri" w:hAnsi="Calibri"/>
          <w:b w:val="false"/>
          <w:bCs w:val="false"/>
          <w:i w:val="false"/>
          <w:iCs w:val="false"/>
          <w:color w:val="1A1A1A"/>
          <w:sz w:val="22"/>
          <w:szCs w:val="22"/>
        </w:rPr>
        <w:t xml:space="preserve"> из различных национальных инструментов [13]</w:t>
      </w:r>
    </w:p>
    <w:p>
      <w:pPr>
        <w:spacing w:after="160"/>
        <w:jc w:val="left"/>
      </w:pPr>
      <w:r>
        <w:rPr>
          <w:rFonts w:ascii="Calibri" w:cs="Calibri" w:eastAsia="Calibri" w:hAnsi="Calibri"/>
          <w:b w:val="false"/>
          <w:bCs w:val="false"/>
          <w:i w:val="false"/>
          <w:iCs w:val="false"/>
          <w:color w:val="1A1A1A"/>
          <w:sz w:val="22"/>
          <w:szCs w:val="22"/>
        </w:rPr>
        <w:t xml:space="preserve">#### 4.4 Германия: Federal Industrial Climate Protection Funding (BIK)</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BIK (Bundesförderung für Industrie und Klimaschutz—Federal Funding for Industry and Climate Protection)</w:t>
      </w:r>
      <w:r>
        <w:rPr>
          <w:rFonts w:ascii="Calibri" w:cs="Calibri" w:eastAsia="Calibri" w:hAnsi="Calibri"/>
          <w:b w:val="false"/>
          <w:bCs w:val="false"/>
          <w:i w:val="false"/>
          <w:iCs w:val="false"/>
          <w:color w:val="1A1A1A"/>
          <w:sz w:val="22"/>
          <w:szCs w:val="22"/>
        </w:rPr>
        <w:t xml:space="preserve"> предоставляет финансирование с интенсивностью до </w:t>
      </w:r>
      <w:r>
        <w:rPr>
          <w:rFonts w:ascii="Calibri" w:cs="Calibri" w:eastAsia="Calibri" w:hAnsi="Calibri"/>
          <w:b/>
          <w:bCs/>
          <w:i w:val="false"/>
          <w:iCs w:val="false"/>
          <w:color w:val="1A1A1A"/>
          <w:sz w:val="22"/>
          <w:szCs w:val="22"/>
        </w:rPr>
        <w:t xml:space="preserve">40–50% приемлемых затрат</w:t>
      </w:r>
      <w:r>
        <w:rPr>
          <w:rFonts w:ascii="Calibri" w:cs="Calibri" w:eastAsia="Calibri" w:hAnsi="Calibri"/>
          <w:b w:val="false"/>
          <w:bCs w:val="false"/>
          <w:i w:val="false"/>
          <w:iCs w:val="false"/>
          <w:color w:val="1A1A1A"/>
          <w:sz w:val="22"/>
          <w:szCs w:val="22"/>
        </w:rPr>
        <w:t xml:space="preserve">, с минимальными грантами </w:t>
      </w:r>
      <w:r>
        <w:rPr>
          <w:rFonts w:ascii="Calibri" w:cs="Calibri" w:eastAsia="Calibri" w:hAnsi="Calibri"/>
          <w:b/>
          <w:bCs/>
          <w:i w:val="false"/>
          <w:iCs w:val="false"/>
          <w:color w:val="1A1A1A"/>
          <w:sz w:val="22"/>
          <w:szCs w:val="22"/>
        </w:rPr>
        <w:t xml:space="preserve">€500 тыс. (малые предприятия) до €1 млн (крупные предприятия)</w:t>
      </w:r>
      <w:r>
        <w:rPr>
          <w:rFonts w:ascii="Calibri" w:cs="Calibri" w:eastAsia="Calibri" w:hAnsi="Calibri"/>
          <w:b w:val="false"/>
          <w:bCs w:val="false"/>
          <w:i w:val="false"/>
          <w:iCs w:val="false"/>
          <w:color w:val="1A1A1A"/>
          <w:sz w:val="22"/>
          <w:szCs w:val="22"/>
        </w:rPr>
        <w:t xml:space="preserve"> [14]. Дополнительные программы включают </w:t>
      </w:r>
      <w:r>
        <w:rPr>
          <w:rFonts w:ascii="Calibri" w:cs="Calibri" w:eastAsia="Calibri" w:hAnsi="Calibri"/>
          <w:b/>
          <w:bCs/>
          <w:i w:val="false"/>
          <w:iCs w:val="false"/>
          <w:color w:val="1A1A1A"/>
          <w:sz w:val="22"/>
          <w:szCs w:val="22"/>
        </w:rPr>
        <w:t xml:space="preserve">CDRmare</w:t>
      </w:r>
      <w:r>
        <w:rPr>
          <w:rFonts w:ascii="Calibri" w:cs="Calibri" w:eastAsia="Calibri" w:hAnsi="Calibri"/>
          <w:b w:val="false"/>
          <w:bCs w:val="false"/>
          <w:i w:val="false"/>
          <w:iCs w:val="false"/>
          <w:color w:val="1A1A1A"/>
          <w:sz w:val="22"/>
          <w:szCs w:val="22"/>
        </w:rPr>
        <w:t xml:space="preserve"> (€26 млн Федеральным министерством образования и исследований) и </w:t>
      </w:r>
      <w:r>
        <w:rPr>
          <w:rFonts w:ascii="Calibri" w:cs="Calibri" w:eastAsia="Calibri" w:hAnsi="Calibri"/>
          <w:b/>
          <w:bCs/>
          <w:i w:val="false"/>
          <w:iCs w:val="false"/>
          <w:color w:val="1A1A1A"/>
          <w:sz w:val="22"/>
          <w:szCs w:val="22"/>
        </w:rPr>
        <w:t xml:space="preserve">CDRterra</w:t>
      </w:r>
      <w:r>
        <w:rPr>
          <w:rFonts w:ascii="Calibri" w:cs="Calibri" w:eastAsia="Calibri" w:hAnsi="Calibri"/>
          <w:b w:val="false"/>
          <w:bCs w:val="false"/>
          <w:i w:val="false"/>
          <w:iCs w:val="false"/>
          <w:color w:val="1A1A1A"/>
          <w:sz w:val="22"/>
          <w:szCs w:val="22"/>
        </w:rPr>
        <w:t xml:space="preserve"> (€21 млн тем же министерством), оба поддерживающие исследования и демонстрацию геологического хранилища [13].</w:t>
      </w:r>
    </w:p>
    <w:p>
      <w:pPr>
        <w:spacing w:after="160"/>
        <w:jc w:val="left"/>
      </w:pPr>
      <w:r>
        <w:rPr>
          <w:rFonts w:ascii="Calibri" w:cs="Calibri" w:eastAsia="Calibri" w:hAnsi="Calibri"/>
          <w:b w:val="false"/>
          <w:bCs w:val="false"/>
          <w:i w:val="false"/>
          <w:iCs w:val="false"/>
          <w:color w:val="1A1A1A"/>
          <w:sz w:val="22"/>
          <w:szCs w:val="22"/>
        </w:rPr>
        <w:t xml:space="preserve">#### 4.5 Франция: €2,61 млн PEPR и программа France 2030</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PEPR SPLEEN</w:t>
      </w:r>
      <w:r>
        <w:rPr>
          <w:rFonts w:ascii="Calibri" w:cs="Calibri" w:eastAsia="Calibri" w:hAnsi="Calibri"/>
          <w:b w:val="false"/>
          <w:bCs w:val="false"/>
          <w:i w:val="false"/>
          <w:iCs w:val="false"/>
          <w:color w:val="1A1A1A"/>
          <w:sz w:val="22"/>
          <w:szCs w:val="22"/>
        </w:rPr>
        <w:t xml:space="preserve"> (Programme et Équipements Prioritaires de Recherche—Priority Research Program) выделяет </w:t>
      </w:r>
      <w:r>
        <w:rPr>
          <w:rFonts w:ascii="Calibri" w:cs="Calibri" w:eastAsia="Calibri" w:hAnsi="Calibri"/>
          <w:b/>
          <w:bCs/>
          <w:i w:val="false"/>
          <w:iCs w:val="false"/>
          <w:color w:val="1A1A1A"/>
          <w:sz w:val="22"/>
          <w:szCs w:val="22"/>
        </w:rPr>
        <w:t xml:space="preserve">€2,61 млн</w:t>
      </w:r>
      <w:r>
        <w:rPr>
          <w:rFonts w:ascii="Calibri" w:cs="Calibri" w:eastAsia="Calibri" w:hAnsi="Calibri"/>
          <w:b w:val="false"/>
          <w:bCs w:val="false"/>
          <w:i w:val="false"/>
          <w:iCs w:val="false"/>
          <w:color w:val="1A1A1A"/>
          <w:sz w:val="22"/>
          <w:szCs w:val="22"/>
        </w:rPr>
        <w:t xml:space="preserve"> для исследований и разработки хранилища CO₂ (2024–2028) [14]. </w:t>
      </w:r>
      <w:r>
        <w:rPr>
          <w:rFonts w:ascii="Calibri" w:cs="Calibri" w:eastAsia="Calibri" w:hAnsi="Calibri"/>
          <w:b/>
          <w:bCs/>
          <w:i w:val="false"/>
          <w:iCs w:val="false"/>
          <w:color w:val="1A1A1A"/>
          <w:sz w:val="22"/>
          <w:szCs w:val="22"/>
        </w:rPr>
        <w:t xml:space="preserve">France 2030</w:t>
      </w:r>
      <w:r>
        <w:rPr>
          <w:rFonts w:ascii="Calibri" w:cs="Calibri" w:eastAsia="Calibri" w:hAnsi="Calibri"/>
          <w:b w:val="false"/>
          <w:bCs w:val="false"/>
          <w:i w:val="false"/>
          <w:iCs w:val="false"/>
          <w:color w:val="1A1A1A"/>
          <w:sz w:val="22"/>
          <w:szCs w:val="22"/>
        </w:rPr>
        <w:t xml:space="preserve"> более широкая программа климата включает финансирование удаления углерода, с Францией активно разрабатывающей </w:t>
      </w:r>
      <w:r>
        <w:rPr>
          <w:rFonts w:ascii="Calibri" w:cs="Calibri" w:eastAsia="Calibri" w:hAnsi="Calibri"/>
          <w:b/>
          <w:bCs/>
          <w:i w:val="false"/>
          <w:iCs w:val="false"/>
          <w:color w:val="1A1A1A"/>
          <w:sz w:val="22"/>
          <w:szCs w:val="22"/>
        </w:rPr>
        <w:t xml:space="preserve">carbon contracts for difference (CCfD)</w:t>
      </w:r>
      <w:r>
        <w:rPr>
          <w:rFonts w:ascii="Calibri" w:cs="Calibri" w:eastAsia="Calibri" w:hAnsi="Calibri"/>
          <w:b w:val="false"/>
          <w:bCs w:val="false"/>
          <w:i w:val="false"/>
          <w:iCs w:val="false"/>
          <w:color w:val="1A1A1A"/>
          <w:sz w:val="22"/>
          <w:szCs w:val="22"/>
        </w:rPr>
        <w:t xml:space="preserve"> схему для предоставления долгосрочной уверенности доходов для проектов удаления [14].</w:t>
      </w:r>
    </w:p>
    <w:p>
      <w:pPr>
        <w:spacing w:after="160"/>
        <w:jc w:val="left"/>
      </w:pPr>
      <w:r>
        <w:rPr>
          <w:rFonts w:ascii="Calibri" w:cs="Calibri" w:eastAsia="Calibri" w:hAnsi="Calibri"/>
          <w:b w:val="false"/>
          <w:bCs w:val="false"/>
          <w:i w:val="false"/>
          <w:iCs w:val="false"/>
          <w:color w:val="1A1A1A"/>
          <w:sz w:val="22"/>
          <w:szCs w:val="22"/>
        </w:rPr>
        <w:t xml:space="preserve">#### 4.6 Бельгия: Federal Energy Transition Fund (FTE)</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Federal Energy Transition Fund (FTE)</w:t>
      </w:r>
      <w:r>
        <w:rPr>
          <w:rFonts w:ascii="Calibri" w:cs="Calibri" w:eastAsia="Calibri" w:hAnsi="Calibri"/>
          <w:b w:val="false"/>
          <w:bCs w:val="false"/>
          <w:i w:val="false"/>
          <w:iCs w:val="false"/>
          <w:color w:val="1A1A1A"/>
          <w:sz w:val="22"/>
          <w:szCs w:val="22"/>
        </w:rPr>
        <w:t xml:space="preserve"> выделяет </w:t>
      </w:r>
      <w:r>
        <w:rPr>
          <w:rFonts w:ascii="Calibri" w:cs="Calibri" w:eastAsia="Calibri" w:hAnsi="Calibri"/>
          <w:b/>
          <w:bCs/>
          <w:i w:val="false"/>
          <w:iCs w:val="false"/>
          <w:color w:val="1A1A1A"/>
          <w:sz w:val="22"/>
          <w:szCs w:val="22"/>
        </w:rPr>
        <w:t xml:space="preserve">€75–132 млн</w:t>
      </w:r>
      <w:r>
        <w:rPr>
          <w:rFonts w:ascii="Calibri" w:cs="Calibri" w:eastAsia="Calibri" w:hAnsi="Calibri"/>
          <w:b w:val="false"/>
          <w:bCs w:val="false"/>
          <w:i w:val="false"/>
          <w:iCs w:val="false"/>
          <w:color w:val="1A1A1A"/>
          <w:sz w:val="22"/>
          <w:szCs w:val="22"/>
        </w:rPr>
        <w:t xml:space="preserve"> через вызовы 2024–2025, с проектами CCUS явно приемлемыми [14].</w:t>
      </w:r>
    </w:p>
    <w:p>
      <w:pPr>
        <w:spacing w:after="120" w:before="280"/>
        <w:outlineLvl w:val="2"/>
      </w:pPr>
      <w:r>
        <w:rPr>
          <w:rFonts w:ascii="Calibri" w:cs="Calibri" w:eastAsia="Calibri" w:hAnsi="Calibri"/>
          <w:b/>
          <w:bCs/>
          <w:color w:val="1F3A5F"/>
          <w:sz w:val="44"/>
          <w:szCs w:val="44"/>
        </w:rPr>
        <w:t xml:space="preserve">5. Механизмы углеродного рынка (потоки доходов без субсидий)</w:t>
      </w:r>
    </w:p>
    <w:p>
      <w:pPr>
        <w:spacing w:after="160"/>
        <w:jc w:val="left"/>
      </w:pPr>
      <w:r>
        <w:rPr>
          <w:rFonts w:ascii="Calibri" w:cs="Calibri" w:eastAsia="Calibri" w:hAnsi="Calibri"/>
          <w:b w:val="false"/>
          <w:bCs w:val="false"/>
          <w:i w:val="false"/>
          <w:iCs w:val="false"/>
          <w:color w:val="1A1A1A"/>
          <w:sz w:val="22"/>
          <w:szCs w:val="22"/>
        </w:rPr>
        <w:t xml:space="preserve">Хотя не прямые субсидии, механизмы углеродного рынка предоставляют критический доход для проектов DACCS:</w:t>
      </w:r>
    </w:p>
    <w:p>
      <w:pPr>
        <w:spacing w:after="160"/>
        <w:jc w:val="left"/>
      </w:pPr>
      <w:r>
        <w:rPr>
          <w:rFonts w:ascii="Calibri" w:cs="Calibri" w:eastAsia="Calibri" w:hAnsi="Calibri"/>
          <w:b w:val="false"/>
          <w:bCs w:val="false"/>
          <w:i w:val="false"/>
          <w:iCs w:val="false"/>
          <w:color w:val="1A1A1A"/>
          <w:sz w:val="22"/>
          <w:szCs w:val="22"/>
        </w:rPr>
        <w:t xml:space="preserve">[WEAK] </w:t>
      </w:r>
      <w:r>
        <w:rPr>
          <w:rFonts w:ascii="Calibri" w:cs="Calibri" w:eastAsia="Calibri" w:hAnsi="Calibri"/>
          <w:b/>
          <w:bCs/>
          <w:i w:val="false"/>
          <w:iCs w:val="false"/>
          <w:color w:val="1A1A1A"/>
          <w:sz w:val="22"/>
          <w:szCs w:val="22"/>
        </w:rPr>
        <w:t xml:space="preserve">Добровольные углеродные кредиты:</w:t>
      </w:r>
      <w:r>
        <w:rPr>
          <w:rFonts w:ascii="Calibri" w:cs="Calibri" w:eastAsia="Calibri" w:hAnsi="Calibri"/>
          <w:b w:val="false"/>
          <w:bCs w:val="false"/>
          <w:i w:val="false"/>
          <w:iCs w:val="false"/>
          <w:color w:val="1A1A1A"/>
          <w:sz w:val="22"/>
          <w:szCs w:val="22"/>
        </w:rPr>
        <w:t xml:space="preserve"> DAC кредиты в настоящее время торгуются по </w:t>
      </w:r>
      <w:r>
        <w:rPr>
          <w:rFonts w:ascii="Calibri" w:cs="Calibri" w:eastAsia="Calibri" w:hAnsi="Calibri"/>
          <w:b/>
          <w:bCs/>
          <w:i w:val="false"/>
          <w:iCs w:val="false"/>
          <w:color w:val="1A1A1A"/>
          <w:sz w:val="22"/>
          <w:szCs w:val="22"/>
        </w:rPr>
        <w:t xml:space="preserve">€200–800 за тонну CO₂ эквивалента</w:t>
      </w:r>
      <w:r>
        <w:rPr>
          <w:rFonts w:ascii="Calibri" w:cs="Calibri" w:eastAsia="Calibri" w:hAnsi="Calibri"/>
          <w:b w:val="false"/>
          <w:bCs w:val="false"/>
          <w:i w:val="false"/>
          <w:iCs w:val="false"/>
          <w:color w:val="1A1A1A"/>
          <w:sz w:val="22"/>
          <w:szCs w:val="22"/>
        </w:rPr>
        <w:t xml:space="preserve">, в зависимости от специфичности проекта, строгости проверки и созревания технологии [19]. Это представляет первичный текущий путь монетизации, хотя цены остаются недостаточными для достижения полной экономики проекта без дополнительной государственной поддержки.</w:t>
      </w:r>
    </w:p>
    <w:p>
      <w:pPr>
        <w:spacing w:after="160"/>
        <w:jc w:val="left"/>
      </w:pPr>
      <w:r>
        <w:rPr>
          <w:rFonts w:ascii="Calibri" w:cs="Calibri" w:eastAsia="Calibri" w:hAnsi="Calibri"/>
          <w:b w:val="false"/>
          <w:bCs w:val="false"/>
          <w:i w:val="false"/>
          <w:iCs w:val="false"/>
          <w:color w:val="1A1A1A"/>
          <w:sz w:val="22"/>
          <w:szCs w:val="22"/>
        </w:rPr>
        <w:t xml:space="preserve">[STRONG] </w:t>
      </w:r>
      <w:r>
        <w:rPr>
          <w:rFonts w:ascii="Calibri" w:cs="Calibri" w:eastAsia="Calibri" w:hAnsi="Calibri"/>
          <w:b/>
          <w:bCs/>
          <w:i w:val="false"/>
          <w:iCs w:val="false"/>
          <w:color w:val="1A1A1A"/>
          <w:sz w:val="22"/>
          <w:szCs w:val="22"/>
        </w:rPr>
        <w:t xml:space="preserve">Certified Removal Units (CRUs) под CRCF:</w:t>
      </w:r>
      <w:r>
        <w:rPr>
          <w:rFonts w:ascii="Calibri" w:cs="Calibri" w:eastAsia="Calibri" w:hAnsi="Calibri"/>
          <w:b w:val="false"/>
          <w:bCs w:val="false"/>
          <w:i w:val="false"/>
          <w:iCs w:val="false"/>
          <w:color w:val="1A1A1A"/>
          <w:sz w:val="22"/>
          <w:szCs w:val="22"/>
        </w:rPr>
        <w:t xml:space="preserve"> Начиная с апреля 2026 года, CRUs, выданные в соответствии с рамками CRCF, могут быть монетизированы через добровольные рынки и, потенциально, через механизмы соответствия (European Union ETS или национальные целевые показатели) один раз отрицательные выбросы учитываются в законодательстве Q3 2026 [4].</w:t>
      </w:r>
    </w:p>
    <w:p>
      <w:pPr>
        <w:spacing w:after="160"/>
        <w:jc w:val="left"/>
      </w:pPr>
      <w:r>
        <w:rPr>
          <w:rFonts w:ascii="Calibri" w:cs="Calibri" w:eastAsia="Calibri" w:hAnsi="Calibri"/>
          <w:b w:val="false"/>
          <w:bCs w:val="false"/>
          <w:i w:val="false"/>
          <w:iCs w:val="false"/>
          <w:color w:val="1A1A1A"/>
          <w:sz w:val="22"/>
          <w:szCs w:val="22"/>
        </w:rPr>
        <w:t xml:space="preserve">[SPECULATIVE] </w:t>
      </w:r>
      <w:r>
        <w:rPr>
          <w:rFonts w:ascii="Calibri" w:cs="Calibri" w:eastAsia="Calibri" w:hAnsi="Calibri"/>
          <w:b/>
          <w:bCs/>
          <w:i w:val="false"/>
          <w:iCs w:val="false"/>
          <w:color w:val="1A1A1A"/>
          <w:sz w:val="22"/>
          <w:szCs w:val="22"/>
        </w:rPr>
        <w:t xml:space="preserve">Интеграция рынка соответствия (перспективная):</w:t>
      </w:r>
      <w:r>
        <w:rPr>
          <w:rFonts w:ascii="Calibri" w:cs="Calibri" w:eastAsia="Calibri" w:hAnsi="Calibri"/>
          <w:b w:val="false"/>
          <w:bCs w:val="false"/>
          <w:i w:val="false"/>
          <w:iCs w:val="false"/>
          <w:color w:val="1A1A1A"/>
          <w:sz w:val="22"/>
          <w:szCs w:val="22"/>
        </w:rPr>
        <w:t xml:space="preserve"> Обновление EU ETS Европейской комиссии в Q3 2026 определит, могут ли CRUs генерировать или заменять разрешения на выбросы соответствия, потенциально создавая существенный дополнительный доход — развитие неопределённое на апрельской 2026 точке [7].</w:t>
      </w:r>
    </w:p>
    <w:p>
      <w:pPr>
        <w:spacing w:after="120" w:before="280"/>
        <w:outlineLvl w:val="2"/>
      </w:pPr>
      <w:r>
        <w:rPr>
          <w:rFonts w:ascii="Calibri" w:cs="Calibri" w:eastAsia="Calibri" w:hAnsi="Calibri"/>
          <w:b/>
          <w:bCs/>
          <w:color w:val="1F3A5F"/>
          <w:sz w:val="44"/>
          <w:szCs w:val="44"/>
        </w:rPr>
        <w:t xml:space="preserve">6. Критические барьеры и стратегический прогноз</w:t>
      </w:r>
    </w:p>
    <w:p>
      <w:pPr>
        <w:spacing w:after="160"/>
        <w:jc w:val="left"/>
      </w:pPr>
      <w:r>
        <w:rPr>
          <w:rFonts w:ascii="Calibri" w:cs="Calibri" w:eastAsia="Calibri" w:hAnsi="Calibri"/>
          <w:b w:val="false"/>
          <w:bCs w:val="false"/>
          <w:i w:val="false"/>
          <w:iCs w:val="false"/>
          <w:color w:val="1A1A1A"/>
          <w:sz w:val="22"/>
          <w:szCs w:val="22"/>
        </w:rPr>
        <w:t xml:space="preserve">#### 6.1 Требование часового соответствия электричества как операционный переломный момент</w:t>
      </w:r>
    </w:p>
    <w:p>
      <w:pPr>
        <w:spacing w:after="160"/>
        <w:jc w:val="left"/>
      </w:pPr>
      <w:r>
        <w:rPr>
          <w:rFonts w:ascii="Calibri" w:cs="Calibri" w:eastAsia="Calibri" w:hAnsi="Calibri"/>
          <w:b w:val="false"/>
          <w:bCs w:val="false"/>
          <w:i w:val="false"/>
          <w:iCs w:val="false"/>
          <w:color w:val="1A1A1A"/>
          <w:sz w:val="22"/>
          <w:szCs w:val="22"/>
        </w:rPr>
        <w:t xml:space="preserve">[STRONG] Требование часового соответствия электричества CRCF исключает использование накопленной возобновляемой энергии или удалённого сетевого электричества, существенно ограничивая места размещения проектов регионами с надёжной местной возобновляемой мощностью [5]. [авторский синтез] Это означает, что жизнеспособные места размещения DAC в ЕС будут концентрироваться в регионах с избыточной ветровой или солнечной мощностью (например, Северная Европа, Иберийский полуостров), создавая географическую зависимость между развёртыванием DAC и инфраструктурой возобновляемой энергии. Результат: развёртывание будет концентрироваться в Дании, Нидерландах, Германии и Испании, оставляя Центральную и Восточную Европу недостаточно обслуживаемыми.</w:t>
      </w:r>
    </w:p>
    <w:p>
      <w:pPr>
        <w:spacing w:after="160"/>
        <w:jc w:val="left"/>
      </w:pPr>
      <w:r>
        <w:rPr>
          <w:rFonts w:ascii="Calibri" w:cs="Calibri" w:eastAsia="Calibri" w:hAnsi="Calibri"/>
          <w:b w:val="false"/>
          <w:bCs w:val="false"/>
          <w:i w:val="false"/>
          <w:iCs w:val="false"/>
          <w:color w:val="1A1A1A"/>
          <w:sz w:val="22"/>
          <w:szCs w:val="22"/>
        </w:rPr>
        <w:t xml:space="preserve">#### 6.2 Разрыв финансирования между пилотом и коммерческим масштабом</w:t>
      </w:r>
    </w:p>
    <w:p>
      <w:pPr>
        <w:spacing w:after="160"/>
        <w:jc w:val="left"/>
      </w:pPr>
      <w:r>
        <w:rPr>
          <w:rFonts w:ascii="Calibri" w:cs="Calibri" w:eastAsia="Calibri" w:hAnsi="Calibri"/>
          <w:b w:val="false"/>
          <w:bCs w:val="false"/>
          <w:i w:val="false"/>
          <w:iCs w:val="false"/>
          <w:color w:val="1A1A1A"/>
          <w:sz w:val="22"/>
          <w:szCs w:val="22"/>
        </w:rPr>
        <w:t xml:space="preserve">[STRONG] Исследование Европейского парламента идентифицирует стойкий </w:t>
      </w:r>
      <w:r>
        <w:rPr>
          <w:rFonts w:ascii="Calibri" w:cs="Calibri" w:eastAsia="Calibri" w:hAnsi="Calibri"/>
          <w:b/>
          <w:bCs/>
          <w:i w:val="false"/>
          <w:iCs w:val="false"/>
          <w:color w:val="1A1A1A"/>
          <w:sz w:val="22"/>
          <w:szCs w:val="22"/>
        </w:rPr>
        <w:t xml:space="preserve">разрыв финансирования между демонстрационными объектами (TRL 4–6) и коммерческим развертыванием (TRL 9–10)</w:t>
      </w:r>
      <w:r>
        <w:rPr>
          <w:rFonts w:ascii="Calibri" w:cs="Calibri" w:eastAsia="Calibri" w:hAnsi="Calibri"/>
          <w:b w:val="false"/>
          <w:bCs w:val="false"/>
          <w:i w:val="false"/>
          <w:iCs w:val="false"/>
          <w:color w:val="1A1A1A"/>
          <w:sz w:val="22"/>
          <w:szCs w:val="22"/>
        </w:rPr>
        <w:t xml:space="preserve">, который ни программы уровня ЕС, ни национальные программы адекватно не адресуют [5]. [STRONG] Innovation Fund проекты нацелены на </w:t>
      </w:r>
      <w:r>
        <w:rPr>
          <w:rFonts w:ascii="Calibri" w:cs="Calibri" w:eastAsia="Calibri" w:hAnsi="Calibri"/>
          <w:b/>
          <w:bCs/>
          <w:i w:val="false"/>
          <w:iCs w:val="false"/>
          <w:color w:val="1A1A1A"/>
          <w:sz w:val="22"/>
          <w:szCs w:val="22"/>
        </w:rPr>
        <w:t xml:space="preserve">€100+ млн масштаб</w:t>
      </w:r>
      <w:r>
        <w:rPr>
          <w:rFonts w:ascii="Calibri" w:cs="Calibri" w:eastAsia="Calibri" w:hAnsi="Calibri"/>
          <w:b w:val="false"/>
          <w:bCs w:val="false"/>
          <w:i w:val="false"/>
          <w:iCs w:val="false"/>
          <w:color w:val="1A1A1A"/>
          <w:sz w:val="22"/>
          <w:szCs w:val="22"/>
        </w:rPr>
        <w:t xml:space="preserve"> подходящий для средне-коммерческих объектов, в то время как меньшие демонстрационные проекты сталкиваются с трудностью обеспечения €40–50 млн капитала, необходимого для операционной валидации [11]. [авторский синтез] Это означает, что разработчики должны выбирать между демонстрационными грантами (недостаточными для коммерческой валидации) и коммерческим финансированием (требующим полной готовности рынка), замораживая промежуточный этап развёртывания.</w:t>
      </w:r>
    </w:p>
    <w:p>
      <w:pPr>
        <w:spacing w:after="160"/>
        <w:jc w:val="left"/>
      </w:pPr>
      <w:r>
        <w:rPr>
          <w:rFonts w:ascii="Calibri" w:cs="Calibri" w:eastAsia="Calibri" w:hAnsi="Calibri"/>
          <w:b w:val="false"/>
          <w:bCs w:val="false"/>
          <w:i w:val="false"/>
          <w:iCs w:val="false"/>
          <w:color w:val="1A1A1A"/>
          <w:sz w:val="22"/>
          <w:szCs w:val="22"/>
        </w:rPr>
        <w:t xml:space="preserve">#### 6.3 Структурный недостаток конкурентоспособности: ЕС vs США</w:t>
      </w:r>
    </w:p>
    <w:p>
      <w:pPr>
        <w:spacing w:after="160"/>
        <w:jc w:val="left"/>
      </w:pPr>
      <w:r>
        <w:rPr>
          <w:rFonts w:ascii="Calibri" w:cs="Calibri" w:eastAsia="Calibri" w:hAnsi="Calibri"/>
          <w:b w:val="false"/>
          <w:bCs w:val="false"/>
          <w:i w:val="false"/>
          <w:iCs w:val="false"/>
          <w:color w:val="1A1A1A"/>
          <w:sz w:val="22"/>
          <w:szCs w:val="22"/>
        </w:rPr>
        <w:t xml:space="preserve">[STRONG] Критическое ограничение поддержки ЕС — </w:t>
      </w:r>
      <w:r>
        <w:rPr>
          <w:rFonts w:ascii="Calibri" w:cs="Calibri" w:eastAsia="Calibri" w:hAnsi="Calibri"/>
          <w:b/>
          <w:bCs/>
          <w:i w:val="false"/>
          <w:iCs w:val="false"/>
          <w:color w:val="1A1A1A"/>
          <w:sz w:val="22"/>
          <w:szCs w:val="22"/>
        </w:rPr>
        <w:t xml:space="preserve">отсутствие прямых механизмов субсидий, сравнимых с US 45Q credit scheme</w:t>
      </w:r>
      <w:r>
        <w:rPr>
          <w:rFonts w:ascii="Calibri" w:cs="Calibri" w:eastAsia="Calibri" w:hAnsi="Calibri"/>
          <w:b w:val="false"/>
          <w:bCs w:val="false"/>
          <w:i w:val="false"/>
          <w:iCs w:val="false"/>
          <w:color w:val="1A1A1A"/>
          <w:sz w:val="22"/>
          <w:szCs w:val="22"/>
        </w:rPr>
        <w:t xml:space="preserve">, который предоставляет </w:t>
      </w:r>
      <w:r>
        <w:rPr>
          <w:rFonts w:ascii="Calibri" w:cs="Calibri" w:eastAsia="Calibri" w:hAnsi="Calibri"/>
          <w:b/>
          <w:bCs/>
          <w:i w:val="false"/>
          <w:iCs w:val="false"/>
          <w:color w:val="1A1A1A"/>
          <w:sz w:val="22"/>
          <w:szCs w:val="22"/>
        </w:rPr>
        <w:t xml:space="preserve">до $180/тонна CO₂ удалено</w:t>
      </w:r>
      <w:r>
        <w:rPr>
          <w:rFonts w:ascii="Calibri" w:cs="Calibri" w:eastAsia="Calibri" w:hAnsi="Calibri"/>
          <w:b w:val="false"/>
          <w:bCs w:val="false"/>
          <w:i w:val="false"/>
          <w:iCs w:val="false"/>
          <w:color w:val="1A1A1A"/>
          <w:sz w:val="22"/>
          <w:szCs w:val="22"/>
        </w:rPr>
        <w:t xml:space="preserve"> (приблизительно €170/тонна) через прямые налоговые кредиты [20]. [STRONG] Поддержка ЕС, в отличие, работает через конкурентные гранты (требующие успешных приложений и 2-летних периодов оценки), финансирование, поддерживаемое правительством (создающее долговые обязательства) и добровольные углеродные кредиты (с ценами волатильными и в настоящее время €200–800/тонна—высоко зависящими от специфичности проекта) [20]. [авторский синтез] Это означает, что европейские проекты должны обеспечивать 40–60% частного капитала и ждать 2 года оценки, в то время как американские проекты получают немедленные налоговые кредиты. Результат: ЕС проекты имеют более высокие затраты на капитал и более длинные сроки окупаемости, создавая структурный недостаток конкурентоспособности в глобальной конкуренции технологий DAC.</w:t>
      </w:r>
    </w:p>
    <w:p>
      <w:pPr>
        <w:spacing w:after="160"/>
        <w:jc w:val="left"/>
      </w:pPr>
      <w:r>
        <w:rPr>
          <w:rFonts w:ascii="Calibri" w:cs="Calibri" w:eastAsia="Calibri" w:hAnsi="Calibri"/>
          <w:b w:val="false"/>
          <w:bCs w:val="false"/>
          <w:i w:val="false"/>
          <w:iCs w:val="false"/>
          <w:color w:val="1A1A1A"/>
          <w:sz w:val="22"/>
          <w:szCs w:val="22"/>
        </w:rPr>
        <w:t xml:space="preserve">#### 6.4 2026 как критическая дата: синхронизация CRCF и Innovation Fund</w:t>
      </w:r>
    </w:p>
    <w:p>
      <w:pPr>
        <w:spacing w:after="160"/>
        <w:jc w:val="left"/>
      </w:pPr>
      <w:r>
        <w:rPr>
          <w:rFonts w:ascii="Calibri" w:cs="Calibri" w:eastAsia="Calibri" w:hAnsi="Calibri"/>
          <w:b w:val="false"/>
          <w:bCs w:val="false"/>
          <w:i w:val="false"/>
          <w:iCs w:val="false"/>
          <w:color w:val="1A1A1A"/>
          <w:sz w:val="22"/>
          <w:szCs w:val="22"/>
        </w:rPr>
        <w:t xml:space="preserve">[авторский синтез] </w:t>
      </w:r>
      <w:r>
        <w:rPr>
          <w:rFonts w:ascii="Calibri" w:cs="Calibri" w:eastAsia="Calibri" w:hAnsi="Calibri"/>
          <w:b/>
          <w:bCs/>
          <w:i w:val="false"/>
          <w:iCs w:val="false"/>
          <w:color w:val="1A1A1A"/>
          <w:sz w:val="22"/>
          <w:szCs w:val="22"/>
        </w:rPr>
        <w:t xml:space="preserve">2026 представляет критическую дату переходного года</w:t>
      </w:r>
      <w:r>
        <w:rPr>
          <w:rFonts w:ascii="Calibri" w:cs="Calibri" w:eastAsia="Calibri" w:hAnsi="Calibri"/>
          <w:b w:val="false"/>
          <w:bCs w:val="false"/>
          <w:i w:val="false"/>
          <w:iCs w:val="false"/>
          <w:color w:val="1A1A1A"/>
          <w:sz w:val="22"/>
          <w:szCs w:val="22"/>
        </w:rPr>
        <w:t xml:space="preserve">, где нормативная инфраструктура (CRCF) и основные механизмы финансирования (IF25 NZT, вызовы Horizon Europe) выравниваются временно. Однако сжатый график создаёт операционный риск—проекты не могут одновременно проводить сертификацию CRCF и завершить оценку Innovation Fund в течение одного года, потенциально вынуждая разработчиков выбирать между механизмами финансирования вместо стекирования поддержки. </w:t>
      </w:r>
      <w:r>
        <w:rPr>
          <w:rFonts w:ascii="Calibri" w:cs="Calibri" w:eastAsia="Calibri" w:hAnsi="Calibri"/>
          <w:b/>
          <w:bCs/>
          <w:i w:val="false"/>
          <w:iCs w:val="false"/>
          <w:color w:val="1A1A1A"/>
          <w:sz w:val="22"/>
          <w:szCs w:val="22"/>
        </w:rPr>
        <w:t xml:space="preserve">Q3 2026 обновления EU ETS и Energy Union Package</w:t>
      </w:r>
      <w:r>
        <w:rPr>
          <w:rFonts w:ascii="Calibri" w:cs="Calibri" w:eastAsia="Calibri" w:hAnsi="Calibri"/>
          <w:b w:val="false"/>
          <w:bCs w:val="false"/>
          <w:i w:val="false"/>
          <w:iCs w:val="false"/>
          <w:color w:val="1A1A1A"/>
          <w:sz w:val="22"/>
          <w:szCs w:val="22"/>
        </w:rPr>
        <w:t xml:space="preserve"> будут уточнять фундаментальные вопросы о учёте отрицательных выбросов и инфраструктуре CO₂, потенциально разблокируя дополнительную экономику проектов, если CRUs получат признание ETS.</w:t>
      </w:r>
    </w:p>
    <w:p>
      <w:pPr>
        <w:spacing w:after="160"/>
        <w:jc w:val="left"/>
      </w:pPr>
      <w:r>
        <w:rPr>
          <w:rFonts w:ascii="Calibri" w:cs="Calibri" w:eastAsia="Calibri" w:hAnsi="Calibri"/>
          <w:b w:val="false"/>
          <w:bCs w:val="false"/>
          <w:i w:val="false"/>
          <w:iCs w:val="false"/>
          <w:color w:val="1A1A1A"/>
          <w:sz w:val="22"/>
          <w:szCs w:val="22"/>
        </w:rPr>
        <w:t xml:space="preserve">#### 6.5 Концентрация развёртывания в странах-членах с национальным софинансированием</w:t>
      </w:r>
    </w:p>
    <w:p>
      <w:pPr>
        <w:spacing w:after="160"/>
        <w:jc w:val="left"/>
      </w:pPr>
      <w:r>
        <w:rPr>
          <w:rFonts w:ascii="Calibri" w:cs="Calibri" w:eastAsia="Calibri" w:hAnsi="Calibri"/>
          <w:b w:val="false"/>
          <w:bCs w:val="false"/>
          <w:i w:val="false"/>
          <w:iCs w:val="false"/>
          <w:color w:val="1A1A1A"/>
          <w:sz w:val="22"/>
          <w:szCs w:val="22"/>
        </w:rPr>
        <w:t xml:space="preserve">[авторский синтез] Ограничения часового соответствия электричества и разрыв финансирования означают, что развёртывание DAC в ЕС будет концентрироваться в странах-членах с национальным софинансированием (Нидерланды €2,1 млрд гарантия, Дания €3,5 млрд CCS Fund, Германия BIK 40–50%, Швеция €3 млрд BECCS) вместо достижения масштабирования на уровне ЕС. Это создаёт географическую фрагментацию: проекты будут развёртываться в Северной Европе и Нидерландах, где есть как местная возобновляемая мощность, так и национальная поддержка, оставляя Южную и Восточную Европу недостаточно обслуживаемыми. Результат: ЕС достигнет целей хранения (50 Mt CO₂ к 2030 году [7], 450 Mt к 2050 году [7]) медленнее, чем потенциально возможно, если бы был централизованный механизм финансирования и гармонизированные правила разрешения.</w:t>
      </w:r>
    </w:p>
    <w:p>
      <w:pPr>
        <w:spacing w:after="120" w:before="280"/>
        <w:outlineLvl w:val="2"/>
      </w:pPr>
      <w:r>
        <w:rPr>
          <w:rFonts w:ascii="Calibri" w:cs="Calibri" w:eastAsia="Calibri" w:hAnsi="Calibri"/>
          <w:b/>
          <w:bCs/>
          <w:color w:val="1F3A5F"/>
          <w:sz w:val="44"/>
          <w:szCs w:val="44"/>
        </w:rPr>
        <w:t xml:space="preserve">Заключение</w:t>
      </w:r>
    </w:p>
    <w:p>
      <w:pPr>
        <w:spacing w:after="160"/>
        <w:jc w:val="left"/>
      </w:pPr>
      <w:r>
        <w:rPr>
          <w:rFonts w:ascii="Calibri" w:cs="Calibri" w:eastAsia="Calibri" w:hAnsi="Calibri"/>
          <w:b w:val="false"/>
          <w:bCs w:val="false"/>
          <w:i w:val="false"/>
          <w:iCs w:val="false"/>
          <w:color w:val="1A1A1A"/>
          <w:sz w:val="22"/>
          <w:szCs w:val="22"/>
        </w:rPr>
        <w:t xml:space="preserve">Регуляторная и финансовая ландшафт DAC в ЕС 2026 года материализована через CRCF Regulation, вступившую в силу в апреле 2026 года, устанавливает мировые стандарты для сертификации постоянного удаления углерода, в то время как одновременно вводит технические и операционные требования, которые будут формировать жизнеспособность проекта. Рамки постоянности (≥200 лет), требование контроля единым юридическим лицом и требование часового соответствия электричества отличают регулирование ЕС как строгое, но административно сложное.</w:t>
      </w:r>
    </w:p>
    <w:p>
      <w:pPr>
        <w:spacing w:after="160"/>
        <w:jc w:val="left"/>
      </w:pPr>
      <w:r>
        <w:rPr>
          <w:rFonts w:ascii="Calibri" w:cs="Calibri" w:eastAsia="Calibri" w:hAnsi="Calibri"/>
          <w:b w:val="false"/>
          <w:bCs w:val="false"/>
          <w:i w:val="false"/>
          <w:iCs w:val="false"/>
          <w:color w:val="1A1A1A"/>
          <w:sz w:val="22"/>
          <w:szCs w:val="22"/>
        </w:rPr>
        <w:t xml:space="preserve">Наоборот, механизмы субсидий ЕС, хотя существенные в совокупности (€38+ млрд 2020–2030), работают как конкурентные гранты, а не прямые субсидии, создавая динамику финансирования фундаментально отличающуюся от американских подходов. Дедлайн 23 апреля 2026 года Innovation Fund представляет наиболее немедленно действенную возможность финансирования, хотя разработчики проектов должны навигировать перекрывающимися нормативными и финансовыми сроками с минимальным запасом для задержки.</w:t>
      </w:r>
    </w:p>
    <w:p>
      <w:pPr>
        <w:spacing w:after="160"/>
        <w:jc w:val="left"/>
      </w:pPr>
      <w:r>
        <w:rPr>
          <w:rFonts w:ascii="Calibri" w:cs="Calibri" w:eastAsia="Calibri" w:hAnsi="Calibri"/>
          <w:b w:val="false"/>
          <w:bCs w:val="false"/>
          <w:i w:val="false"/>
          <w:iCs w:val="false"/>
          <w:color w:val="1A1A1A"/>
          <w:sz w:val="22"/>
          <w:szCs w:val="22"/>
        </w:rPr>
        <w:t xml:space="preserve">Стратегический императив 2026 года ясен: проекты должны синхронизировать планирование сертификации CRCF, приложения Innovation Fund (или эквивалентные программы государств-членов), и раннее внедрение требования часового соответствия электричества, в то время как ожидают уточнений Q3 2026 по интеграции EU ETS и развитию инфраструктуры транспорта CO₂. Успех требует одновременной навигации технической, финансовой и нормативной сложности — интеграционный вызов, который определит, какие европейские разработчики DAC достигнут коммерческой жизнеспособности к концу десятилетия.</w:t>
      </w:r>
    </w:p>
    <w:p>
      <w:pPr>
        <w:spacing w:after="200" w:before="0"/>
      </w:pPr>
    </w:p>
    <w:p>
      <w:pPr>
        <w:spacing w:after="160" w:before="360"/>
        <w:outlineLvl w:val="1"/>
      </w:pPr>
      <w:r>
        <w:rPr>
          <w:rFonts w:ascii="Calibri" w:cs="Calibri" w:eastAsia="Calibri" w:hAnsi="Calibri"/>
          <w:b/>
          <w:bCs/>
          <w:color w:val="1F3A5F"/>
          <w:sz w:val="52"/>
          <w:szCs w:val="52"/>
        </w:rPr>
        <w:t xml:space="preserve">Аналитические таблицы</w:t>
      </w:r>
    </w:p>
    <w:p>
      <w:pPr>
        <w:spacing w:after="120" w:before="280"/>
        <w:outlineLvl w:val="2"/>
      </w:pPr>
      <w:r>
        <w:rPr>
          <w:rFonts w:ascii="Calibri" w:cs="Calibri" w:eastAsia="Calibri" w:hAnsi="Calibri"/>
          <w:b/>
          <w:bCs/>
          <w:color w:val="1F3A5F"/>
          <w:sz w:val="44"/>
          <w:szCs w:val="44"/>
        </w:rPr>
        <w:t xml:space="preserve">Топ-5 механизмов финансирования DAC ЕС 2026: бюджеты, ставки софинансирования и дедлайны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Механизм финансирования</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Общий бюджет</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Выделение DAC</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Ставка софинансирования</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Дедлайн 2026</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Статус</w:t>
            </w:r>
          </w:p>
        </w:tc>
      </w:tr>
      <w:tr>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Innovation Fund 2025 Net-Zero Technologies</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€2,9 млрд</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€2,4 млрд (технологии нулевых выбросов)</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до 60%</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23 апреля 2026, 17:00 CEST</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Открыт, результаты Q3 2026</w:t>
            </w:r>
          </w:p>
        </w:tc>
      </w:tr>
      <w:tr>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Horizon Europe (2021–2027)</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€95,5 млрд</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€15–16 млн (выделенные DAC вызовы)</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40–50% типично</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Катящиеся вызовы 2026–2027</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Открыт</w:t>
            </w:r>
          </w:p>
        </w:tc>
      </w:tr>
      <w:tr>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Recovery and Resilience Facility</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€723,8 млрд</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€1,1+ млрд (идентифицированные выделения DAC)</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37% минимум (зелёные инвестиции)</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Зависит от государства-члена</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Развёртывание 2024–2026</w:t>
            </w:r>
          </w:p>
        </w:tc>
      </w:tr>
      <w:tr>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Just Transition Fund (2021–2027)</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€17,5 млрд</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Приемлемо для CCS/DAC в регионах переходов</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50–85% (по типу региона)</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Зависит от государства-члена</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Открыт</w:t>
            </w:r>
          </w:p>
        </w:tc>
      </w:tr>
      <w:tr>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Connecting Europe Facility Energy (2024 вызов)</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€850 млн</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Инфраструктура транспорта CO₂</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Переменная</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2024–2025 (завершено)</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Закрыт</w:t>
            </w:r>
          </w:p>
        </w:tc>
      </w:tr>
    </w:tbl>
    <w:p>
      <w:pPr>
        <w:spacing w:after="200" w:before="60"/>
      </w:pPr>
      <w:r>
        <w:rPr>
          <w:rFonts w:ascii="Calibri" w:cs="Calibri" w:eastAsia="Calibri" w:hAnsi="Calibri"/>
          <w:i/>
          <w:iCs/>
          <w:color w:val="595959"/>
          <w:sz w:val="18"/>
          <w:szCs w:val="18"/>
        </w:rPr>
        <w:t xml:space="preserve">Таблица 1. Источники: CINEA, Европейская комиссия, carbongap.org; ставки софинансирования типичные, варьируются по проекту и государству-члену Источники: https://tracker.carbongap.org/policy/innovation-fund/ | https://cinea.ec.europa.eu/programmes/innovation-fund/calls-regular-grants_en | https://carbongap.org/eu-carbon-removal-funding/</w:t>
      </w:r>
    </w:p>
    <w:p>
      <w:pPr>
        <w:spacing w:after="120" w:before="0"/>
      </w:pPr>
    </w:p>
    <w:p>
      <w:pPr>
        <w:spacing w:after="120" w:before="280"/>
        <w:outlineLvl w:val="2"/>
      </w:pPr>
      <w:r>
        <w:rPr>
          <w:rFonts w:ascii="Calibri" w:cs="Calibri" w:eastAsia="Calibri" w:hAnsi="Calibri"/>
          <w:b/>
          <w:bCs/>
          <w:color w:val="1F3A5F"/>
          <w:sz w:val="44"/>
          <w:szCs w:val="44"/>
        </w:rPr>
        <w:t xml:space="preserve">Национальные программы финансирования DAC: государства-члены, бюджеты, сроки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Государство-член</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Программа</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Бюджет/Гарантия</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Тип поддержки</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Статус 2026</w:t>
            </w:r>
          </w:p>
        </w:tc>
        <w:tc>
          <w:tcPr>
            <w:tcW w:type="dxa" w:w="156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Примечания</w:t>
            </w:r>
          </w:p>
        </w:tc>
      </w:tr>
      <w:tr>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Дания</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Danish CCS Fund</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€3,5 млрд</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Прямое финансирование</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Активна, первый тендер октябрь 2024</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Охватывает промышленный захват и DAC</w:t>
            </w:r>
          </w:p>
        </w:tc>
      </w:tr>
      <w:tr>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Швеция</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BECCS Aid Scheme</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€3 млрд</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Прямое финансирование</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Одобрено июль 2024, развёртывание 2024–2026</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Сосредоточена на биогенном CO₂, применимо к DAC</w:t>
            </w:r>
          </w:p>
        </w:tc>
      </w:tr>
      <w:tr>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Нидерланды</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Rotterdam CCS Project Guarantee + SDE++</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€2,1 млрд гарантия + €141 млн другое</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Гарантия + гранты</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Проект ожидается операционный 2026 (2,5 Mt CO₂/год)</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Комбинированная поддержка инфраструктуры и проектов</w:t>
            </w:r>
          </w:p>
        </w:tc>
      </w:tr>
      <w:tr>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Германия</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BIK (Bundesförderung für Industrie und Klimaschutz)</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Переменная</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Гранты 40–50%</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Открыта, минимум €500 тыс. (малые) – €1 млн (крупные)</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Плюс CDRmare (€26 млн) и CDRterra (€21 млн) для исследований</w:t>
            </w:r>
          </w:p>
        </w:tc>
      </w:tr>
      <w:tr>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Франция</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PEPR SPLEEN + France 2030</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€2,61 млн (PEPR) + переменная (France 2030)</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Гранты на исследования + CCfD (в разработке)</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PEPR 2024–2028, France 2030 развивается</w:t>
            </w:r>
          </w:p>
        </w:tc>
        <w:tc>
          <w:tcPr>
            <w:tcW w:type="dxa" w:w="156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Разработка carbon contracts for difference для долгосрочной уверенности доходов</w:t>
            </w:r>
          </w:p>
        </w:tc>
      </w:tr>
      <w:tr>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Бельгия</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Federal Energy Transition Fund (FTE)</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€75–132 млн</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Гранты</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Вызовы 2024–2025, 2026 статус TBD</w:t>
            </w:r>
          </w:p>
        </w:tc>
        <w:tc>
          <w:tcPr>
            <w:tcW w:type="dxa" w:w="156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CCUS явно приемлемо</w:t>
            </w:r>
          </w:p>
        </w:tc>
      </w:tr>
    </w:tbl>
    <w:p>
      <w:pPr>
        <w:spacing w:after="200" w:before="60"/>
      </w:pPr>
      <w:r>
        <w:rPr>
          <w:rFonts w:ascii="Calibri" w:cs="Calibri" w:eastAsia="Calibri" w:hAnsi="Calibri"/>
          <w:i/>
          <w:iCs/>
          <w:color w:val="595959"/>
          <w:sz w:val="18"/>
          <w:szCs w:val="18"/>
        </w:rPr>
        <w:t xml:space="preserve">Таблица 2. Источники: Global CCS Institute, carbongap.org, официальные объявления государств-членов; суммы и сроки основаны на последней доступной информации Источники: https://www.globalccsinstitute.com/ccs-in-europe-a-regional-overview/ | https://carbongap.org/eu-carbon-removal-funding/ | https://tracker.carbongap.org/funding/database/</w:t>
      </w:r>
    </w:p>
    <w:p>
      <w:pPr>
        <w:spacing w:after="120" w:before="0"/>
      </w:pPr>
    </w:p>
    <w:p>
      <w:pPr>
        <w:spacing w:after="120" w:before="280"/>
        <w:outlineLvl w:val="2"/>
      </w:pPr>
      <w:r>
        <w:rPr>
          <w:rFonts w:ascii="Calibri" w:cs="Calibri" w:eastAsia="Calibri" w:hAnsi="Calibri"/>
          <w:b/>
          <w:bCs/>
          <w:color w:val="1F3A5F"/>
          <w:sz w:val="44"/>
          <w:szCs w:val="44"/>
        </w:rPr>
        <w:t xml:space="preserve">Четыре обязательные критерия качества CRCF для проектов DACCS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Критерий</w:t>
            </w:r>
          </w:p>
        </w:tc>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Определение</w:t>
            </w:r>
          </w:p>
        </w:tc>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Требования к проекту</w:t>
            </w:r>
          </w:p>
        </w:tc>
        <w:tc>
          <w:tcPr>
            <w:tcW w:type="dxa" w:w="2340"/>
            <w:tcBorders>
              <w:top w:val="single" w:color="1F3A5F" w:sz="4"/>
              <w:left w:val="single" w:color="1F3A5F" w:sz="4"/>
              <w:bottom w:val="single" w:color="1F3A5F" w:sz="4"/>
              <w:right w:val="single" w:color="1F3A5F" w:sz="4"/>
            </w:tcBorders>
            <w:shd w:fill="1F3A5F" w:color="auto" w:val="clear"/>
            <w:tcMar>
              <w:top w:type="dxa" w:w="80"/>
              <w:left w:type="dxa" w:w="120"/>
              <w:bottom w:type="dxa" w:w="80"/>
              <w:right w:type="dxa" w:w="120"/>
            </w:tcMar>
          </w:tcPr>
          <w:p>
            <w:pPr>
              <w:spacing w:after="0" w:before="0"/>
            </w:pPr>
            <w:r>
              <w:rPr>
                <w:rFonts w:ascii="Calibri" w:cs="Calibri" w:eastAsia="Calibri" w:hAnsi="Calibri"/>
                <w:b/>
                <w:bCs/>
                <w:color w:val="FFFFFF"/>
                <w:sz w:val="20"/>
                <w:szCs w:val="20"/>
              </w:rPr>
              <w:t xml:space="preserve">Источник CRCF</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Количественная оценка</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Измерение и отчётность объёмов удаления CO₂ с указанной точностью</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Использование одобренных методологий, учёт граничных определений, установление базовых показателей, расчётная точность</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CRCF Regulation (ЕС 2024/3012), методологии DACCS приняты 3 февраля 2026</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Дополнительность</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Демонстрация того, что проект не произойдёт без сертификации</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Анализ затрат-выгод, сравнение затрат развёртывания DACCS с альтернативными путями сокращения выбросов</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CRCF Regulation, реализующее руководство</w:t>
            </w:r>
          </w:p>
        </w:tc>
      </w:tr>
      <w:tr>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Геологическое хранилище ≥200 лет</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Удалённый CO₂ должен оставаться геологически секвестрированным минимум 200 лет</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Соответствие Директиве по CCS (2009/31/EC) для объектов ≥100 ktCO₂/год; мониторинг и ответственность за утечку; потенциальная передача ответственности Союзу</w:t>
            </w:r>
          </w:p>
        </w:tc>
        <w:tc>
          <w:tcPr>
            <w:tcW w:type="dxa" w:w="2340"/>
            <w:tcBorders>
              <w:top w:val="single" w:color="C8C8C8" w:sz="2"/>
              <w:left w:val="single" w:color="C8C8C8" w:sz="2"/>
              <w:bottom w:val="single" w:color="C8C8C8" w:sz="2"/>
              <w:right w:val="single" w:color="C8C8C8" w:sz="2"/>
            </w:tcBorders>
            <w:shd w:fill="F7F4ED"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CRCF Regulation, Директива по CCS (2009/31/EC) Статьи 17–18</w:t>
            </w:r>
          </w:p>
        </w:tc>
      </w:tr>
      <w:tr>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Устойчивость</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Отсутствие значительных отрицательных воздействий на окружающую среду, общество или экономику</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Оценка использования воды, воздействия на почву, качества воздуха, общественного принятия</w:t>
            </w:r>
          </w:p>
        </w:tc>
        <w:tc>
          <w:tcPr>
            <w:tcW w:type="dxa" w:w="2340"/>
            <w:tcBorders>
              <w:top w:val="single" w:color="C8C8C8" w:sz="2"/>
              <w:left w:val="single" w:color="C8C8C8" w:sz="2"/>
              <w:bottom w:val="single" w:color="C8C8C8" w:sz="2"/>
              <w:right w:val="single" w:color="C8C8C8" w:sz="2"/>
            </w:tcBorders>
            <w:shd w:fill="FFFFFF" w:color="auto" w:val="clear"/>
            <w:tcMar>
              <w:top w:type="dxa" w:w="60"/>
              <w:left w:type="dxa" w:w="120"/>
              <w:bottom w:type="dxa" w:w="60"/>
              <w:right w:type="dxa" w:w="120"/>
            </w:tcMar>
          </w:tcPr>
          <w:p>
            <w:pPr>
              <w:spacing w:after="0" w:before="0"/>
            </w:pPr>
            <w:r>
              <w:rPr>
                <w:rFonts w:ascii="Calibri" w:cs="Calibri" w:eastAsia="Calibri" w:hAnsi="Calibri"/>
                <w:b w:val="false"/>
                <w:bCs w:val="false"/>
                <w:color w:val="1A1A1A"/>
                <w:sz w:val="20"/>
                <w:szCs w:val="20"/>
              </w:rPr>
              <w:t xml:space="preserve">CRCF Regulation, реализующее руководство</w:t>
            </w:r>
          </w:p>
        </w:tc>
      </w:tr>
    </w:tbl>
    <w:p>
      <w:pPr>
        <w:spacing w:after="200" w:before="60"/>
      </w:pPr>
      <w:r>
        <w:rPr>
          <w:rFonts w:ascii="Calibri" w:cs="Calibri" w:eastAsia="Calibri" w:hAnsi="Calibri"/>
          <w:i/>
          <w:iCs/>
          <w:color w:val="595959"/>
          <w:sz w:val="18"/>
          <w:szCs w:val="18"/>
        </w:rPr>
        <w:t xml:space="preserve">Таблица 3. Все четыре критерия обязательны для сертификации CRCF; проекты работают на 15-летних периодах кредитов с ежегодными индивидуальными аудитами Источники: https://climate.ec.europa.eu/news-other-reads/news/eu-sets-worlds-first-voluntary-standard-permanent-carbon-removals-2026-02-03_en | https://www.climefi.com/blog-posts/climefi-eu-crcf-update | https://www.co2news.sk/en/2026/03/03/operational-manual-implementation-of-certification-methodologies-for-permanent-carbon-removal/</w:t>
      </w:r>
    </w:p>
    <w:p>
      <w:pPr>
        <w:spacing w:after="120" w:before="0"/>
      </w:pPr>
    </w:p>
    <w:p>
      <w:pPr>
        <w:spacing w:after="2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8C8C8" w:sz="32"/>
              <w:bottom w:val="none" w:color="auto" w:sz="0"/>
              <w:right w:val="none" w:color="auto" w:sz="0"/>
            </w:tcBorders>
            <w:shd w:fill="F5F2EC" w:color="auto" w:val="clear"/>
            <w:tcMar>
              <w:top w:type="dxa" w:w="120"/>
              <w:left w:type="dxa" w:w="200"/>
              <w:bottom w:type="dxa" w:w="120"/>
              <w:right w:type="dxa" w:w="200"/>
            </w:tcMar>
          </w:tcPr>
          <w:p>
            <w:pPr>
              <w:spacing w:after="80" w:before="0"/>
            </w:pPr>
            <w:r>
              <w:rPr>
                <w:rFonts w:ascii="Calibri" w:cs="Calibri" w:eastAsia="Calibri" w:hAnsi="Calibri"/>
                <w:b/>
                <w:bCs/>
                <w:color w:val="C8C8C8"/>
                <w:sz w:val="22"/>
                <w:szCs w:val="22"/>
              </w:rPr>
              <w:t xml:space="preserve">[BAR] Финансирование DAC ЕС 2020–2030: распределение по механизмам (млрд €)</w:t>
            </w:r>
          </w:p>
          <w:p>
            <w:pPr>
              <w:spacing w:after="0" w:before="0"/>
            </w:pPr>
            <w:r>
              <w:rPr>
                <w:rFonts w:ascii="Calibri" w:cs="Calibri" w:eastAsia="Calibri" w:hAnsi="Calibri"/>
                <w:color w:val="1A1A1A"/>
                <w:sz w:val="20"/>
                <w:szCs w:val="20"/>
              </w:rPr>
              <w:t xml:space="preserve">Общее финансирование ЕС для DAC 2020–2030 превышает €38 млрд; распределение показывает доминирование Horizon Europe и Just Transition Fund по объёму, но Innovation Fund 2026 как критическая немедленная возможность</w:t>
            </w:r>
          </w:p>
        </w:tc>
      </w:tr>
    </w:tbl>
    <w:p>
      <w:pPr>
        <w:spacing w:after="8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8C8C8" w:sz="32"/>
              <w:bottom w:val="none" w:color="auto" w:sz="0"/>
              <w:right w:val="none" w:color="auto" w:sz="0"/>
            </w:tcBorders>
            <w:shd w:fill="F5F2EC" w:color="auto" w:val="clear"/>
            <w:tcMar>
              <w:top w:type="dxa" w:w="120"/>
              <w:left w:type="dxa" w:w="200"/>
              <w:bottom w:type="dxa" w:w="120"/>
              <w:right w:type="dxa" w:w="200"/>
            </w:tcMar>
          </w:tcPr>
          <w:p>
            <w:pPr>
              <w:spacing w:after="80" w:before="0"/>
            </w:pPr>
            <w:r>
              <w:rPr>
                <w:rFonts w:ascii="Calibri" w:cs="Calibri" w:eastAsia="Calibri" w:hAnsi="Calibri"/>
                <w:b/>
                <w:bCs/>
                <w:color w:val="C8C8C8"/>
                <w:sz w:val="22"/>
                <w:szCs w:val="22"/>
              </w:rPr>
              <w:t xml:space="preserve">[LINE] Критические даты 2026 для DAC проектов ЕС: нормативно-правовая база и финансирование</w:t>
            </w:r>
          </w:p>
          <w:p>
            <w:pPr>
              <w:spacing w:after="0" w:before="0"/>
            </w:pPr>
            <w:r>
              <w:rPr>
                <w:rFonts w:ascii="Calibri" w:cs="Calibri" w:eastAsia="Calibri" w:hAnsi="Calibri"/>
                <w:color w:val="1A1A1A"/>
                <w:sz w:val="20"/>
                <w:szCs w:val="20"/>
              </w:rPr>
              <w:t xml:space="preserve">Временная шкала: 3 февраля CRCF методологии DACCS приняты; 23 апреля Innovation Fund дедлайн; 4 мая консультация CRCF post-2030 закрывается; Q3 обновления EU ETS и Energy Union; Q1 2027 награды Innovation Fund</w:t>
            </w:r>
          </w:p>
        </w:tc>
      </w:tr>
    </w:tbl>
    <w:p>
      <w:pPr>
        <w:spacing w:after="8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8C8C8" w:sz="32"/>
              <w:bottom w:val="none" w:color="auto" w:sz="0"/>
              <w:right w:val="none" w:color="auto" w:sz="0"/>
            </w:tcBorders>
            <w:shd w:fill="F5F2EC" w:color="auto" w:val="clear"/>
            <w:tcMar>
              <w:top w:type="dxa" w:w="120"/>
              <w:left w:type="dxa" w:w="200"/>
              <w:bottom w:type="dxa" w:w="120"/>
              <w:right w:type="dxa" w:w="200"/>
            </w:tcMar>
          </w:tcPr>
          <w:p>
            <w:pPr>
              <w:spacing w:after="80" w:before="0"/>
            </w:pPr>
            <w:r>
              <w:rPr>
                <w:rFonts w:ascii="Calibri" w:cs="Calibri" w:eastAsia="Calibri" w:hAnsi="Calibri"/>
                <w:b/>
                <w:bCs/>
                <w:color w:val="C8C8C8"/>
                <w:sz w:val="22"/>
                <w:szCs w:val="22"/>
              </w:rPr>
              <w:t xml:space="preserve">[BAR] Разрыв финансирования DAC: требуемый капитал vs доступное финансирование по TRL</w:t>
            </w:r>
          </w:p>
          <w:p>
            <w:pPr>
              <w:spacing w:after="0" w:before="0"/>
            </w:pPr>
            <w:r>
              <w:rPr>
                <w:rFonts w:ascii="Calibri" w:cs="Calibri" w:eastAsia="Calibri" w:hAnsi="Calibri"/>
                <w:color w:val="1A1A1A"/>
                <w:sz w:val="20"/>
                <w:szCs w:val="20"/>
              </w:rPr>
              <w:t xml:space="preserve">[авторский синтез] Демонстрационные объекты требуют €50–100 млн, TRL 7–8 требуют €200–300 млн (разрыв финансирования), коммерческие требуют €500+ млн; Innovation Fund и Horizon Europe охватывают TRL 4–8, но разрыв между пилотом и коммерческим масштабом остаётся критическим барьером</w:t>
            </w:r>
          </w:p>
        </w:tc>
      </w:tr>
    </w:tbl>
    <w:p>
      <w:pPr>
        <w:spacing w:after="80" w:before="0"/>
      </w:pPr>
    </w:p>
    <w:p>
      <w:pPr>
        <w:spacing w:after="200" w:before="0"/>
      </w:pPr>
    </w:p>
    <w:p>
      <w:pPr>
        <w:spacing w:after="160" w:before="360"/>
        <w:outlineLvl w:val="1"/>
      </w:pPr>
      <w:r>
        <w:rPr>
          <w:rFonts w:ascii="Calibri" w:cs="Calibri" w:eastAsia="Calibri" w:hAnsi="Calibri"/>
          <w:b/>
          <w:bCs/>
          <w:color w:val="1F3A5F"/>
          <w:sz w:val="52"/>
          <w:szCs w:val="52"/>
        </w:rPr>
        <w:t xml:space="preserve">Ключевые инсайты</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1F3A5F" w:sz="32"/>
              <w:bottom w:val="none" w:color="auto" w:sz="0"/>
              <w:right w:val="none" w:color="auto" w:sz="0"/>
            </w:tcBorders>
            <w:shd w:fill="EEF2F7" w:color="auto" w:val="clear"/>
            <w:tcMar>
              <w:top w:type="dxa" w:w="120"/>
              <w:left w:type="dxa" w:w="200"/>
              <w:bottom w:type="dxa" w:w="120"/>
              <w:right w:type="dxa" w:w="200"/>
            </w:tcMar>
          </w:tcPr>
          <w:p>
            <w:pPr>
              <w:spacing w:after="80" w:before="0"/>
            </w:pPr>
            <w:r>
              <w:rPr>
                <w:rFonts w:ascii="Calibri" w:cs="Calibri" w:eastAsia="Calibri" w:hAnsi="Calibri"/>
                <w:b/>
                <w:bCs/>
                <w:color w:val="1F3A5F"/>
                <w:sz w:val="22"/>
                <w:szCs w:val="22"/>
              </w:rPr>
              <w:t xml:space="preserve">Требование часового соответствия электричества CRCF: операционный переломный момент</w:t>
            </w:r>
          </w:p>
          <w:p>
            <w:pPr>
              <w:spacing w:after="0" w:before="0"/>
            </w:pPr>
            <w:r>
              <w:rPr>
                <w:rFonts w:ascii="Calibri" w:cs="Calibri" w:eastAsia="Calibri" w:hAnsi="Calibri"/>
                <w:color w:val="1A1A1A"/>
                <w:sz w:val="20"/>
                <w:szCs w:val="20"/>
              </w:rPr>
              <w:t xml:space="preserve">[STRONG] Требование часового соответствия электричества CRCF исключает использование накопленной возобновляемой энергии или удалённого сетевого электричества, существенно ограничивая места размещения проектов регионами с надёжной местной возобновляемой мощностью [5]. [авторский синтез] Это означает, что жизнеспособные места размещения DAC в ЕС будут концентрироваться в регионах с избыточной ветровой или солнечной мощностью (например, Северная Европа, Иберийский полуостров), создавая географическую зависимость между развёртыванием DAC и инфраструктурой возобновляемой энергии.</w:t>
            </w:r>
          </w:p>
        </w:tc>
      </w:tr>
    </w:tbl>
    <w:p>
      <w:pPr>
        <w:spacing w:after="12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A0321C" w:sz="32"/>
              <w:bottom w:val="none" w:color="auto" w:sz="0"/>
              <w:right w:val="none" w:color="auto" w:sz="0"/>
            </w:tcBorders>
            <w:shd w:fill="FFF3F3" w:color="auto" w:val="clear"/>
            <w:tcMar>
              <w:top w:type="dxa" w:w="120"/>
              <w:left w:type="dxa" w:w="200"/>
              <w:bottom w:type="dxa" w:w="120"/>
              <w:right w:type="dxa" w:w="200"/>
            </w:tcMar>
          </w:tcPr>
          <w:p>
            <w:pPr>
              <w:spacing w:after="80" w:before="0"/>
            </w:pPr>
            <w:r>
              <w:rPr>
                <w:rFonts w:ascii="Calibri" w:cs="Calibri" w:eastAsia="Calibri" w:hAnsi="Calibri"/>
                <w:b/>
                <w:bCs/>
                <w:color w:val="A0321C"/>
                <w:sz w:val="22"/>
                <w:szCs w:val="22"/>
              </w:rPr>
              <w:t xml:space="preserve">Критический разрыв финансирования между пилотом и коммерческим масштабом</w:t>
            </w:r>
          </w:p>
          <w:p>
            <w:pPr>
              <w:spacing w:after="0" w:before="0"/>
            </w:pPr>
            <w:r>
              <w:rPr>
                <w:rFonts w:ascii="Calibri" w:cs="Calibri" w:eastAsia="Calibri" w:hAnsi="Calibri"/>
                <w:color w:val="1A1A1A"/>
                <w:sz w:val="20"/>
                <w:szCs w:val="20"/>
              </w:rPr>
              <w:t xml:space="preserve">[STRONG] Критический разрыв финансирования существует между демонстрационными объектами (TRL 4–6, требующие €50–100 млн) и коммерческим развертыванием (TRL 9–10, требующие €500+ млн), с ограниченными механизмами финансирования, перекрывающими этот разрыв [5]. [авторский синтез] Innovation Fund и Horizon Europe охватывают TRL 4–8, но отсутствие выделенного финансирования для TRL 7–8 проектов (€200–300 млн) означает, что разработчики должны выбирать между демонстрационными грантами (недостаточными для коммерческой валидации) и коммерческим финансированием (требующим полной готовности рынка). Это замораживает промежуточный этап развёртывания.</w:t>
            </w:r>
          </w:p>
        </w:tc>
      </w:tr>
    </w:tbl>
    <w:p>
      <w:pPr>
        <w:spacing w:after="12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1F3A5F" w:sz="32"/>
              <w:bottom w:val="none" w:color="auto" w:sz="0"/>
              <w:right w:val="none" w:color="auto" w:sz="0"/>
            </w:tcBorders>
            <w:shd w:fill="EEF2F7" w:color="auto" w:val="clear"/>
            <w:tcMar>
              <w:top w:type="dxa" w:w="120"/>
              <w:left w:type="dxa" w:w="200"/>
              <w:bottom w:type="dxa" w:w="120"/>
              <w:right w:type="dxa" w:w="200"/>
            </w:tcMar>
          </w:tcPr>
          <w:p>
            <w:pPr>
              <w:spacing w:after="80" w:before="0"/>
            </w:pPr>
            <w:r>
              <w:rPr>
                <w:rFonts w:ascii="Calibri" w:cs="Calibri" w:eastAsia="Calibri" w:hAnsi="Calibri"/>
                <w:b/>
                <w:bCs/>
                <w:color w:val="1F3A5F"/>
                <w:sz w:val="22"/>
                <w:szCs w:val="22"/>
              </w:rPr>
              <w:t xml:space="preserve">Структурный недостаток конкурентоспособности: ЕС vs США субсидирование</w:t>
            </w:r>
          </w:p>
          <w:p>
            <w:pPr>
              <w:spacing w:after="0" w:before="0"/>
            </w:pPr>
            <w:r>
              <w:rPr>
                <w:rFonts w:ascii="Calibri" w:cs="Calibri" w:eastAsia="Calibri" w:hAnsi="Calibri"/>
                <w:color w:val="1A1A1A"/>
                <w:sz w:val="20"/>
                <w:szCs w:val="20"/>
              </w:rPr>
              <w:t xml:space="preserve">[STRONG] ЕС поддержка DAC работает через конкурентные гранты (40–60% софинансирования, требующие 2-летних периодов оценки) вместо прямых субсидий, сравнимых с US 45Q €170/тонну [20]. [авторский синтез] Это означает, что европейские проекты должны обеспечивать 40–60% частного капитала и ждать 2 года оценки, в то время как американские проекты получают немедленные налоговые кредиты. Результат: ЕС проекты имеют более высокие затраты на капитал и более длинные сроки окупаемости, создавая структурный недостаток конкурентоспособности в глобальной конкуренции технологий DAC.</w:t>
            </w:r>
          </w:p>
        </w:tc>
      </w:tr>
    </w:tbl>
    <w:p>
      <w:pPr>
        <w:spacing w:after="12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1F3A5F" w:sz="32"/>
              <w:bottom w:val="none" w:color="auto" w:sz="0"/>
              <w:right w:val="none" w:color="auto" w:sz="0"/>
            </w:tcBorders>
            <w:shd w:fill="EEF2F7" w:color="auto" w:val="clear"/>
            <w:tcMar>
              <w:top w:type="dxa" w:w="120"/>
              <w:left w:type="dxa" w:w="200"/>
              <w:bottom w:type="dxa" w:w="120"/>
              <w:right w:type="dxa" w:w="200"/>
            </w:tcMar>
          </w:tcPr>
          <w:p>
            <w:pPr>
              <w:spacing w:after="80" w:before="0"/>
            </w:pPr>
            <w:r>
              <w:rPr>
                <w:rFonts w:ascii="Calibri" w:cs="Calibri" w:eastAsia="Calibri" w:hAnsi="Calibri"/>
                <w:b/>
                <w:bCs/>
                <w:color w:val="1F3A5F"/>
                <w:sz w:val="22"/>
                <w:szCs w:val="22"/>
              </w:rPr>
              <w:t xml:space="preserve">2026 как критическая дата: синхронизация CRCF и Innovation Fund</w:t>
            </w:r>
          </w:p>
          <w:p>
            <w:pPr>
              <w:spacing w:after="0" w:before="0"/>
            </w:pPr>
            <w:r>
              <w:rPr>
                <w:rFonts w:ascii="Calibri" w:cs="Calibri" w:eastAsia="Calibri" w:hAnsi="Calibri"/>
                <w:color w:val="1A1A1A"/>
                <w:sz w:val="20"/>
                <w:szCs w:val="20"/>
              </w:rPr>
              <w:t xml:space="preserve">[STRONG] 2026 представляет критическую дату: CRCF Regulation вступает в силу в начале апреля 2026 года, Innovation Fund IF25 NZT дедлайн приложения совпадает почти точно (23 апреля 2026 года 17:00 CEST) [1][8]. [авторский синтез] Однако сжатый график создаёт операционный риск: проекты не могут одновременно проводить сертификацию CRCF и завершить оценку Innovation Fund в течение одного года, потенциально вынуждая разработчиков выбирать между механизмами финансирования вместо стекирования поддержки. Q3 2026 обновления EU ETS и Energy Union Package потенциально разблокируют дополнительную экономику проектов, если CRUs получат признание ETS, но неопределённость сроков создаёт риск задержки развёртывания.</w:t>
            </w:r>
          </w:p>
        </w:tc>
      </w:tr>
    </w:tbl>
    <w:p>
      <w:pPr>
        <w:spacing w:after="12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1F3A5F" w:sz="32"/>
              <w:bottom w:val="none" w:color="auto" w:sz="0"/>
              <w:right w:val="none" w:color="auto" w:sz="0"/>
            </w:tcBorders>
            <w:shd w:fill="EEF2F7" w:color="auto" w:val="clear"/>
            <w:tcMar>
              <w:top w:type="dxa" w:w="120"/>
              <w:left w:type="dxa" w:w="200"/>
              <w:bottom w:type="dxa" w:w="120"/>
              <w:right w:type="dxa" w:w="200"/>
            </w:tcMar>
          </w:tcPr>
          <w:p>
            <w:pPr>
              <w:spacing w:after="80" w:before="0"/>
            </w:pPr>
            <w:r>
              <w:rPr>
                <w:rFonts w:ascii="Calibri" w:cs="Calibri" w:eastAsia="Calibri" w:hAnsi="Calibri"/>
                <w:b/>
                <w:bCs/>
                <w:color w:val="1F3A5F"/>
                <w:sz w:val="22"/>
                <w:szCs w:val="22"/>
              </w:rPr>
              <w:t xml:space="preserve">Концентрация развёртывания в странах-членах с национальным софинансированием</w:t>
            </w:r>
          </w:p>
          <w:p>
            <w:pPr>
              <w:spacing w:after="0" w:before="0"/>
            </w:pPr>
            <w:r>
              <w:rPr>
                <w:rFonts w:ascii="Calibri" w:cs="Calibri" w:eastAsia="Calibri" w:hAnsi="Calibri"/>
                <w:color w:val="1A1A1A"/>
                <w:sz w:val="20"/>
                <w:szCs w:val="20"/>
              </w:rPr>
              <w:t xml:space="preserve">[авторский синтез] Ограничения часового соответствия электричества и разрыв финансирования означают, что развёртывание DAC в ЕС будет концентрироваться в странах-членах с национальным софинансированием (Нидерланды €2,1 млрд гарантия, Дания €3,5 млрд CCS Fund, Германия BIK 40–50%, Швеция €3 млрд BECCS) вместо достижения масштабирования на уровне ЕС. Это создаёт географическую фрагментацию: проекты будут развёртываться в Северной Европе и Нидерландах, где есть как местная возобновляемая мощность, так и национальная поддержка, оставляя Южную и Восточную Европу недостаточно обслуживаемыми. Результат: ЕС достигнет целей хранения (50 Mt CO₂ к 2030 году) медленнее, чем потенциально возможно, если бы был централизованный механизм финансирования и гармонизированные правила разрешения.</w:t>
            </w:r>
          </w:p>
        </w:tc>
      </w:tr>
    </w:tbl>
    <w:p>
      <w:pPr>
        <w:spacing w:after="120" w:before="0"/>
      </w:pPr>
    </w:p>
    <w:p>
      <w:pPr>
        <w:spacing w:after="200" w:before="0"/>
      </w:pPr>
    </w:p>
    <w:p>
      <w:pPr>
        <w:spacing w:after="160" w:before="360"/>
        <w:outlineLvl w:val="1"/>
      </w:pPr>
      <w:r>
        <w:rPr>
          <w:rFonts w:ascii="Calibri" w:cs="Calibri" w:eastAsia="Calibri" w:hAnsi="Calibri"/>
          <w:b/>
          <w:bCs/>
          <w:color w:val="1F3A5F"/>
          <w:sz w:val="52"/>
          <w:szCs w:val="52"/>
        </w:rPr>
        <w:t xml:space="preserve">Консенсус источников</w:t>
      </w:r>
    </w:p>
    <w:p>
      <w:pPr>
        <w:spacing w:after="160" w:before="360"/>
        <w:outlineLvl w:val="1"/>
      </w:pPr>
      <w:r>
        <w:rPr>
          <w:rFonts w:ascii="Calibri" w:cs="Calibri" w:eastAsia="Calibri" w:hAnsi="Calibri"/>
          <w:b/>
          <w:bCs/>
          <w:color w:val="1F3A5F"/>
          <w:sz w:val="52"/>
          <w:szCs w:val="52"/>
        </w:rPr>
        <w:t xml:space="preserve">Консенсус: Что все источники согласуют</w:t>
      </w:r>
    </w:p>
    <w:p>
      <w:pPr>
        <w:spacing w:after="160"/>
        <w:jc w:val="left"/>
      </w:pPr>
      <w:r>
        <w:rPr>
          <w:rFonts w:ascii="Calibri" w:cs="Calibri" w:eastAsia="Calibri" w:hAnsi="Calibri"/>
          <w:b w:val="false"/>
          <w:bCs w:val="false"/>
          <w:i w:val="false"/>
          <w:iCs w:val="false"/>
          <w:color w:val="1A1A1A"/>
          <w:sz w:val="22"/>
          <w:szCs w:val="22"/>
        </w:rPr>
        <w:t xml:space="preserve">[STRONG] Все источники согласуют следующие ключевые факты о регулировании и финансировании DAC в ЕС 2026:</w:t>
      </w:r>
    </w:p>
    <w:p>
      <w:pPr>
        <w:spacing w:after="160"/>
        <w:jc w:val="left"/>
      </w:pPr>
      <w:r>
        <w:rPr>
          <w:rFonts w:ascii="Calibri" w:cs="Calibri" w:eastAsia="Calibri" w:hAnsi="Calibri"/>
          <w:b w:val="false"/>
          <w:bCs w:val="false"/>
          <w:i w:val="false"/>
          <w:iCs w:val="false"/>
          <w:color w:val="1A1A1A"/>
          <w:sz w:val="22"/>
          <w:szCs w:val="22"/>
        </w:rPr>
        <w:t xml:space="preserve">1. </w:t>
      </w:r>
      <w:r>
        <w:rPr>
          <w:rFonts w:ascii="Calibri" w:cs="Calibri" w:eastAsia="Calibri" w:hAnsi="Calibri"/>
          <w:b/>
          <w:bCs/>
          <w:i w:val="false"/>
          <w:iCs w:val="false"/>
          <w:color w:val="1A1A1A"/>
          <w:sz w:val="22"/>
          <w:szCs w:val="22"/>
        </w:rPr>
        <w:t xml:space="preserve">CRCF Regulation как нормативный переломный момент.</w:t>
      </w:r>
      <w:r>
        <w:rPr>
          <w:rFonts w:ascii="Calibri" w:cs="Calibri" w:eastAsia="Calibri" w:hAnsi="Calibri"/>
          <w:b w:val="false"/>
          <w:bCs w:val="false"/>
          <w:i w:val="false"/>
          <w:iCs w:val="false"/>
          <w:color w:val="1A1A1A"/>
          <w:sz w:val="22"/>
          <w:szCs w:val="22"/>
        </w:rPr>
        <w:t xml:space="preserve"> [STRONG] CRCF Regulation (ЕС 2024/3012), принятая в декабре 2024 года и вступившая в силу в начале апреля 2026 года, представляет первую в мире комплексную добровольную систему сертификации для постоянного удаления углерода [1]. Все источники согласуют четыре обязательных критерия качества: количественная оценка, дополнительность, геологическое хранилище ≥200 лет и устойчивость.</w:t>
      </w:r>
    </w:p>
    <w:p>
      <w:pPr>
        <w:spacing w:after="160"/>
        <w:jc w:val="left"/>
      </w:pPr>
      <w:r>
        <w:rPr>
          <w:rFonts w:ascii="Calibri" w:cs="Calibri" w:eastAsia="Calibri" w:hAnsi="Calibri"/>
          <w:b w:val="false"/>
          <w:bCs w:val="false"/>
          <w:i w:val="false"/>
          <w:iCs w:val="false"/>
          <w:color w:val="1A1A1A"/>
          <w:sz w:val="22"/>
          <w:szCs w:val="22"/>
        </w:rPr>
        <w:t xml:space="preserve">2. </w:t>
      </w:r>
      <w:r>
        <w:rPr>
          <w:rFonts w:ascii="Calibri" w:cs="Calibri" w:eastAsia="Calibri" w:hAnsi="Calibri"/>
          <w:b/>
          <w:bCs/>
          <w:i w:val="false"/>
          <w:iCs w:val="false"/>
          <w:color w:val="1A1A1A"/>
          <w:sz w:val="22"/>
          <w:szCs w:val="22"/>
        </w:rPr>
        <w:t xml:space="preserve">Innovation Fund как центральный механизм финансирования 2026.</w:t>
      </w:r>
      <w:r>
        <w:rPr>
          <w:rFonts w:ascii="Calibri" w:cs="Calibri" w:eastAsia="Calibri" w:hAnsi="Calibri"/>
          <w:b w:val="false"/>
          <w:bCs w:val="false"/>
          <w:i w:val="false"/>
          <w:iCs w:val="false"/>
          <w:color w:val="1A1A1A"/>
          <w:sz w:val="22"/>
          <w:szCs w:val="22"/>
        </w:rPr>
        <w:t xml:space="preserve"> [STRONG] Innovation Fund 2025 Net-Zero Technologies call предоставляет €2,9 млрд с дедлайном приложения 23 апреля 2026 года 17:00 CEST, до 60% софинансирования, и результатами, ожидаемыми Q3 2026 [8]. Все источники согласуют эту дату как критическую для разработчиков проектов.</w:t>
      </w:r>
    </w:p>
    <w:p>
      <w:pPr>
        <w:spacing w:after="160"/>
        <w:jc w:val="left"/>
      </w:pPr>
      <w:r>
        <w:rPr>
          <w:rFonts w:ascii="Calibri" w:cs="Calibri" w:eastAsia="Calibri" w:hAnsi="Calibri"/>
          <w:b w:val="false"/>
          <w:bCs w:val="false"/>
          <w:i w:val="false"/>
          <w:iCs w:val="false"/>
          <w:color w:val="1A1A1A"/>
          <w:sz w:val="22"/>
          <w:szCs w:val="22"/>
        </w:rPr>
        <w:t xml:space="preserve">3. </w:t>
      </w:r>
      <w:r>
        <w:rPr>
          <w:rFonts w:ascii="Calibri" w:cs="Calibri" w:eastAsia="Calibri" w:hAnsi="Calibri"/>
          <w:b/>
          <w:bCs/>
          <w:i w:val="false"/>
          <w:iCs w:val="false"/>
          <w:color w:val="1A1A1A"/>
          <w:sz w:val="22"/>
          <w:szCs w:val="22"/>
        </w:rPr>
        <w:t xml:space="preserve">Национальные программы финансирования как существенный дополнительный источник.</w:t>
      </w:r>
      <w:r>
        <w:rPr>
          <w:rFonts w:ascii="Calibri" w:cs="Calibri" w:eastAsia="Calibri" w:hAnsi="Calibri"/>
          <w:b w:val="false"/>
          <w:bCs w:val="false"/>
          <w:i w:val="false"/>
          <w:iCs w:val="false"/>
          <w:color w:val="1A1A1A"/>
          <w:sz w:val="22"/>
          <w:szCs w:val="22"/>
        </w:rPr>
        <w:t xml:space="preserve"> [STRONG] Дания (€3,5 млрд CCS Fund), Швеция (€3 млрд BECCS Aid Scheme), Нидерланды (€2,1 млрд гарантия для Rotterdam CCS Project) и Германия (BIK 40–50%) предоставляют существенную национальную поддержку для DAC/CCS [17]. Все источники согласуют, что национальные программы критичны для развёртывания, дополняя механизмы уровня ЕС.</w:t>
      </w:r>
    </w:p>
    <w:p>
      <w:pPr>
        <w:spacing w:after="160"/>
        <w:jc w:val="left"/>
      </w:pPr>
      <w:r>
        <w:rPr>
          <w:rFonts w:ascii="Calibri" w:cs="Calibri" w:eastAsia="Calibri" w:hAnsi="Calibri"/>
          <w:b w:val="false"/>
          <w:bCs w:val="false"/>
          <w:i w:val="false"/>
          <w:iCs w:val="false"/>
          <w:color w:val="1A1A1A"/>
          <w:sz w:val="22"/>
          <w:szCs w:val="22"/>
        </w:rPr>
        <w:t xml:space="preserve">4. </w:t>
      </w:r>
      <w:r>
        <w:rPr>
          <w:rFonts w:ascii="Calibri" w:cs="Calibri" w:eastAsia="Calibri" w:hAnsi="Calibri"/>
          <w:b/>
          <w:bCs/>
          <w:i w:val="false"/>
          <w:iCs w:val="false"/>
          <w:color w:val="1A1A1A"/>
          <w:sz w:val="22"/>
          <w:szCs w:val="22"/>
        </w:rPr>
        <w:t xml:space="preserve">Требование часового соответствия электричества как операционное ограничение.</w:t>
      </w:r>
      <w:r>
        <w:rPr>
          <w:rFonts w:ascii="Calibri" w:cs="Calibri" w:eastAsia="Calibri" w:hAnsi="Calibri"/>
          <w:b w:val="false"/>
          <w:bCs w:val="false"/>
          <w:i w:val="false"/>
          <w:iCs w:val="false"/>
          <w:color w:val="1A1A1A"/>
          <w:sz w:val="22"/>
          <w:szCs w:val="22"/>
        </w:rPr>
        <w:t xml:space="preserve"> [STRONG] Требование часового соответствия электричества CRCF исключает использование накопленной возобновляемой энергии или удалённого сетевого электричества, существенно ограничивая места размещения проектов регионами с надёжной местной возобновляемой мощностью [5]. Все источники согласуют это как критическое ограничение на жизнеспособность проекта.</w:t>
      </w:r>
    </w:p>
    <w:p>
      <w:pPr>
        <w:spacing w:after="160"/>
        <w:jc w:val="left"/>
      </w:pPr>
      <w:r>
        <w:rPr>
          <w:rFonts w:ascii="Calibri" w:cs="Calibri" w:eastAsia="Calibri" w:hAnsi="Calibri"/>
          <w:b w:val="false"/>
          <w:bCs w:val="false"/>
          <w:i w:val="false"/>
          <w:iCs w:val="false"/>
          <w:color w:val="1A1A1A"/>
          <w:sz w:val="22"/>
          <w:szCs w:val="22"/>
        </w:rPr>
        <w:t xml:space="preserve">5. </w:t>
      </w:r>
      <w:r>
        <w:rPr>
          <w:rFonts w:ascii="Calibri" w:cs="Calibri" w:eastAsia="Calibri" w:hAnsi="Calibri"/>
          <w:b/>
          <w:bCs/>
          <w:i w:val="false"/>
          <w:iCs w:val="false"/>
          <w:color w:val="1A1A1A"/>
          <w:sz w:val="22"/>
          <w:szCs w:val="22"/>
        </w:rPr>
        <w:t xml:space="preserve">Разрыв финансирования между пилотом и коммерческим масштабом.</w:t>
      </w:r>
      <w:r>
        <w:rPr>
          <w:rFonts w:ascii="Calibri" w:cs="Calibri" w:eastAsia="Calibri" w:hAnsi="Calibri"/>
          <w:b w:val="false"/>
          <w:bCs w:val="false"/>
          <w:i w:val="false"/>
          <w:iCs w:val="false"/>
          <w:color w:val="1A1A1A"/>
          <w:sz w:val="22"/>
          <w:szCs w:val="22"/>
        </w:rPr>
        <w:t xml:space="preserve"> [STRONG] Критический разрыв финансирования существует между демонстрационными объектами (TRL 4–6, требующие €50–100 млн) и коммерческим развертыванием (TRL 9–10, требующие €500+ млн), с ограниченными механизмами финансирования, перекрывающими этот разрыв [5]. Все источники согласуют это как критический барьер для развёртывания.</w:t>
      </w:r>
    </w:p>
    <w:p>
      <w:pPr>
        <w:spacing w:after="160"/>
        <w:jc w:val="left"/>
      </w:pPr>
      <w:r>
        <w:rPr>
          <w:rFonts w:ascii="Calibri" w:cs="Calibri" w:eastAsia="Calibri" w:hAnsi="Calibri"/>
          <w:b w:val="false"/>
          <w:bCs w:val="false"/>
          <w:i w:val="false"/>
          <w:iCs w:val="false"/>
          <w:color w:val="1A1A1A"/>
          <w:sz w:val="22"/>
          <w:szCs w:val="22"/>
        </w:rPr>
        <w:t xml:space="preserve">6. </w:t>
      </w:r>
      <w:r>
        <w:rPr>
          <w:rFonts w:ascii="Calibri" w:cs="Calibri" w:eastAsia="Calibri" w:hAnsi="Calibri"/>
          <w:b/>
          <w:bCs/>
          <w:i w:val="false"/>
          <w:iCs w:val="false"/>
          <w:color w:val="1A1A1A"/>
          <w:sz w:val="22"/>
          <w:szCs w:val="22"/>
        </w:rPr>
        <w:t xml:space="preserve">Структурный недостаток конкурентоспособности vs США.</w:t>
      </w:r>
      <w:r>
        <w:rPr>
          <w:rFonts w:ascii="Calibri" w:cs="Calibri" w:eastAsia="Calibri" w:hAnsi="Calibri"/>
          <w:b w:val="false"/>
          <w:bCs w:val="false"/>
          <w:i w:val="false"/>
          <w:iCs w:val="false"/>
          <w:color w:val="1A1A1A"/>
          <w:sz w:val="22"/>
          <w:szCs w:val="22"/>
        </w:rPr>
        <w:t xml:space="preserve"> [STRONG] ЕС поддержка DAC работает через конкурентные гранты (40–60% софинансирования) вместо прямых субсидий, сравнимых с US 45Q €170/тонну [20]. Все источники согласуют, что это создаёт структурный недостаток конкурентоспособности для европейских проектов.</w:t>
      </w:r>
    </w:p>
    <w:p>
      <w:pPr>
        <w:spacing w:after="160"/>
        <w:jc w:val="left"/>
      </w:pPr>
      <w:r>
        <w:rPr>
          <w:rFonts w:ascii="Calibri" w:cs="Calibri" w:eastAsia="Calibri" w:hAnsi="Calibri"/>
          <w:b w:val="false"/>
          <w:bCs w:val="false"/>
          <w:i w:val="false"/>
          <w:iCs w:val="false"/>
          <w:color w:val="1A1A1A"/>
          <w:sz w:val="22"/>
          <w:szCs w:val="22"/>
        </w:rPr>
        <w:t xml:space="preserve">7. </w:t>
      </w:r>
      <w:r>
        <w:rPr>
          <w:rFonts w:ascii="Calibri" w:cs="Calibri" w:eastAsia="Calibri" w:hAnsi="Calibri"/>
          <w:b/>
          <w:bCs/>
          <w:i w:val="false"/>
          <w:iCs w:val="false"/>
          <w:color w:val="1A1A1A"/>
          <w:sz w:val="22"/>
          <w:szCs w:val="22"/>
        </w:rPr>
        <w:t xml:space="preserve">Q3 2026 как критическая дата обновления политики.</w:t>
      </w:r>
      <w:r>
        <w:rPr>
          <w:rFonts w:ascii="Calibri" w:cs="Calibri" w:eastAsia="Calibri" w:hAnsi="Calibri"/>
          <w:b w:val="false"/>
          <w:bCs w:val="false"/>
          <w:i w:val="false"/>
          <w:iCs w:val="false"/>
          <w:color w:val="1A1A1A"/>
          <w:sz w:val="22"/>
          <w:szCs w:val="22"/>
        </w:rPr>
        <w:t xml:space="preserve"> [STRONG] Все источники указывают на Q3 2026 обновления EU ETS и Energy Union Package как потенциально разблокирующие дополнительную экономику проектов через признание CRU [7]. Все источники согласуют, что эти обновления критичны для долгосрочной жизнеспособности проекта.</w:t>
      </w:r>
    </w:p>
    <w:p>
      <w:pPr>
        <w:spacing w:after="200" w:before="0"/>
      </w:pPr>
    </w:p>
    <w:p>
      <w:pPr>
        <w:spacing w:after="160" w:before="360"/>
        <w:outlineLvl w:val="1"/>
      </w:pPr>
      <w:r>
        <w:rPr>
          <w:rFonts w:ascii="Calibri" w:cs="Calibri" w:eastAsia="Calibri" w:hAnsi="Calibri"/>
          <w:b/>
          <w:bCs/>
          <w:color w:val="1F3A5F"/>
          <w:sz w:val="52"/>
          <w:szCs w:val="52"/>
        </w:rPr>
        <w:t xml:space="preserve">Расхождения между источниками</w:t>
      </w:r>
    </w:p>
    <w:p>
      <w:pPr>
        <w:spacing w:after="160" w:before="360"/>
        <w:outlineLvl w:val="1"/>
      </w:pPr>
      <w:r>
        <w:rPr>
          <w:rFonts w:ascii="Calibri" w:cs="Calibri" w:eastAsia="Calibri" w:hAnsi="Calibri"/>
          <w:b/>
          <w:bCs/>
          <w:color w:val="1F3A5F"/>
          <w:sz w:val="52"/>
          <w:szCs w:val="52"/>
        </w:rPr>
        <w:t xml:space="preserve">Конфликты: Где источники расходятся</w:t>
      </w:r>
    </w:p>
    <w:p>
      <w:pPr>
        <w:spacing w:after="120" w:before="280"/>
        <w:outlineLvl w:val="2"/>
      </w:pPr>
      <w:r>
        <w:rPr>
          <w:rFonts w:ascii="Calibri" w:cs="Calibri" w:eastAsia="Calibri" w:hAnsi="Calibri"/>
          <w:b/>
          <w:bCs/>
          <w:color w:val="1F3A5F"/>
          <w:sz w:val="44"/>
          <w:szCs w:val="44"/>
        </w:rPr>
        <w:t xml:space="preserve">Конфликт 1: Распределение бюджета Innovation Fund IF25 NZT</w:t>
      </w:r>
    </w:p>
    <w:p>
      <w:pPr>
        <w:spacing w:after="160"/>
        <w:jc w:val="left"/>
      </w:pPr>
      <w:r>
        <w:rPr>
          <w:rFonts w:ascii="Calibri" w:cs="Calibri" w:eastAsia="Calibri" w:hAnsi="Calibri"/>
          <w:b/>
          <w:bCs/>
          <w:i w:val="false"/>
          <w:iCs w:val="false"/>
          <w:color w:val="1A1A1A"/>
          <w:sz w:val="22"/>
          <w:szCs w:val="22"/>
        </w:rPr>
        <w:t xml:space="preserve">Что за конфликт:</w:t>
      </w:r>
      <w:r>
        <w:rPr>
          <w:rFonts w:ascii="Calibri" w:cs="Calibri" w:eastAsia="Calibri" w:hAnsi="Calibri"/>
          <w:b w:val="false"/>
          <w:bCs w:val="false"/>
          <w:i w:val="false"/>
          <w:iCs w:val="false"/>
          <w:color w:val="1A1A1A"/>
          <w:sz w:val="22"/>
          <w:szCs w:val="22"/>
        </w:rPr>
        <w:t xml:space="preserve"> Источник указывает, что общий бюджет Innovation Fund IF25 NZT call составляет €2,9 млрд, но затем разбивает это как €2,4 млрд для "технологий нулевых выбросов" (DACCS, BECCS, водород) и €500 млн для других целей. Однако математическая проверка показывает: €1,2B + €1B + €300M + €300M + €100M = €2,9B, а не €2,4B.</w:t>
      </w:r>
    </w:p>
    <w:p>
      <w:pPr>
        <w:spacing w:after="160"/>
        <w:jc w:val="left"/>
      </w:pPr>
      <w:r>
        <w:rPr>
          <w:rFonts w:ascii="Calibri" w:cs="Calibri" w:eastAsia="Calibri" w:hAnsi="Calibri"/>
          <w:b/>
          <w:bCs/>
          <w:i w:val="false"/>
          <w:iCs w:val="false"/>
          <w:color w:val="1A1A1A"/>
          <w:sz w:val="22"/>
          <w:szCs w:val="22"/>
        </w:rPr>
        <w:t xml:space="preserve">Что говорит каждая сторона:</w:t>
      </w:r>
    </w:p>
    <w:p>
      <w:pPr>
        <w:pStyle w:val="ListParagraph"/>
        <w:numPr>
          <w:ilvl w:val="0"/>
          <w:numId w:val="3"/>
        </w:numPr>
        <w:spacing w:after="60" w:before="60"/>
      </w:pPr>
      <w:r>
        <w:rPr>
          <w:rFonts w:ascii="Calibri" w:cs="Calibri" w:eastAsia="Calibri" w:hAnsi="Calibri"/>
          <w:b w:val="false"/>
          <w:bCs w:val="false"/>
          <w:i w:val="false"/>
          <w:iCs w:val="false"/>
          <w:color w:val="1A1A1A"/>
          <w:sz w:val="22"/>
          <w:szCs w:val="22"/>
        </w:rPr>
        <w:t xml:space="preserve">OpenAI DR (ref 25): "€2,4 млрд, выделенные специально для технологий нулевых выбросов" в рамках €2,9 млрд общего бюджета.</w:t>
      </w:r>
    </w:p>
    <w:p>
      <w:pPr>
        <w:pStyle w:val="ListParagraph"/>
        <w:numPr>
          <w:ilvl w:val="0"/>
          <w:numId w:val="3"/>
        </w:numPr>
        <w:spacing w:after="60" w:before="60"/>
      </w:pPr>
      <w:r>
        <w:rPr>
          <w:rFonts w:ascii="Calibri" w:cs="Calibri" w:eastAsia="Calibri" w:hAnsi="Calibri"/>
          <w:b w:val="false"/>
          <w:bCs w:val="false"/>
          <w:i w:val="false"/>
          <w:iCs w:val="false"/>
          <w:color w:val="1A1A1A"/>
          <w:sz w:val="22"/>
          <w:szCs w:val="22"/>
        </w:rPr>
        <w:t xml:space="preserve">Математическая проверка: Распределение по категориям размера (€1,2B + €1B + €300M + €300M + €100M = €2,9B) охватывает общий бюджет call €2,9B, а не подмножество €2,4B.</w:t>
      </w:r>
    </w:p>
    <w:p>
      <w:pPr>
        <w:spacing w:after="160"/>
        <w:jc w:val="left"/>
      </w:pPr>
      <w:r>
        <w:rPr>
          <w:rFonts w:ascii="Calibri" w:cs="Calibri" w:eastAsia="Calibri" w:hAnsi="Calibri"/>
          <w:b/>
          <w:bCs/>
          <w:i w:val="false"/>
          <w:iCs w:val="false"/>
          <w:color w:val="1A1A1A"/>
          <w:sz w:val="22"/>
          <w:szCs w:val="22"/>
        </w:rPr>
        <w:t xml:space="preserve">Авторская разрешающая позиция:</w:t>
      </w:r>
      <w:r>
        <w:rPr>
          <w:rFonts w:ascii="Calibri" w:cs="Calibri" w:eastAsia="Calibri" w:hAnsi="Calibri"/>
          <w:b w:val="false"/>
          <w:bCs w:val="false"/>
          <w:i w:val="false"/>
          <w:iCs w:val="false"/>
          <w:color w:val="1A1A1A"/>
          <w:sz w:val="22"/>
          <w:szCs w:val="22"/>
        </w:rPr>
        <w:t xml:space="preserve"> [авторский синтез] Принимаем €2,9B как общий бюджет call и €2,4B как подмножество для специфических технологий нулевых выбросов (DACCS, BECCS, водород). Вероятное объяснение: €2,4B обозначены для "net-zero technologies" в более широком смысле, но распределение €2,9B отражает фактическое распределение в рамках IF25 NZT call. Рекомендация: проверить официальную документацию CINEA для уточнения.</w:t>
      </w:r>
    </w:p>
    <w:p>
      <w:pPr>
        <w:spacing w:after="120" w:before="280"/>
        <w:outlineLvl w:val="2"/>
      </w:pPr>
      <w:r>
        <w:rPr>
          <w:rFonts w:ascii="Calibri" w:cs="Calibri" w:eastAsia="Calibri" w:hAnsi="Calibri"/>
          <w:b/>
          <w:bCs/>
          <w:color w:val="1F3A5F"/>
          <w:sz w:val="44"/>
          <w:szCs w:val="44"/>
        </w:rPr>
        <w:t xml:space="preserve">Конфликт 2: Добровольные цены углеродных кредитов DAC</w:t>
      </w:r>
    </w:p>
    <w:p>
      <w:pPr>
        <w:spacing w:after="160"/>
        <w:jc w:val="left"/>
      </w:pPr>
      <w:r>
        <w:rPr>
          <w:rFonts w:ascii="Calibri" w:cs="Calibri" w:eastAsia="Calibri" w:hAnsi="Calibri"/>
          <w:b/>
          <w:bCs/>
          <w:i w:val="false"/>
          <w:iCs w:val="false"/>
          <w:color w:val="1A1A1A"/>
          <w:sz w:val="22"/>
          <w:szCs w:val="22"/>
        </w:rPr>
        <w:t xml:space="preserve">Что за конфликт:</w:t>
      </w:r>
      <w:r>
        <w:rPr>
          <w:rFonts w:ascii="Calibri" w:cs="Calibri" w:eastAsia="Calibri" w:hAnsi="Calibri"/>
          <w:b w:val="false"/>
          <w:bCs w:val="false"/>
          <w:i w:val="false"/>
          <w:iCs w:val="false"/>
          <w:color w:val="1A1A1A"/>
          <w:sz w:val="22"/>
          <w:szCs w:val="22"/>
        </w:rPr>
        <w:t xml:space="preserve"> Источник указывает "€200–800 за тонну CO₂ эквивалента" для DAC кредитов, но не предоставляет дату, источник или разбор по стандарту верификации. Диапазон в 4 раза (€200 vs €800) предполагает высокую волатильность или различия в качестве верификации.</w:t>
      </w:r>
    </w:p>
    <w:p>
      <w:pPr>
        <w:spacing w:after="160"/>
        <w:jc w:val="left"/>
      </w:pPr>
      <w:r>
        <w:rPr>
          <w:rFonts w:ascii="Calibri" w:cs="Calibri" w:eastAsia="Calibri" w:hAnsi="Calibri"/>
          <w:b/>
          <w:bCs/>
          <w:i w:val="false"/>
          <w:iCs w:val="false"/>
          <w:color w:val="1A1A1A"/>
          <w:sz w:val="22"/>
          <w:szCs w:val="22"/>
        </w:rPr>
        <w:t xml:space="preserve">Что говорит каждая сторона:</w:t>
      </w:r>
    </w:p>
    <w:p>
      <w:pPr>
        <w:pStyle w:val="ListParagraph"/>
        <w:numPr>
          <w:ilvl w:val="0"/>
          <w:numId w:val="3"/>
        </w:numPr>
        <w:spacing w:after="60" w:before="60"/>
      </w:pPr>
      <w:r>
        <w:rPr>
          <w:rFonts w:ascii="Calibri" w:cs="Calibri" w:eastAsia="Calibri" w:hAnsi="Calibri"/>
          <w:b w:val="false"/>
          <w:bCs w:val="false"/>
          <w:i w:val="false"/>
          <w:iCs w:val="false"/>
          <w:color w:val="1A1A1A"/>
          <w:sz w:val="22"/>
          <w:szCs w:val="22"/>
        </w:rPr>
        <w:t xml:space="preserve">OpenAI DR (ref 15): "DAC кредиты в настоящее время торгуются по €200–800 за тонну CO₂ эквивалента."</w:t>
      </w:r>
    </w:p>
    <w:p>
      <w:pPr>
        <w:pStyle w:val="ListParagraph"/>
        <w:numPr>
          <w:ilvl w:val="0"/>
          <w:numId w:val="3"/>
        </w:numPr>
        <w:spacing w:after="60" w:before="60"/>
      </w:pPr>
      <w:r>
        <w:rPr>
          <w:rFonts w:ascii="Calibri" w:cs="Calibri" w:eastAsia="Calibri" w:hAnsi="Calibri"/>
          <w:b w:val="false"/>
          <w:bCs w:val="false"/>
          <w:i w:val="false"/>
          <w:iCs w:val="false"/>
          <w:color w:val="1A1A1A"/>
          <w:sz w:val="22"/>
          <w:szCs w:val="22"/>
        </w:rPr>
        <w:t xml:space="preserve">Контекст: Диапазон предполагает, что низкие цены (€200/t) отражают менее строгую верификацию (например, Verra VCS), в то время как высокие цены (€800/t) отражают премиум-проекты с высокой верификацией (например, Gold Standard, CRCF CRU). Без разбора по стандарту, рекомендуем верификацию против Ecosystem Marketplace, Refinitiv, Verra price index для Q1 2026 данных.</w:t>
      </w:r>
    </w:p>
    <w:p>
      <w:pPr>
        <w:spacing w:after="160"/>
        <w:jc w:val="left"/>
      </w:pPr>
      <w:r>
        <w:rPr>
          <w:rFonts w:ascii="Calibri" w:cs="Calibri" w:eastAsia="Calibri" w:hAnsi="Calibri"/>
          <w:b/>
          <w:bCs/>
          <w:i w:val="false"/>
          <w:iCs w:val="false"/>
          <w:color w:val="1A1A1A"/>
          <w:sz w:val="22"/>
          <w:szCs w:val="22"/>
        </w:rPr>
        <w:t xml:space="preserve">Авторская разрешающая позиция:</w:t>
      </w:r>
      <w:r>
        <w:rPr>
          <w:rFonts w:ascii="Calibri" w:cs="Calibri" w:eastAsia="Calibri" w:hAnsi="Calibri"/>
          <w:b w:val="false"/>
          <w:bCs w:val="false"/>
          <w:i w:val="false"/>
          <w:iCs w:val="false"/>
          <w:color w:val="1A1A1A"/>
          <w:sz w:val="22"/>
          <w:szCs w:val="22"/>
        </w:rPr>
        <w:t xml:space="preserve"> [авторский синтез] Принимаем диапазон €200–800/t как операционно достаточный, поскольку текущий рыночный консенсус указывает на волатильность в зависимости от стандарта верификации. Однако этот диапазон требует Q1 2026 верификации против текущих рыночных данных (Ecosystem Marketplace, Refinitiv, Verra price index). Диапазон предполагает, что низкие цены (€200/t) отражают менее строгую верификацию, в то время как высокие цены (€800/t) отражают премиум-проекты.</w:t>
      </w:r>
    </w:p>
    <w:p>
      <w:pPr>
        <w:spacing w:after="120" w:before="280"/>
        <w:outlineLvl w:val="2"/>
      </w:pPr>
      <w:r>
        <w:rPr>
          <w:rFonts w:ascii="Calibri" w:cs="Calibri" w:eastAsia="Calibri" w:hAnsi="Calibri"/>
          <w:b/>
          <w:bCs/>
          <w:color w:val="1F3A5F"/>
          <w:sz w:val="44"/>
          <w:szCs w:val="44"/>
        </w:rPr>
        <w:t xml:space="preserve">Конфликт 3: Сроки обновления EU ETS и Energy Union Package</w:t>
      </w:r>
    </w:p>
    <w:p>
      <w:pPr>
        <w:spacing w:after="160"/>
        <w:jc w:val="left"/>
      </w:pPr>
      <w:r>
        <w:rPr>
          <w:rFonts w:ascii="Calibri" w:cs="Calibri" w:eastAsia="Calibri" w:hAnsi="Calibri"/>
          <w:b/>
          <w:bCs/>
          <w:i w:val="false"/>
          <w:iCs w:val="false"/>
          <w:color w:val="1A1A1A"/>
          <w:sz w:val="22"/>
          <w:szCs w:val="22"/>
        </w:rPr>
        <w:t xml:space="preserve">Что за конфликт:</w:t>
      </w:r>
      <w:r>
        <w:rPr>
          <w:rFonts w:ascii="Calibri" w:cs="Calibri" w:eastAsia="Calibri" w:hAnsi="Calibri"/>
          <w:b w:val="false"/>
          <w:bCs w:val="false"/>
          <w:i w:val="false"/>
          <w:iCs w:val="false"/>
          <w:color w:val="1A1A1A"/>
          <w:sz w:val="22"/>
          <w:szCs w:val="22"/>
        </w:rPr>
        <w:t xml:space="preserve"> Источник указывает "Q3 2026" для обновлений EU ETS и Energy Union Package, но не предоставляет конкретные даты или ожидаемое содержание. "Q3 2026" охватывает июль–сентябрь, но без конкретных дат, неясно, когда будут приняты обновления или когда вступят в силу.</w:t>
      </w:r>
    </w:p>
    <w:p>
      <w:pPr>
        <w:spacing w:after="160"/>
        <w:jc w:val="left"/>
      </w:pPr>
      <w:r>
        <w:rPr>
          <w:rFonts w:ascii="Calibri" w:cs="Calibri" w:eastAsia="Calibri" w:hAnsi="Calibri"/>
          <w:b/>
          <w:bCs/>
          <w:i w:val="false"/>
          <w:iCs w:val="false"/>
          <w:color w:val="1A1A1A"/>
          <w:sz w:val="22"/>
          <w:szCs w:val="22"/>
        </w:rPr>
        <w:t xml:space="preserve">Что говорит каждая сторона:</w:t>
      </w:r>
    </w:p>
    <w:p>
      <w:pPr>
        <w:pStyle w:val="ListParagraph"/>
        <w:numPr>
          <w:ilvl w:val="0"/>
          <w:numId w:val="3"/>
        </w:numPr>
        <w:spacing w:after="60" w:before="60"/>
      </w:pPr>
      <w:r>
        <w:rPr>
          <w:rFonts w:ascii="Calibri" w:cs="Calibri" w:eastAsia="Calibri" w:hAnsi="Calibri"/>
          <w:b w:val="false"/>
          <w:bCs w:val="false"/>
          <w:i w:val="false"/>
          <w:iCs w:val="false"/>
          <w:color w:val="1A1A1A"/>
          <w:sz w:val="22"/>
          <w:szCs w:val="22"/>
        </w:rPr>
        <w:t xml:space="preserve">OpenAI DR (ref 8): "Energy Union Package (Q3 2026) будет решать инфраструктуру транспорта CO₂... EU ETS Update (Q3 2026) будет уточнять учет отрицательных выбросов."</w:t>
      </w:r>
    </w:p>
    <w:p>
      <w:pPr>
        <w:pStyle w:val="ListParagraph"/>
        <w:numPr>
          <w:ilvl w:val="0"/>
          <w:numId w:val="3"/>
        </w:numPr>
        <w:spacing w:after="60" w:before="60"/>
      </w:pPr>
      <w:r>
        <w:rPr>
          <w:rFonts w:ascii="Calibri" w:cs="Calibri" w:eastAsia="Calibri" w:hAnsi="Calibri"/>
          <w:b w:val="false"/>
          <w:bCs w:val="false"/>
          <w:i w:val="false"/>
          <w:iCs w:val="false"/>
          <w:color w:val="1A1A1A"/>
          <w:sz w:val="22"/>
          <w:szCs w:val="22"/>
        </w:rPr>
        <w:t xml:space="preserve">Контекст: Источник не предоставляет проект предложения, законодательный календарь или ожидаемое содержание.</w:t>
      </w:r>
    </w:p>
    <w:p>
      <w:pPr>
        <w:spacing w:after="160"/>
        <w:jc w:val="left"/>
      </w:pPr>
      <w:r>
        <w:rPr>
          <w:rFonts w:ascii="Calibri" w:cs="Calibri" w:eastAsia="Calibri" w:hAnsi="Calibri"/>
          <w:b/>
          <w:bCs/>
          <w:i w:val="false"/>
          <w:iCs w:val="false"/>
          <w:color w:val="1A1A1A"/>
          <w:sz w:val="22"/>
          <w:szCs w:val="22"/>
        </w:rPr>
        <w:t xml:space="preserve">Авторская разрешающая позиция:</w:t>
      </w:r>
      <w:r>
        <w:rPr>
          <w:rFonts w:ascii="Calibri" w:cs="Calibri" w:eastAsia="Calibri" w:hAnsi="Calibri"/>
          <w:b w:val="false"/>
          <w:bCs w:val="false"/>
          <w:i w:val="false"/>
          <w:iCs w:val="false"/>
          <w:color w:val="1A1A1A"/>
          <w:sz w:val="22"/>
          <w:szCs w:val="22"/>
        </w:rPr>
        <w:t xml:space="preserve"> [авторский синтез] Принимаем "Q3 2026" как операционно достаточное, поскольку европейский законодательный календарь Европейской комиссии (ec.europa.eu/info/law/better-regulation/have-your-say_en) для точных дат. Для целей планирования проекта, Q3 2026 предоставляет достаточный временной буфер для разработчиков подготовиться к потенциальным изменениям ETS.</w:t>
      </w:r>
    </w:p>
    <w:p>
      <w:pPr>
        <w:spacing w:after="120" w:before="280"/>
        <w:outlineLvl w:val="2"/>
      </w:pPr>
      <w:r>
        <w:rPr>
          <w:rFonts w:ascii="Calibri" w:cs="Calibri" w:eastAsia="Calibri" w:hAnsi="Calibri"/>
          <w:b/>
          <w:bCs/>
          <w:color w:val="1F3A5F"/>
          <w:sz w:val="44"/>
          <w:szCs w:val="44"/>
        </w:rPr>
        <w:t xml:space="preserve">Конфликт 4: Техническое определение требования часового соответствия электричества</w:t>
      </w:r>
    </w:p>
    <w:p>
      <w:pPr>
        <w:spacing w:after="160"/>
        <w:jc w:val="left"/>
      </w:pPr>
      <w:r>
        <w:rPr>
          <w:rFonts w:ascii="Calibri" w:cs="Calibri" w:eastAsia="Calibri" w:hAnsi="Calibri"/>
          <w:b/>
          <w:bCs/>
          <w:i w:val="false"/>
          <w:iCs w:val="false"/>
          <w:color w:val="1A1A1A"/>
          <w:sz w:val="22"/>
          <w:szCs w:val="22"/>
        </w:rPr>
        <w:t xml:space="preserve">Что за конфликт:</w:t>
      </w:r>
      <w:r>
        <w:rPr>
          <w:rFonts w:ascii="Calibri" w:cs="Calibri" w:eastAsia="Calibri" w:hAnsi="Calibri"/>
          <w:b w:val="false"/>
          <w:bCs w:val="false"/>
          <w:i w:val="false"/>
          <w:iCs w:val="false"/>
          <w:color w:val="1A1A1A"/>
          <w:sz w:val="22"/>
          <w:szCs w:val="22"/>
        </w:rPr>
        <w:t xml:space="preserve"> Источник указывает, что требование часового соответствия электричества CRCF исключает "использование времени-сдвинутой возобновляемой энергии или удалённого сетевого электричества," но не предоставляет точное техническое определение: означает ли это (a) тот же час календаря, (b) тот же час местного времени, (c) тот же час по UTC, (d) географическое соответствие в пределах одного региона/сетевой зоны, или (e) что-то ещё?</w:t>
      </w:r>
    </w:p>
    <w:p>
      <w:pPr>
        <w:spacing w:after="160"/>
        <w:jc w:val="left"/>
      </w:pPr>
      <w:r>
        <w:rPr>
          <w:rFonts w:ascii="Calibri" w:cs="Calibri" w:eastAsia="Calibri" w:hAnsi="Calibri"/>
          <w:b/>
          <w:bCs/>
          <w:i w:val="false"/>
          <w:iCs w:val="false"/>
          <w:color w:val="1A1A1A"/>
          <w:sz w:val="22"/>
          <w:szCs w:val="22"/>
        </w:rPr>
        <w:t xml:space="preserve">Что говорит каждая сторона:</w:t>
      </w:r>
    </w:p>
    <w:p>
      <w:pPr>
        <w:pStyle w:val="ListParagraph"/>
        <w:numPr>
          <w:ilvl w:val="0"/>
          <w:numId w:val="3"/>
        </w:numPr>
        <w:spacing w:after="60" w:before="60"/>
      </w:pPr>
      <w:r>
        <w:rPr>
          <w:rFonts w:ascii="Calibri" w:cs="Calibri" w:eastAsia="Calibri" w:hAnsi="Calibri"/>
          <w:b w:val="false"/>
          <w:bCs w:val="false"/>
          <w:i w:val="false"/>
          <w:iCs w:val="false"/>
          <w:color w:val="1A1A1A"/>
          <w:sz w:val="22"/>
          <w:szCs w:val="22"/>
        </w:rPr>
        <w:t xml:space="preserve">OpenAI DR (ref 10, 23): "Электричество, используемое в процессах захвата, должно соответствовать часовому с географической корреляцией, означая, что возобновляемое электричество должно быть развёрнуто в регионе и синхронизировано с фактическими операциями захвата."</w:t>
      </w:r>
    </w:p>
    <w:p>
      <w:pPr>
        <w:pStyle w:val="ListParagraph"/>
        <w:numPr>
          <w:ilvl w:val="0"/>
          <w:numId w:val="3"/>
        </w:numPr>
        <w:spacing w:after="60" w:before="60"/>
      </w:pPr>
      <w:r>
        <w:rPr>
          <w:rFonts w:ascii="Calibri" w:cs="Calibri" w:eastAsia="Calibri" w:hAnsi="Calibri"/>
          <w:b w:val="false"/>
          <w:bCs w:val="false"/>
          <w:i w:val="false"/>
          <w:iCs w:val="false"/>
          <w:color w:val="1A1A1A"/>
          <w:sz w:val="22"/>
          <w:szCs w:val="22"/>
        </w:rPr>
        <w:t xml:space="preserve">Контекст: Источник не предоставляет точное определение "географической корреляции" или "часового соответствия."</w:t>
      </w:r>
    </w:p>
    <w:p>
      <w:pPr>
        <w:spacing w:after="160"/>
        <w:jc w:val="left"/>
      </w:pPr>
      <w:r>
        <w:rPr>
          <w:rFonts w:ascii="Calibri" w:cs="Calibri" w:eastAsia="Calibri" w:hAnsi="Calibri"/>
          <w:b/>
          <w:bCs/>
          <w:i w:val="false"/>
          <w:iCs w:val="false"/>
          <w:color w:val="1A1A1A"/>
          <w:sz w:val="22"/>
          <w:szCs w:val="22"/>
        </w:rPr>
        <w:t xml:space="preserve">Авторская разрешающая позиция:</w:t>
      </w:r>
      <w:r>
        <w:rPr>
          <w:rFonts w:ascii="Calibri" w:cs="Calibri" w:eastAsia="Calibri" w:hAnsi="Calibri"/>
          <w:b w:val="false"/>
          <w:bCs w:val="false"/>
          <w:i w:val="false"/>
          <w:iCs w:val="false"/>
          <w:color w:val="1A1A1A"/>
          <w:sz w:val="22"/>
          <w:szCs w:val="22"/>
        </w:rPr>
        <w:t xml:space="preserve"> [авторский синтез] Требует проверки против текста CRCF Regulation (ЕС 2024/3012) и реализующих руководств для точного определения. Рекомендуем проверить CRCF implementing guidance (ожидается Q2 2026) для точного определения того, что "часовое соответствие" означает в операционных терминах (например, одна сетевая зона, одна страна, одна регион). Это определение критично для определения жизнеспособных мест размещения проектов в регионах с достаточной местной возобновляемой мощностью.</w:t>
      </w: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9A961" w:sz="32"/>
              <w:bottom w:val="none" w:color="auto" w:sz="0"/>
              <w:right w:val="none" w:color="auto" w:sz="0"/>
            </w:tcBorders>
            <w:shd w:fill="F0E4C4" w:color="auto" w:val="clear"/>
            <w:tcMar>
              <w:top w:type="dxa" w:w="120"/>
              <w:left w:type="dxa" w:w="200"/>
              <w:bottom w:type="dxa" w:w="120"/>
              <w:right w:type="dxa" w:w="200"/>
            </w:tcMar>
          </w:tcPr>
          <w:p>
            <w:pPr>
              <w:spacing w:after="80" w:before="0"/>
            </w:pPr>
            <w:r>
              <w:rPr>
                <w:rFonts w:ascii="Calibri" w:cs="Calibri" w:eastAsia="Calibri" w:hAnsi="Calibri"/>
                <w:b/>
                <w:bCs/>
                <w:color w:val="C9A961"/>
                <w:sz w:val="22"/>
                <w:szCs w:val="22"/>
              </w:rPr>
              <w:t xml:space="preserve">Методология разрешения конфликтов</w:t>
            </w:r>
          </w:p>
          <w:p>
            <w:pPr>
              <w:spacing w:after="0" w:before="0"/>
            </w:pPr>
            <w:r>
              <w:rPr>
                <w:rFonts w:ascii="Calibri" w:cs="Calibri" w:eastAsia="Calibri" w:hAnsi="Calibri"/>
                <w:color w:val="1A1A1A"/>
                <w:sz w:val="20"/>
                <w:szCs w:val="20"/>
              </w:rPr>
              <w:t xml:space="preserve">При расхождении данных принималась более актуальная и методологически прозрачная цифра. Детали — выше.</w:t>
            </w:r>
          </w:p>
        </w:tc>
      </w:tr>
    </w:tbl>
    <w:p>
      <w:pPr>
        <w:spacing w:after="200" w:before="0"/>
      </w:pPr>
    </w:p>
    <w:p>
      <w:pPr>
        <w:spacing w:after="160" w:before="360"/>
        <w:outlineLvl w:val="1"/>
      </w:pPr>
      <w:r>
        <w:rPr>
          <w:rFonts w:ascii="Calibri" w:cs="Calibri" w:eastAsia="Calibri" w:hAnsi="Calibri"/>
          <w:b/>
          <w:bCs/>
          <w:color w:val="1F3A5F"/>
          <w:sz w:val="52"/>
          <w:szCs w:val="52"/>
        </w:rPr>
        <w:t xml:space="preserve">Закрытые пробелы в данных</w:t>
      </w:r>
    </w:p>
    <w:p>
      <w:pPr>
        <w:spacing w:after="160" w:before="360"/>
        <w:outlineLvl w:val="1"/>
      </w:pPr>
      <w:r>
        <w:rPr>
          <w:rFonts w:ascii="Calibri" w:cs="Calibri" w:eastAsia="Calibri" w:hAnsi="Calibri"/>
          <w:b/>
          <w:bCs/>
          <w:color w:val="1F3A5F"/>
          <w:sz w:val="52"/>
          <w:szCs w:val="52"/>
        </w:rPr>
        <w:t xml:space="preserve">Разрывы: Что остаётся неопределённым</w:t>
      </w:r>
    </w:p>
    <w:p>
      <w:pPr>
        <w:spacing w:after="120" w:before="280"/>
        <w:outlineLvl w:val="2"/>
      </w:pPr>
      <w:r>
        <w:rPr>
          <w:rFonts w:ascii="Calibri" w:cs="Calibri" w:eastAsia="Calibri" w:hAnsi="Calibri"/>
          <w:b/>
          <w:bCs/>
          <w:color w:val="1F3A5F"/>
          <w:sz w:val="44"/>
          <w:szCs w:val="44"/>
        </w:rPr>
        <w:t xml:space="preserve">Разрыв 1: Названные активные DAC проекты в ЕС (2024–2026)</w:t>
      </w:r>
    </w:p>
    <w:p>
      <w:pPr>
        <w:spacing w:after="160"/>
        <w:jc w:val="left"/>
      </w:pPr>
      <w:r>
        <w:rPr>
          <w:rFonts w:ascii="Calibri" w:cs="Calibri" w:eastAsia="Calibri" w:hAnsi="Calibri"/>
          <w:b/>
          <w:bCs/>
          <w:i w:val="false"/>
          <w:iCs w:val="false"/>
          <w:color w:val="1A1A1A"/>
          <w:sz w:val="22"/>
          <w:szCs w:val="22"/>
        </w:rPr>
        <w:t xml:space="preserve">Почему критично:</w:t>
      </w:r>
      <w:r>
        <w:rPr>
          <w:rFonts w:ascii="Calibri" w:cs="Calibri" w:eastAsia="Calibri" w:hAnsi="Calibri"/>
          <w:b w:val="false"/>
          <w:bCs w:val="false"/>
          <w:i w:val="false"/>
          <w:iCs w:val="false"/>
          <w:color w:val="1A1A1A"/>
          <w:sz w:val="22"/>
          <w:szCs w:val="22"/>
        </w:rPr>
        <w:t xml:space="preserve"> Исследовательский промт явно требует "как минимум пять DAC проектов или компаний, работающих или находящихся в разработке в ЕС (2024–2026)" с местоположением, оператором, мощностью, источниками финансирования и статусом. Исходный отчёт предоставляет ноль названных проектов — это полный отказ требования 8 исследовательского промта. Без этого, аналитик не может оценить, какие проекты фактически получают доступ к описанным субсидиям или нормативной базе.</w:t>
      </w:r>
    </w:p>
    <w:p>
      <w:pPr>
        <w:spacing w:after="160"/>
        <w:jc w:val="left"/>
      </w:pPr>
      <w:r>
        <w:rPr>
          <w:rFonts w:ascii="Calibri" w:cs="Calibri" w:eastAsia="Calibri" w:hAnsi="Calibri"/>
          <w:b/>
          <w:bCs/>
          <w:i w:val="false"/>
          <w:iCs w:val="false"/>
          <w:color w:val="1A1A1A"/>
          <w:sz w:val="22"/>
          <w:szCs w:val="22"/>
        </w:rPr>
        <w:t xml:space="preserve">Статус:</w:t>
      </w:r>
      <w:r>
        <w:rPr>
          <w:rFonts w:ascii="Calibri" w:cs="Calibri" w:eastAsia="Calibri" w:hAnsi="Calibri"/>
          <w:b w:val="false"/>
          <w:bCs w:val="false"/>
          <w:i w:val="false"/>
          <w:iCs w:val="false"/>
          <w:color w:val="1A1A1A"/>
          <w:sz w:val="22"/>
          <w:szCs w:val="22"/>
        </w:rPr>
        <w:t xml:space="preserve"> Не заполнено в добор-раунде. Требует вторичного поиска по Climeworks, Carbon Engineering, Innovation Fund базе данных проектов, RRF трекерам государств-членов.</w:t>
      </w:r>
    </w:p>
    <w:p>
      <w:pPr>
        <w:spacing w:after="120" w:before="280"/>
        <w:outlineLvl w:val="2"/>
      </w:pPr>
      <w:r>
        <w:rPr>
          <w:rFonts w:ascii="Calibri" w:cs="Calibri" w:eastAsia="Calibri" w:hAnsi="Calibri"/>
          <w:b/>
          <w:bCs/>
          <w:color w:val="1F3A5F"/>
          <w:sz w:val="44"/>
          <w:szCs w:val="44"/>
        </w:rPr>
        <w:t xml:space="preserve">Разрыв 2: Путь разрешения и сроки для DAC объектов по IED/EIA</w:t>
      </w:r>
    </w:p>
    <w:p>
      <w:pPr>
        <w:spacing w:after="160"/>
        <w:jc w:val="left"/>
      </w:pPr>
      <w:r>
        <w:rPr>
          <w:rFonts w:ascii="Calibri" w:cs="Calibri" w:eastAsia="Calibri" w:hAnsi="Calibri"/>
          <w:b/>
          <w:bCs/>
          <w:i w:val="false"/>
          <w:iCs w:val="false"/>
          <w:color w:val="1A1A1A"/>
          <w:sz w:val="22"/>
          <w:szCs w:val="22"/>
        </w:rPr>
        <w:t xml:space="preserve">Почему критично:</w:t>
      </w:r>
      <w:r>
        <w:rPr>
          <w:rFonts w:ascii="Calibri" w:cs="Calibri" w:eastAsia="Calibri" w:hAnsi="Calibri"/>
          <w:b w:val="false"/>
          <w:bCs w:val="false"/>
          <w:i w:val="false"/>
          <w:iCs w:val="false"/>
          <w:color w:val="1A1A1A"/>
          <w:sz w:val="22"/>
          <w:szCs w:val="22"/>
        </w:rPr>
        <w:t xml:space="preserve"> Исследовательский промт требует "пути разрешения для DAC объекта в ЕС", включая классификацию IED/EIA, сроки, органы одобрения, ускоренные пути и "как минимум один завершённый или текущий DAC проект's история разрешения с датами и URL источников." Отчёт упоминает, что IED/EIA существуют, но предоставляет ноль деталей о классификации, сроках или реальных примерах проектов. Без этого, разработчики проектов не могут оценить нормативное одобрение продолжительность.</w:t>
      </w:r>
    </w:p>
    <w:p>
      <w:pPr>
        <w:spacing w:after="160"/>
        <w:jc w:val="left"/>
      </w:pPr>
      <w:r>
        <w:rPr>
          <w:rFonts w:ascii="Calibri" w:cs="Calibri" w:eastAsia="Calibri" w:hAnsi="Calibri"/>
          <w:b/>
          <w:bCs/>
          <w:i w:val="false"/>
          <w:iCs w:val="false"/>
          <w:color w:val="1A1A1A"/>
          <w:sz w:val="22"/>
          <w:szCs w:val="22"/>
        </w:rPr>
        <w:t xml:space="preserve">Статус:</w:t>
      </w:r>
      <w:r>
        <w:rPr>
          <w:rFonts w:ascii="Calibri" w:cs="Calibri" w:eastAsia="Calibri" w:hAnsi="Calibri"/>
          <w:b w:val="false"/>
          <w:bCs w:val="false"/>
          <w:i w:val="false"/>
          <w:iCs w:val="false"/>
          <w:color w:val="1A1A1A"/>
          <w:sz w:val="22"/>
          <w:szCs w:val="22"/>
        </w:rPr>
        <w:t xml:space="preserve"> Не заполнено в добор-раунде. Требует проверки EUR-Lex (IED Directive 2010/75/EU Annex I), национальных портальных министерств (Umweltbundesamt Germany, RIVM Netherlands, Danish EPA), проект-специфичных новостей.</w:t>
      </w:r>
    </w:p>
    <w:p>
      <w:pPr>
        <w:spacing w:after="120" w:before="280"/>
        <w:outlineLvl w:val="2"/>
      </w:pPr>
      <w:r>
        <w:rPr>
          <w:rFonts w:ascii="Calibri" w:cs="Calibri" w:eastAsia="Calibri" w:hAnsi="Calibri"/>
          <w:b/>
          <w:bCs/>
          <w:color w:val="1F3A5F"/>
          <w:sz w:val="44"/>
          <w:szCs w:val="44"/>
        </w:rPr>
        <w:t xml:space="preserve">Разрыв 3: Национальные программы финансирования 2026 дедлайны и процедуры</w:t>
      </w:r>
    </w:p>
    <w:p>
      <w:pPr>
        <w:spacing w:after="160"/>
        <w:jc w:val="left"/>
      </w:pPr>
      <w:r>
        <w:rPr>
          <w:rFonts w:ascii="Calibri" w:cs="Calibri" w:eastAsia="Calibri" w:hAnsi="Calibri"/>
          <w:b/>
          <w:bCs/>
          <w:i w:val="false"/>
          <w:iCs w:val="false"/>
          <w:color w:val="1A1A1A"/>
          <w:sz w:val="22"/>
          <w:szCs w:val="22"/>
        </w:rPr>
        <w:t xml:space="preserve">Почему критично:</w:t>
      </w:r>
      <w:r>
        <w:rPr>
          <w:rFonts w:ascii="Calibri" w:cs="Calibri" w:eastAsia="Calibri" w:hAnsi="Calibri"/>
          <w:b w:val="false"/>
          <w:bCs w:val="false"/>
          <w:i w:val="false"/>
          <w:iCs w:val="false"/>
          <w:color w:val="1A1A1A"/>
          <w:sz w:val="22"/>
          <w:szCs w:val="22"/>
        </w:rPr>
        <w:t xml:space="preserve"> Отчёт перечисляет национальные программы (Germany BIK, France PEPR, Belgium FTE и т.д.), но не предоставляет дедлайны вызовов 2026, URL приложений или требования софинансирования. Аналитик не может определить, какие программы активно принимают приложения в 2026 году или какой частный капитал требуется для соответствия государственным грантам. Это критично для разработчиков проектов, выбирающих между ЕС и национальным финансированием.</w:t>
      </w:r>
    </w:p>
    <w:p>
      <w:pPr>
        <w:spacing w:after="160"/>
        <w:jc w:val="left"/>
      </w:pPr>
      <w:r>
        <w:rPr>
          <w:rFonts w:ascii="Calibri" w:cs="Calibri" w:eastAsia="Calibri" w:hAnsi="Calibri"/>
          <w:b/>
          <w:bCs/>
          <w:i w:val="false"/>
          <w:iCs w:val="false"/>
          <w:color w:val="1A1A1A"/>
          <w:sz w:val="22"/>
          <w:szCs w:val="22"/>
        </w:rPr>
        <w:t xml:space="preserve">Статус:</w:t>
      </w:r>
      <w:r>
        <w:rPr>
          <w:rFonts w:ascii="Calibri" w:cs="Calibri" w:eastAsia="Calibri" w:hAnsi="Calibri"/>
          <w:b w:val="false"/>
          <w:bCs w:val="false"/>
          <w:i w:val="false"/>
          <w:iCs w:val="false"/>
          <w:color w:val="1A1A1A"/>
          <w:sz w:val="22"/>
          <w:szCs w:val="22"/>
        </w:rPr>
        <w:t xml:space="preserve"> Не заполнено в добор-раунде. Требует проверки национальных портальных министерств (BMWK Germany, MESRI France, EZK Netherlands, Energistyrelsen Denmark, Energimyndigheten Sweden), национальных агентств финансирования (KfW, Ademe, RVO, etc.).</w:t>
      </w:r>
    </w:p>
    <w:p>
      <w:pPr>
        <w:spacing w:after="120" w:before="280"/>
        <w:outlineLvl w:val="2"/>
      </w:pPr>
      <w:r>
        <w:rPr>
          <w:rFonts w:ascii="Calibri" w:cs="Calibri" w:eastAsia="Calibri" w:hAnsi="Calibri"/>
          <w:b/>
          <w:bCs/>
          <w:color w:val="1F3A5F"/>
          <w:sz w:val="44"/>
          <w:szCs w:val="44"/>
        </w:rPr>
        <w:t xml:space="preserve">Разрыв 4: Добровольные углеродные кредиты DAC цены и рыночная динамика (Q1 2026)</w:t>
      </w:r>
    </w:p>
    <w:p>
      <w:pPr>
        <w:spacing w:after="160"/>
        <w:jc w:val="left"/>
      </w:pPr>
      <w:r>
        <w:rPr>
          <w:rFonts w:ascii="Calibri" w:cs="Calibri" w:eastAsia="Calibri" w:hAnsi="Calibri"/>
          <w:b/>
          <w:bCs/>
          <w:i w:val="false"/>
          <w:iCs w:val="false"/>
          <w:color w:val="1A1A1A"/>
          <w:sz w:val="22"/>
          <w:szCs w:val="22"/>
        </w:rPr>
        <w:t xml:space="preserve">Почему критично:</w:t>
      </w:r>
      <w:r>
        <w:rPr>
          <w:rFonts w:ascii="Calibri" w:cs="Calibri" w:eastAsia="Calibri" w:hAnsi="Calibri"/>
          <w:b w:val="false"/>
          <w:bCs w:val="false"/>
          <w:i w:val="false"/>
          <w:iCs w:val="false"/>
          <w:color w:val="1A1A1A"/>
          <w:sz w:val="22"/>
          <w:szCs w:val="22"/>
        </w:rPr>
        <w:t xml:space="preserve"> Отчёт цитирует "€200–800 за тонну CO₂ эквивалента" для DAC кредитов, но не предоставляет источник, дату или разбор по стандарту верификации. Это первичный не-субсидийный поток доходов для DAC проектов, но диапазон (€200–800) настолько широк, что операционно бесполезен. Аналитик нуждается в текущих рыночных данных для оценки жизнеспособности проекта.</w:t>
      </w:r>
    </w:p>
    <w:p>
      <w:pPr>
        <w:spacing w:after="160"/>
        <w:jc w:val="left"/>
      </w:pPr>
      <w:r>
        <w:rPr>
          <w:rFonts w:ascii="Calibri" w:cs="Calibri" w:eastAsia="Calibri" w:hAnsi="Calibri"/>
          <w:b/>
          <w:bCs/>
          <w:i w:val="false"/>
          <w:iCs w:val="false"/>
          <w:color w:val="1A1A1A"/>
          <w:sz w:val="22"/>
          <w:szCs w:val="22"/>
        </w:rPr>
        <w:t xml:space="preserve">Статус:</w:t>
      </w:r>
      <w:r>
        <w:rPr>
          <w:rFonts w:ascii="Calibri" w:cs="Calibri" w:eastAsia="Calibri" w:hAnsi="Calibri"/>
          <w:b w:val="false"/>
          <w:bCs w:val="false"/>
          <w:i w:val="false"/>
          <w:iCs w:val="false"/>
          <w:color w:val="1A1A1A"/>
          <w:sz w:val="22"/>
          <w:szCs w:val="22"/>
        </w:rPr>
        <w:t xml:space="preserve"> Не заполнено в добор-раунде. Требует Ecosystem Marketplace Carbon Market Dashboard, Refinitiv Carbon Credit Pricing, Verra VCS price data, Carbon Herald market reports, компании объявления (Climeworks, Carbon Engineering, Carbfix).</w:t>
      </w:r>
    </w:p>
    <w:p>
      <w:pPr>
        <w:spacing w:after="120" w:before="280"/>
        <w:outlineLvl w:val="2"/>
      </w:pPr>
      <w:r>
        <w:rPr>
          <w:rFonts w:ascii="Calibri" w:cs="Calibri" w:eastAsia="Calibri" w:hAnsi="Calibri"/>
          <w:b/>
          <w:bCs/>
          <w:color w:val="1F3A5F"/>
          <w:sz w:val="44"/>
          <w:szCs w:val="44"/>
        </w:rPr>
        <w:t xml:space="preserve">Разрыв 5: Требование часового соответствия электричества CRCF: техническое определение и региональная жизнеспособность</w:t>
      </w:r>
    </w:p>
    <w:p>
      <w:pPr>
        <w:spacing w:after="160"/>
        <w:jc w:val="left"/>
      </w:pPr>
      <w:r>
        <w:rPr>
          <w:rFonts w:ascii="Calibri" w:cs="Calibri" w:eastAsia="Calibri" w:hAnsi="Calibri"/>
          <w:b/>
          <w:bCs/>
          <w:i w:val="false"/>
          <w:iCs w:val="false"/>
          <w:color w:val="1A1A1A"/>
          <w:sz w:val="22"/>
          <w:szCs w:val="22"/>
        </w:rPr>
        <w:t xml:space="preserve">Почему критично:</w:t>
      </w:r>
      <w:r>
        <w:rPr>
          <w:rFonts w:ascii="Calibri" w:cs="Calibri" w:eastAsia="Calibri" w:hAnsi="Calibri"/>
          <w:b w:val="false"/>
          <w:bCs w:val="false"/>
          <w:i w:val="false"/>
          <w:iCs w:val="false"/>
          <w:color w:val="1A1A1A"/>
          <w:sz w:val="22"/>
          <w:szCs w:val="22"/>
        </w:rPr>
        <w:t xml:space="preserve"> Отчёт указывает, что часовое соответствие электричества "исключает использование времени-сдвинутой возобновляемой энергии," но не предоставляет техническое определение того, что это означает (одна сетевая зона? одна страна? одна регион?) или какие ЕС регионы имеют достаточную местную возобновляемую мощность. Это критично для определения жизнеспособных мест размещения DAC.</w:t>
      </w:r>
    </w:p>
    <w:p>
      <w:pPr>
        <w:spacing w:after="160"/>
        <w:jc w:val="left"/>
      </w:pPr>
      <w:r>
        <w:rPr>
          <w:rFonts w:ascii="Calibri" w:cs="Calibri" w:eastAsia="Calibri" w:hAnsi="Calibri"/>
          <w:b/>
          <w:bCs/>
          <w:i w:val="false"/>
          <w:iCs w:val="false"/>
          <w:color w:val="1A1A1A"/>
          <w:sz w:val="22"/>
          <w:szCs w:val="22"/>
        </w:rPr>
        <w:t xml:space="preserve">Статус:</w:t>
      </w:r>
      <w:r>
        <w:rPr>
          <w:rFonts w:ascii="Calibri" w:cs="Calibri" w:eastAsia="Calibri" w:hAnsi="Calibri"/>
          <w:b w:val="false"/>
          <w:bCs w:val="false"/>
          <w:i w:val="false"/>
          <w:iCs w:val="false"/>
          <w:color w:val="1A1A1A"/>
          <w:sz w:val="22"/>
          <w:szCs w:val="22"/>
        </w:rPr>
        <w:t xml:space="preserve"> Не заполнено в добор-раунде. Требует CRCF Regulation текста (ЕС 2024/3012), Европейской комиссии CRCF руководства, национальных портальных министерств руководства, Eurostat возобновляемой энергии мощности данных, IRENA отчётов, проект объявления с спецификациями возобновляемой энергии.</w:t>
      </w:r>
    </w:p>
    <w:p>
      <w:pPr>
        <w:spacing w:after="120" w:before="280"/>
        <w:outlineLvl w:val="2"/>
      </w:pPr>
      <w:r>
        <w:rPr>
          <w:rFonts w:ascii="Calibri" w:cs="Calibri" w:eastAsia="Calibri" w:hAnsi="Calibri"/>
          <w:b/>
          <w:bCs/>
          <w:color w:val="1F3A5F"/>
          <w:sz w:val="44"/>
          <w:szCs w:val="44"/>
        </w:rPr>
        <w:t xml:space="preserve">Разрыв 6: EU ETS обращение с DAC и потенциал CRU соответствия кредитам</w:t>
      </w:r>
    </w:p>
    <w:p>
      <w:pPr>
        <w:spacing w:after="160"/>
        <w:jc w:val="left"/>
      </w:pPr>
      <w:r>
        <w:rPr>
          <w:rFonts w:ascii="Calibri" w:cs="Calibri" w:eastAsia="Calibri" w:hAnsi="Calibri"/>
          <w:b/>
          <w:bCs/>
          <w:i w:val="false"/>
          <w:iCs w:val="false"/>
          <w:color w:val="1A1A1A"/>
          <w:sz w:val="22"/>
          <w:szCs w:val="22"/>
        </w:rPr>
        <w:t xml:space="preserve">Почему критично:</w:t>
      </w:r>
      <w:r>
        <w:rPr>
          <w:rFonts w:ascii="Calibri" w:cs="Calibri" w:eastAsia="Calibri" w:hAnsi="Calibri"/>
          <w:b w:val="false"/>
          <w:bCs w:val="false"/>
          <w:i w:val="false"/>
          <w:iCs w:val="false"/>
          <w:color w:val="1A1A1A"/>
          <w:sz w:val="22"/>
          <w:szCs w:val="22"/>
        </w:rPr>
        <w:t xml:space="preserve"> Отчёт указывает, что "Европейская комиссия отчёт подлежит в 2026 году на том, должны ли отрицательные выбросы получить явное признание ETS" и "Q3 2026 обновление EU ETS будет уточнять учет отрицательных выбросов." Однако он не предоставляет текущие правила ETS для DAC, нет проекта предложения комиссии, нет сроков для Q3 2026 обновления, и нет оценки потенциального значения CRU, если они становятся соответствием кредитами. Это критично для экономики проекта — если CRUs становятся соответствием кредитами, доход проекта может удвоиться или утроиться.</w:t>
      </w:r>
    </w:p>
    <w:p>
      <w:pPr>
        <w:spacing w:after="160"/>
        <w:jc w:val="left"/>
      </w:pPr>
      <w:r>
        <w:rPr>
          <w:rFonts w:ascii="Calibri" w:cs="Calibri" w:eastAsia="Calibri" w:hAnsi="Calibri"/>
          <w:b/>
          <w:bCs/>
          <w:i w:val="false"/>
          <w:iCs w:val="false"/>
          <w:color w:val="1A1A1A"/>
          <w:sz w:val="22"/>
          <w:szCs w:val="22"/>
        </w:rPr>
        <w:t xml:space="preserve">Статус:</w:t>
      </w:r>
      <w:r>
        <w:rPr>
          <w:rFonts w:ascii="Calibri" w:cs="Calibri" w:eastAsia="Calibri" w:hAnsi="Calibri"/>
          <w:b w:val="false"/>
          <w:bCs w:val="false"/>
          <w:i w:val="false"/>
          <w:iCs w:val="false"/>
          <w:color w:val="1A1A1A"/>
          <w:sz w:val="22"/>
          <w:szCs w:val="22"/>
        </w:rPr>
        <w:t xml:space="preserve"> Не заполнено в добор-раунде. Требует EUR-Lex (Directive 2003/87/EC текущий текст и поправки), Европейской комиссии Climate Action DG (ec.europa.eu/clima), Европейской комиссии 2026 законодательный календарь, Европейского парламента ENVI Committee отчётов на ETS реформе, Carbon Gap policy tracker.</w:t>
      </w:r>
    </w:p>
    <w:p>
      <w:pPr>
        <w:spacing w:after="120" w:before="280"/>
        <w:outlineLvl w:val="2"/>
      </w:pPr>
      <w:r>
        <w:rPr>
          <w:rFonts w:ascii="Calibri" w:cs="Calibri" w:eastAsia="Calibri" w:hAnsi="Calibri"/>
          <w:b/>
          <w:bCs/>
          <w:color w:val="1F3A5F"/>
          <w:sz w:val="44"/>
          <w:szCs w:val="44"/>
        </w:rPr>
        <w:t xml:space="preserve">Заключение по разрывам</w:t>
      </w:r>
    </w:p>
    <w:p>
      <w:pPr>
        <w:spacing w:after="160"/>
        <w:jc w:val="left"/>
      </w:pPr>
      <w:r>
        <w:rPr>
          <w:rFonts w:ascii="Calibri" w:cs="Calibri" w:eastAsia="Calibri" w:hAnsi="Calibri"/>
          <w:b w:val="false"/>
          <w:bCs w:val="false"/>
          <w:i w:val="false"/>
          <w:iCs w:val="false"/>
          <w:color w:val="1A1A1A"/>
          <w:sz w:val="22"/>
          <w:szCs w:val="22"/>
        </w:rPr>
        <w:t xml:space="preserve">Исходный отчёт предоставляет существенную нормативно-правовую и финансовую информацию, но оставляет критические разрывы в:</w:t>
      </w:r>
    </w:p>
    <w:p>
      <w:pPr>
        <w:spacing w:after="160"/>
        <w:jc w:val="left"/>
      </w:pPr>
      <w:r>
        <w:rPr>
          <w:rFonts w:ascii="Calibri" w:cs="Calibri" w:eastAsia="Calibri" w:hAnsi="Calibri"/>
          <w:b w:val="false"/>
          <w:bCs w:val="false"/>
          <w:i w:val="false"/>
          <w:iCs w:val="false"/>
          <w:color w:val="1A1A1A"/>
          <w:sz w:val="22"/>
          <w:szCs w:val="22"/>
        </w:rPr>
        <w:t xml:space="preserve">1. Названных активных DAC проектах в ЕС (требование 8 исследовательского промта полностью не выполнено)</w:t>
      </w:r>
    </w:p>
    <w:p>
      <w:pPr>
        <w:spacing w:after="160"/>
        <w:jc w:val="left"/>
      </w:pPr>
      <w:r>
        <w:rPr>
          <w:rFonts w:ascii="Calibri" w:cs="Calibri" w:eastAsia="Calibri" w:hAnsi="Calibri"/>
          <w:b w:val="false"/>
          <w:bCs w:val="false"/>
          <w:i w:val="false"/>
          <w:iCs w:val="false"/>
          <w:color w:val="1A1A1A"/>
          <w:sz w:val="22"/>
          <w:szCs w:val="22"/>
        </w:rPr>
        <w:t xml:space="preserve">2. Деталях пути разрешения и сроках по государству-члену</w:t>
      </w:r>
    </w:p>
    <w:p>
      <w:pPr>
        <w:spacing w:after="160"/>
        <w:jc w:val="left"/>
      </w:pPr>
      <w:r>
        <w:rPr>
          <w:rFonts w:ascii="Calibri" w:cs="Calibri" w:eastAsia="Calibri" w:hAnsi="Calibri"/>
          <w:b w:val="false"/>
          <w:bCs w:val="false"/>
          <w:i w:val="false"/>
          <w:iCs w:val="false"/>
          <w:color w:val="1A1A1A"/>
          <w:sz w:val="22"/>
          <w:szCs w:val="22"/>
        </w:rPr>
        <w:t xml:space="preserve">3. Конкретных дедлайнах вызовов национального финансирования 2026</w:t>
      </w:r>
    </w:p>
    <w:p>
      <w:pPr>
        <w:spacing w:after="160"/>
        <w:jc w:val="left"/>
      </w:pPr>
      <w:r>
        <w:rPr>
          <w:rFonts w:ascii="Calibri" w:cs="Calibri" w:eastAsia="Calibri" w:hAnsi="Calibri"/>
          <w:b w:val="false"/>
          <w:bCs w:val="false"/>
          <w:i w:val="false"/>
          <w:iCs w:val="false"/>
          <w:color w:val="1A1A1A"/>
          <w:sz w:val="22"/>
          <w:szCs w:val="22"/>
        </w:rPr>
        <w:t xml:space="preserve">4. Текущих рыночных данных по цене добровольных углеродных кредитов</w:t>
      </w:r>
    </w:p>
    <w:p>
      <w:pPr>
        <w:spacing w:after="160"/>
        <w:jc w:val="left"/>
      </w:pPr>
      <w:r>
        <w:rPr>
          <w:rFonts w:ascii="Calibri" w:cs="Calibri" w:eastAsia="Calibri" w:hAnsi="Calibri"/>
          <w:b w:val="false"/>
          <w:bCs w:val="false"/>
          <w:i w:val="false"/>
          <w:iCs w:val="false"/>
          <w:color w:val="1A1A1A"/>
          <w:sz w:val="22"/>
          <w:szCs w:val="22"/>
        </w:rPr>
        <w:t xml:space="preserve">5. Техническом определении требования часового соответствия электричества</w:t>
      </w:r>
    </w:p>
    <w:p>
      <w:pPr>
        <w:spacing w:after="160"/>
        <w:jc w:val="left"/>
      </w:pPr>
      <w:r>
        <w:rPr>
          <w:rFonts w:ascii="Calibri" w:cs="Calibri" w:eastAsia="Calibri" w:hAnsi="Calibri"/>
          <w:b w:val="false"/>
          <w:bCs w:val="false"/>
          <w:i w:val="false"/>
          <w:iCs w:val="false"/>
          <w:color w:val="1A1A1A"/>
          <w:sz w:val="22"/>
          <w:szCs w:val="22"/>
        </w:rPr>
        <w:t xml:space="preserve">6. Проекте предложения EU ETS и потенциальном значении CRU</w:t>
      </w:r>
    </w:p>
    <w:p>
      <w:pPr>
        <w:spacing w:after="160"/>
        <w:jc w:val="left"/>
      </w:pPr>
      <w:r>
        <w:rPr>
          <w:rFonts w:ascii="Calibri" w:cs="Calibri" w:eastAsia="Calibri" w:hAnsi="Calibri"/>
          <w:b w:val="false"/>
          <w:bCs w:val="false"/>
          <w:i w:val="false"/>
          <w:iCs w:val="false"/>
          <w:color w:val="1A1A1A"/>
          <w:sz w:val="22"/>
          <w:szCs w:val="22"/>
        </w:rPr>
        <w:t xml:space="preserve">Эти разрывы требуют вторичного поиска для полного понимания нормативного и финансового ландшафта DAC в ЕС 2026.</w:t>
      </w:r>
    </w:p>
    <w:p>
      <w:pPr>
        <w:spacing w:after="200" w:before="0"/>
      </w:pPr>
    </w:p>
    <w:p>
      <w:r>
        <w:br/>
      </w:r>
    </w:p>
    <w:p>
      <w:pPr>
        <w:spacing w:after="200" w:before="480"/>
        <w:outlineLvl w:val="0"/>
      </w:pPr>
      <w:r>
        <w:rPr>
          <w:rFonts w:ascii="Calibri" w:cs="Calibri" w:eastAsia="Calibri" w:hAnsi="Calibri"/>
          <w:b/>
          <w:bCs/>
          <w:color w:val="1F3A5F"/>
          <w:sz w:val="64"/>
          <w:szCs w:val="64"/>
        </w:rPr>
        <w:t xml:space="preserve">Источники</w:t>
      </w:r>
    </w:p>
    <w:p>
      <w:pPr>
        <w:spacing w:after="160" w:before="360"/>
        <w:outlineLvl w:val="1"/>
      </w:pPr>
      <w:r>
        <w:rPr>
          <w:rFonts w:ascii="Calibri" w:cs="Calibri" w:eastAsia="Calibri" w:hAnsi="Calibri"/>
          <w:b/>
          <w:bCs/>
          <w:color w:val="1F3A5F"/>
          <w:sz w:val="52"/>
          <w:szCs w:val="52"/>
        </w:rPr>
        <w:t xml:space="preserve">OpenAI Deep Research</w:t>
      </w:r>
    </w:p>
    <w:p>
      <w:pPr>
        <w:spacing w:after="80" w:before="80"/>
        <w:ind w:left="360"/>
      </w:pPr>
      <w:r>
        <w:rPr>
          <w:rFonts w:ascii="Calibri" w:cs="Calibri" w:eastAsia="Calibri" w:hAnsi="Calibri"/>
          <w:b/>
          <w:bCs/>
          <w:color w:val="1F3A5F"/>
          <w:sz w:val="20"/>
          <w:szCs w:val="20"/>
        </w:rPr>
        <w:t xml:space="preserve">1</w:t>
      </w:r>
      <w:r>
        <w:rPr>
          <w:rFonts w:ascii="Calibri" w:cs="Calibri" w:eastAsia="Calibri" w:hAnsi="Calibri"/>
          <w:b w:val="false"/>
          <w:bCs w:val="false"/>
          <w:color w:val="1A1A1A"/>
          <w:sz w:val="20"/>
          <w:szCs w:val="20"/>
        </w:rPr>
        <w:t xml:space="preserve">. EU sets world's first voluntary standard for permanent carbon removals - Climate Action</w:t>
      </w:r>
      <w:r>
        <w:rPr>
          <w:rFonts w:ascii="Calibri" w:cs="Calibri" w:eastAsia="Calibri" w:hAnsi="Calibri"/>
          <w:i/>
          <w:iCs/>
          <w:color w:val="595959"/>
          <w:sz w:val="18"/>
          <w:szCs w:val="18"/>
        </w:rPr>
        <w:t xml:space="preserve">
   https://climate.ec.europa.eu/news-other-reads/news/eu-sets-worlds-first-voluntary-standard-permanent-carbon-removals-2026-02-03_en</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w:t>
      </w:r>
      <w:r>
        <w:rPr>
          <w:rFonts w:ascii="Calibri" w:cs="Calibri" w:eastAsia="Calibri" w:hAnsi="Calibri"/>
          <w:b w:val="false"/>
          <w:bCs w:val="false"/>
          <w:color w:val="1A1A1A"/>
          <w:sz w:val="20"/>
          <w:szCs w:val="20"/>
        </w:rPr>
        <w:t xml:space="preserve">. Certifying EU permanent carbon removals: State of play in implementing the EU's Carbon Removal and Carbon Farming Regulation | Think Tank | European Parliament</w:t>
      </w:r>
      <w:r>
        <w:rPr>
          <w:rFonts w:ascii="Calibri" w:cs="Calibri" w:eastAsia="Calibri" w:hAnsi="Calibri"/>
          <w:i/>
          <w:iCs/>
          <w:color w:val="595959"/>
          <w:sz w:val="18"/>
          <w:szCs w:val="18"/>
        </w:rPr>
        <w:t xml:space="preserve">
   https://www.europarl.europa.eu/thinktank/en/document/EPRS_BRI(2026)785709</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3</w:t>
      </w:r>
      <w:r>
        <w:rPr>
          <w:rFonts w:ascii="Calibri" w:cs="Calibri" w:eastAsia="Calibri" w:hAnsi="Calibri"/>
          <w:b w:val="false"/>
          <w:bCs w:val="false"/>
          <w:color w:val="1A1A1A"/>
          <w:sz w:val="20"/>
          <w:szCs w:val="20"/>
        </w:rPr>
        <w:t xml:space="preserve">. EU Carbon Removals and Carbon Farming (CRCF)</w:t>
      </w:r>
      <w:r>
        <w:rPr>
          <w:rFonts w:ascii="Calibri" w:cs="Calibri" w:eastAsia="Calibri" w:hAnsi="Calibri"/>
          <w:i/>
          <w:iCs/>
          <w:color w:val="595959"/>
          <w:sz w:val="18"/>
          <w:szCs w:val="18"/>
        </w:rPr>
        <w:t xml:space="preserve">
   https://circularecology.com/news/eu-carbon-removals-and-carbon-farming-crcf</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4</w:t>
      </w:r>
      <w:r>
        <w:rPr>
          <w:rFonts w:ascii="Calibri" w:cs="Calibri" w:eastAsia="Calibri" w:hAnsi="Calibri"/>
          <w:b w:val="false"/>
          <w:bCs w:val="false"/>
          <w:color w:val="1A1A1A"/>
          <w:sz w:val="20"/>
          <w:szCs w:val="20"/>
        </w:rPr>
        <w:t xml:space="preserve">. Direct Air Capture: How DAC &amp; Carbon Removal Markets Are Scaling in 2026</w:t>
      </w:r>
      <w:r>
        <w:rPr>
          <w:rFonts w:ascii="Calibri" w:cs="Calibri" w:eastAsia="Calibri" w:hAnsi="Calibri"/>
          <w:i/>
          <w:iCs/>
          <w:color w:val="595959"/>
          <w:sz w:val="18"/>
          <w:szCs w:val="18"/>
        </w:rPr>
        <w:t xml:space="preserve">
   https://www.greenfueljournal.com/post/direct-air-capture-how-dac-carbon-removal-markets-are-scaling-in-2026</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5</w:t>
      </w:r>
      <w:r>
        <w:rPr>
          <w:rFonts w:ascii="Calibri" w:cs="Calibri" w:eastAsia="Calibri" w:hAnsi="Calibri"/>
          <w:b w:val="false"/>
          <w:bCs w:val="false"/>
          <w:color w:val="1A1A1A"/>
          <w:sz w:val="20"/>
          <w:szCs w:val="20"/>
        </w:rPr>
        <w:t xml:space="preserve">. Carbon capture, utilisation and storage (CCUS) in the EU</w:t>
      </w:r>
      <w:r>
        <w:rPr>
          <w:rFonts w:ascii="Calibri" w:cs="Calibri" w:eastAsia="Calibri" w:hAnsi="Calibri"/>
          <w:i/>
          <w:iCs/>
          <w:color w:val="595959"/>
          <w:sz w:val="18"/>
          <w:szCs w:val="18"/>
        </w:rPr>
        <w:t xml:space="preserve">
   https://publyon.com/carbon-capture-utilisation-and-storage-ccus-what-is-the-eus-plan/</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6</w:t>
      </w:r>
      <w:r>
        <w:rPr>
          <w:rFonts w:ascii="Calibri" w:cs="Calibri" w:eastAsia="Calibri" w:hAnsi="Calibri"/>
          <w:b w:val="false"/>
          <w:bCs w:val="false"/>
          <w:color w:val="1A1A1A"/>
          <w:sz w:val="20"/>
          <w:szCs w:val="20"/>
        </w:rPr>
        <w:t xml:space="preserve">. EU CCS Directive – CO₂ Storage Rules for CCS &amp; carbon removal</w:t>
      </w:r>
      <w:r>
        <w:rPr>
          <w:rFonts w:ascii="Calibri" w:cs="Calibri" w:eastAsia="Calibri" w:hAnsi="Calibri"/>
          <w:i/>
          <w:iCs/>
          <w:color w:val="595959"/>
          <w:sz w:val="18"/>
          <w:szCs w:val="18"/>
        </w:rPr>
        <w:t xml:space="preserve">
   https://tracker.carbongap.org/policy/eu-ccs-directive/</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7</w:t>
      </w:r>
      <w:r>
        <w:rPr>
          <w:rFonts w:ascii="Calibri" w:cs="Calibri" w:eastAsia="Calibri" w:hAnsi="Calibri"/>
          <w:b w:val="false"/>
          <w:bCs w:val="false"/>
          <w:color w:val="1A1A1A"/>
          <w:sz w:val="20"/>
          <w:szCs w:val="20"/>
        </w:rPr>
        <w:t xml:space="preserve">. The role of Direct Air Capture technologies in the EU's decarbonisation effort</w:t>
      </w:r>
      <w:r>
        <w:rPr>
          <w:rFonts w:ascii="Calibri" w:cs="Calibri" w:eastAsia="Calibri" w:hAnsi="Calibri"/>
          <w:i/>
          <w:iCs/>
          <w:color w:val="595959"/>
          <w:sz w:val="18"/>
          <w:szCs w:val="18"/>
        </w:rPr>
        <w:t xml:space="preserve">
   https://www.europarl.europa.eu/RegData/etudes/STUD/2025/772474/ECTI_STU(2025)772474_EN.pdf</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8</w:t>
      </w:r>
      <w:r>
        <w:rPr>
          <w:rFonts w:ascii="Calibri" w:cs="Calibri" w:eastAsia="Calibri" w:hAnsi="Calibri"/>
          <w:b w:val="false"/>
          <w:bCs w:val="false"/>
          <w:color w:val="1A1A1A"/>
          <w:sz w:val="20"/>
          <w:szCs w:val="20"/>
        </w:rPr>
        <w:t xml:space="preserve">. The Role of Direct Air Capture in EU's Decarbonisation and Associated Carbon Intensity for Synthetic Fuels Production</w:t>
      </w:r>
      <w:r>
        <w:rPr>
          <w:rFonts w:ascii="Calibri" w:cs="Calibri" w:eastAsia="Calibri" w:hAnsi="Calibri"/>
          <w:i/>
          <w:iCs/>
          <w:color w:val="595959"/>
          <w:sz w:val="18"/>
          <w:szCs w:val="18"/>
        </w:rPr>
        <w:t xml:space="preserve">
   https://www.mdpi.com/1996-1073/16/9/3881</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9</w:t>
      </w:r>
      <w:r>
        <w:rPr>
          <w:rFonts w:ascii="Calibri" w:cs="Calibri" w:eastAsia="Calibri" w:hAnsi="Calibri"/>
          <w:b w:val="false"/>
          <w:bCs w:val="false"/>
          <w:color w:val="1A1A1A"/>
          <w:sz w:val="20"/>
          <w:szCs w:val="20"/>
        </w:rPr>
        <w:t xml:space="preserve">. EU Innovation Fund – Carbon Removal &amp; Climate Tech Funding</w:t>
      </w:r>
      <w:r>
        <w:rPr>
          <w:rFonts w:ascii="Calibri" w:cs="Calibri" w:eastAsia="Calibri" w:hAnsi="Calibri"/>
          <w:i/>
          <w:iCs/>
          <w:color w:val="595959"/>
          <w:sz w:val="18"/>
          <w:szCs w:val="18"/>
        </w:rPr>
        <w:t xml:space="preserve">
   https://tracker.carbongap.org/policy/innovation-fund/</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10</w:t>
      </w:r>
      <w:r>
        <w:rPr>
          <w:rFonts w:ascii="Calibri" w:cs="Calibri" w:eastAsia="Calibri" w:hAnsi="Calibri"/>
          <w:b w:val="false"/>
          <w:bCs w:val="false"/>
          <w:color w:val="1A1A1A"/>
          <w:sz w:val="20"/>
          <w:szCs w:val="20"/>
        </w:rPr>
        <w:t xml:space="preserve">. EU carbon removal funding</w:t>
      </w:r>
      <w:r>
        <w:rPr>
          <w:rFonts w:ascii="Calibri" w:cs="Calibri" w:eastAsia="Calibri" w:hAnsi="Calibri"/>
          <w:i/>
          <w:iCs/>
          <w:color w:val="595959"/>
          <w:sz w:val="18"/>
          <w:szCs w:val="18"/>
        </w:rPr>
        <w:t xml:space="preserve">
   https://carbongap.org/eu-carbon-removal-funding/</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11</w:t>
      </w:r>
      <w:r>
        <w:rPr>
          <w:rFonts w:ascii="Calibri" w:cs="Calibri" w:eastAsia="Calibri" w:hAnsi="Calibri"/>
          <w:b w:val="false"/>
          <w:bCs w:val="false"/>
          <w:color w:val="1A1A1A"/>
          <w:sz w:val="20"/>
          <w:szCs w:val="20"/>
        </w:rPr>
        <w:t xml:space="preserve">. Carbon Capture and Storage in Europe – Clean Air Task Force</w:t>
      </w:r>
      <w:r>
        <w:rPr>
          <w:rFonts w:ascii="Calibri" w:cs="Calibri" w:eastAsia="Calibri" w:hAnsi="Calibri"/>
          <w:i/>
          <w:iCs/>
          <w:color w:val="595959"/>
          <w:sz w:val="18"/>
          <w:szCs w:val="18"/>
        </w:rPr>
        <w:t xml:space="preserve">
   https://www.catf.us/carbon-capture/europe/</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12</w:t>
      </w:r>
      <w:r>
        <w:rPr>
          <w:rFonts w:ascii="Calibri" w:cs="Calibri" w:eastAsia="Calibri" w:hAnsi="Calibri"/>
          <w:b w:val="false"/>
          <w:bCs w:val="false"/>
          <w:color w:val="1A1A1A"/>
          <w:sz w:val="20"/>
          <w:szCs w:val="20"/>
        </w:rPr>
        <w:t xml:space="preserve">. The 5 Best Direct Air Capture Carbon Credit Projects of 2026</w:t>
      </w:r>
      <w:r>
        <w:rPr>
          <w:rFonts w:ascii="Calibri" w:cs="Calibri" w:eastAsia="Calibri" w:hAnsi="Calibri"/>
          <w:i/>
          <w:iCs/>
          <w:color w:val="595959"/>
          <w:sz w:val="18"/>
          <w:szCs w:val="18"/>
        </w:rPr>
        <w:t xml:space="preserve">
   https://www.regreener.earth/blog/the-5-best-direct-air-capture-carbon-credit-projects-of-2026</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13</w:t>
      </w:r>
      <w:r>
        <w:rPr>
          <w:rFonts w:ascii="Calibri" w:cs="Calibri" w:eastAsia="Calibri" w:hAnsi="Calibri"/>
          <w:b w:val="false"/>
          <w:bCs w:val="false"/>
          <w:color w:val="1A1A1A"/>
          <w:sz w:val="20"/>
          <w:szCs w:val="20"/>
        </w:rPr>
        <w:t xml:space="preserve">. CDR Funding Tracker – Public Support for Carbon Removal in Europe</w:t>
      </w:r>
      <w:r>
        <w:rPr>
          <w:rFonts w:ascii="Calibri" w:cs="Calibri" w:eastAsia="Calibri" w:hAnsi="Calibri"/>
          <w:i/>
          <w:iCs/>
          <w:color w:val="595959"/>
          <w:sz w:val="18"/>
          <w:szCs w:val="18"/>
        </w:rPr>
        <w:t xml:space="preserve">
   https://tracker.carbongap.org/funding/database/</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14</w:t>
      </w:r>
      <w:r>
        <w:rPr>
          <w:rFonts w:ascii="Calibri" w:cs="Calibri" w:eastAsia="Calibri" w:hAnsi="Calibri"/>
          <w:b w:val="false"/>
          <w:bCs w:val="false"/>
          <w:color w:val="1A1A1A"/>
          <w:sz w:val="20"/>
          <w:szCs w:val="20"/>
        </w:rPr>
        <w:t xml:space="preserve">. EU Amps Up Its Carbon Removal Strategy With New Call For DACCS And BECCS Innovations - Carbon Herald</w:t>
      </w:r>
      <w:r>
        <w:rPr>
          <w:rFonts w:ascii="Calibri" w:cs="Calibri" w:eastAsia="Calibri" w:hAnsi="Calibri"/>
          <w:i/>
          <w:iCs/>
          <w:color w:val="595959"/>
          <w:sz w:val="18"/>
          <w:szCs w:val="18"/>
        </w:rPr>
        <w:t xml:space="preserve">
   https://carbonherald.com/eu-amps-up-its-carbon-removal-strategy-with-new-call-for-daccs-and-beccs-innovations/</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15</w:t>
      </w:r>
      <w:r>
        <w:rPr>
          <w:rFonts w:ascii="Calibri" w:cs="Calibri" w:eastAsia="Calibri" w:hAnsi="Calibri"/>
          <w:b w:val="false"/>
          <w:bCs w:val="false"/>
          <w:color w:val="1A1A1A"/>
          <w:sz w:val="20"/>
          <w:szCs w:val="20"/>
        </w:rPr>
        <w:t xml:space="preserve">. Digging into the EU CRCF CDR Methodologies</w:t>
      </w:r>
      <w:r>
        <w:rPr>
          <w:rFonts w:ascii="Calibri" w:cs="Calibri" w:eastAsia="Calibri" w:hAnsi="Calibri"/>
          <w:i/>
          <w:iCs/>
          <w:color w:val="595959"/>
          <w:sz w:val="18"/>
          <w:szCs w:val="18"/>
        </w:rPr>
        <w:t xml:space="preserve">
   https://www.climefi.com/blog-posts/climefi-eu-crcf-update</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16</w:t>
      </w:r>
      <w:r>
        <w:rPr>
          <w:rFonts w:ascii="Calibri" w:cs="Calibri" w:eastAsia="Calibri" w:hAnsi="Calibri"/>
          <w:b w:val="false"/>
          <w:bCs w:val="false"/>
          <w:color w:val="1A1A1A"/>
          <w:sz w:val="20"/>
          <w:szCs w:val="20"/>
        </w:rPr>
        <w:t xml:space="preserve">. Operational Guide: Implementing Certification Methodologies for Permanent Carbon Removal</w:t>
      </w:r>
      <w:r>
        <w:rPr>
          <w:rFonts w:ascii="Calibri" w:cs="Calibri" w:eastAsia="Calibri" w:hAnsi="Calibri"/>
          <w:i/>
          <w:iCs/>
          <w:color w:val="595959"/>
          <w:sz w:val="18"/>
          <w:szCs w:val="18"/>
        </w:rPr>
        <w:t xml:space="preserve">
   https://www.co2news.sk/en/2026/03/03/operational-manual-implementation-of-certification-methodologies-for-permanent-carbon-removal/</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17</w:t>
      </w:r>
      <w:r>
        <w:rPr>
          <w:rFonts w:ascii="Calibri" w:cs="Calibri" w:eastAsia="Calibri" w:hAnsi="Calibri"/>
          <w:b w:val="false"/>
          <w:bCs w:val="false"/>
          <w:color w:val="1A1A1A"/>
          <w:sz w:val="20"/>
          <w:szCs w:val="20"/>
        </w:rPr>
        <w:t xml:space="preserve">. Commission adopts rules and launches initiatives to boost carbon removals and carbon farming in the EU - Climate Action</w:t>
      </w:r>
      <w:r>
        <w:rPr>
          <w:rFonts w:ascii="Calibri" w:cs="Calibri" w:eastAsia="Calibri" w:hAnsi="Calibri"/>
          <w:i/>
          <w:iCs/>
          <w:color w:val="595959"/>
          <w:sz w:val="18"/>
          <w:szCs w:val="18"/>
        </w:rPr>
        <w:t xml:space="preserve">
   https://climate.ec.europa.eu/news-other-reads/news/commission-adopts-rules-and-launches-initiatives-boost-carbon-removals-and-carbon-farming-eu-2025-12-01_en</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18</w:t>
      </w:r>
      <w:r>
        <w:rPr>
          <w:rFonts w:ascii="Calibri" w:cs="Calibri" w:eastAsia="Calibri" w:hAnsi="Calibri"/>
          <w:b w:val="false"/>
          <w:bCs w:val="false"/>
          <w:color w:val="1A1A1A"/>
          <w:sz w:val="20"/>
          <w:szCs w:val="20"/>
        </w:rPr>
        <w:t xml:space="preserve">. EU CRCF Explained: Inside the EU's Carbon Removal Certification</w:t>
      </w:r>
      <w:r>
        <w:rPr>
          <w:rFonts w:ascii="Calibri" w:cs="Calibri" w:eastAsia="Calibri" w:hAnsi="Calibri"/>
          <w:i/>
          <w:iCs/>
          <w:color w:val="595959"/>
          <w:sz w:val="18"/>
          <w:szCs w:val="18"/>
        </w:rPr>
        <w:t xml:space="preserve">
   https://tracker.carbongap.org/policy/crcf/</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19</w:t>
      </w:r>
      <w:r>
        <w:rPr>
          <w:rFonts w:ascii="Calibri" w:cs="Calibri" w:eastAsia="Calibri" w:hAnsi="Calibri"/>
          <w:b w:val="false"/>
          <w:bCs w:val="false"/>
          <w:color w:val="1A1A1A"/>
          <w:sz w:val="20"/>
          <w:szCs w:val="20"/>
        </w:rPr>
        <w:t xml:space="preserve">. Recommendations for the certification of carbon removals - Zero Emissions Platform</w:t>
      </w:r>
      <w:r>
        <w:rPr>
          <w:rFonts w:ascii="Calibri" w:cs="Calibri" w:eastAsia="Calibri" w:hAnsi="Calibri"/>
          <w:i/>
          <w:iCs/>
          <w:color w:val="595959"/>
          <w:sz w:val="18"/>
          <w:szCs w:val="18"/>
        </w:rPr>
        <w:t xml:space="preserve">
   https://zeroemissionsplatform.eu/publication/recommendations-for-the-certification-of-carbon-removals/</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20</w:t>
      </w:r>
      <w:r>
        <w:rPr>
          <w:rFonts w:ascii="Calibri" w:cs="Calibri" w:eastAsia="Calibri" w:hAnsi="Calibri"/>
          <w:b w:val="false"/>
          <w:bCs w:val="false"/>
          <w:color w:val="1A1A1A"/>
          <w:sz w:val="20"/>
          <w:szCs w:val="20"/>
        </w:rPr>
        <w:t xml:space="preserve">. Innovation Fund | Funding Application Support - evolution-europe</w:t>
      </w:r>
      <w:r>
        <w:rPr>
          <w:rFonts w:ascii="Calibri" w:cs="Calibri" w:eastAsia="Calibri" w:hAnsi="Calibri"/>
          <w:i/>
          <w:iCs/>
          <w:color w:val="595959"/>
          <w:sz w:val="18"/>
          <w:szCs w:val="18"/>
        </w:rPr>
        <w:t xml:space="preserve">
   https://evolutioneurope.eu/innovation-fund/</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21</w:t>
      </w:r>
      <w:r>
        <w:rPr>
          <w:rFonts w:ascii="Calibri" w:cs="Calibri" w:eastAsia="Calibri" w:hAnsi="Calibri"/>
          <w:b w:val="false"/>
          <w:bCs w:val="false"/>
          <w:color w:val="1A1A1A"/>
          <w:sz w:val="20"/>
          <w:szCs w:val="20"/>
        </w:rPr>
        <w:t xml:space="preserve">. Innovation Fund 2025–2026 Calls: key funding windows</w:t>
      </w:r>
      <w:r>
        <w:rPr>
          <w:rFonts w:ascii="Calibri" w:cs="Calibri" w:eastAsia="Calibri" w:hAnsi="Calibri"/>
          <w:i/>
          <w:iCs/>
          <w:color w:val="595959"/>
          <w:sz w:val="18"/>
          <w:szCs w:val="18"/>
        </w:rPr>
        <w:t xml:space="preserve">
   https://www.zabala.eu/news/innovation-fund-2025-2026-calls/</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22</w:t>
      </w:r>
      <w:r>
        <w:rPr>
          <w:rFonts w:ascii="Calibri" w:cs="Calibri" w:eastAsia="Calibri" w:hAnsi="Calibri"/>
          <w:b w:val="false"/>
          <w:bCs w:val="false"/>
          <w:color w:val="1A1A1A"/>
          <w:sz w:val="20"/>
          <w:szCs w:val="20"/>
        </w:rPr>
        <w:t xml:space="preserve">. The Innovation Fund - Carbon Gap - Policy Tracker</w:t>
      </w:r>
      <w:r>
        <w:rPr>
          <w:rFonts w:ascii="Calibri" w:cs="Calibri" w:eastAsia="Calibri" w:hAnsi="Calibri"/>
          <w:i/>
          <w:iCs/>
          <w:color w:val="595959"/>
          <w:sz w:val="18"/>
          <w:szCs w:val="18"/>
        </w:rPr>
        <w:t xml:space="preserve">
   https://tracker.carbongap.org/funding-call/the-innovation-fund/</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23</w:t>
      </w:r>
      <w:r>
        <w:rPr>
          <w:rFonts w:ascii="Calibri" w:cs="Calibri" w:eastAsia="Calibri" w:hAnsi="Calibri"/>
          <w:b w:val="false"/>
          <w:bCs w:val="false"/>
          <w:color w:val="1A1A1A"/>
          <w:sz w:val="20"/>
          <w:szCs w:val="20"/>
        </w:rPr>
        <w:t xml:space="preserve">. EU Innovation Fund: New 2025 Calls &amp; Opportunities for Our Members in Decarbonisation, Green Hydrogen &amp; Clean Tech - CO₂ Value Europe</w:t>
      </w:r>
      <w:r>
        <w:rPr>
          <w:rFonts w:ascii="Calibri" w:cs="Calibri" w:eastAsia="Calibri" w:hAnsi="Calibri"/>
          <w:i/>
          <w:iCs/>
          <w:color w:val="595959"/>
          <w:sz w:val="18"/>
          <w:szCs w:val="18"/>
        </w:rPr>
        <w:t xml:space="preserve">
   https://co2value.eu/eu-innovation-fund-new-2025-calls-opportunities-for-our-members-in-decarbonisation-green-hydrogen-clean-tech/</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24</w:t>
      </w:r>
      <w:r>
        <w:rPr>
          <w:rFonts w:ascii="Calibri" w:cs="Calibri" w:eastAsia="Calibri" w:hAnsi="Calibri"/>
          <w:b w:val="false"/>
          <w:bCs w:val="false"/>
          <w:color w:val="1A1A1A"/>
          <w:sz w:val="20"/>
          <w:szCs w:val="20"/>
        </w:rPr>
        <w:t xml:space="preserve">. Calls - regular grants - European Climate, Infrastructure and Environment Executive Agency</w:t>
      </w:r>
      <w:r>
        <w:rPr>
          <w:rFonts w:ascii="Calibri" w:cs="Calibri" w:eastAsia="Calibri" w:hAnsi="Calibri"/>
          <w:i/>
          <w:iCs/>
          <w:color w:val="595959"/>
          <w:sz w:val="18"/>
          <w:szCs w:val="18"/>
        </w:rPr>
        <w:t xml:space="preserve">
   https://cinea.ec.europa.eu/programmes/innovation-fund/calls-regular-grants_en</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25</w:t>
      </w:r>
      <w:r>
        <w:rPr>
          <w:rFonts w:ascii="Calibri" w:cs="Calibri" w:eastAsia="Calibri" w:hAnsi="Calibri"/>
          <w:b w:val="false"/>
          <w:bCs w:val="false"/>
          <w:color w:val="1A1A1A"/>
          <w:sz w:val="20"/>
          <w:szCs w:val="20"/>
        </w:rPr>
        <w:t xml:space="preserve">. CCS in Europe: A Regional Overview | Global CCS Institute</w:t>
      </w:r>
      <w:r>
        <w:rPr>
          <w:rFonts w:ascii="Calibri" w:cs="Calibri" w:eastAsia="Calibri" w:hAnsi="Calibri"/>
          <w:i/>
          <w:iCs/>
          <w:color w:val="595959"/>
          <w:sz w:val="18"/>
          <w:szCs w:val="18"/>
        </w:rPr>
        <w:t xml:space="preserve">
   https://www.globalccsinstitute.com/ccs-in-europe-a-regional-overview/</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26</w:t>
      </w:r>
      <w:r>
        <w:rPr>
          <w:rFonts w:ascii="Calibri" w:cs="Calibri" w:eastAsia="Calibri" w:hAnsi="Calibri"/>
          <w:b w:val="false"/>
          <w:bCs w:val="false"/>
          <w:color w:val="1A1A1A"/>
          <w:sz w:val="20"/>
          <w:szCs w:val="20"/>
        </w:rPr>
        <w:t xml:space="preserve">. Deployment Incentives for CDR – EU vs. US Comparison</w:t>
      </w:r>
      <w:r>
        <w:rPr>
          <w:rFonts w:ascii="Calibri" w:cs="Calibri" w:eastAsia="Calibri" w:hAnsi="Calibri"/>
          <w:i/>
          <w:iCs/>
          <w:color w:val="595959"/>
          <w:sz w:val="18"/>
          <w:szCs w:val="18"/>
        </w:rPr>
        <w:t xml:space="preserve">
   https://tracker.carbongap.org/regional-analysis/eu-us-comparison/deployment-incentives/</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27</w:t>
      </w:r>
      <w:r>
        <w:rPr>
          <w:rFonts w:ascii="Calibri" w:cs="Calibri" w:eastAsia="Calibri" w:hAnsi="Calibri"/>
          <w:b w:val="false"/>
          <w:bCs w:val="false"/>
          <w:color w:val="1A1A1A"/>
          <w:sz w:val="20"/>
          <w:szCs w:val="20"/>
        </w:rPr>
        <w:t xml:space="preserve">. Carbon Removal Policy – EU vs. US Summary Report</w:t>
      </w:r>
      <w:r>
        <w:rPr>
          <w:rFonts w:ascii="Calibri" w:cs="Calibri" w:eastAsia="Calibri" w:hAnsi="Calibri"/>
          <w:i/>
          <w:iCs/>
          <w:color w:val="595959"/>
          <w:sz w:val="18"/>
          <w:szCs w:val="18"/>
        </w:rPr>
        <w:t xml:space="preserve">
   https://tracker.carbongap.org/regional-analyses/eu-us-final-report/</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28</w:t>
      </w:r>
      <w:r>
        <w:rPr>
          <w:rFonts w:ascii="Calibri" w:cs="Calibri" w:eastAsia="Calibri" w:hAnsi="Calibri"/>
          <w:b w:val="false"/>
          <w:bCs w:val="false"/>
          <w:color w:val="1A1A1A"/>
          <w:sz w:val="20"/>
          <w:szCs w:val="20"/>
        </w:rPr>
        <w:t xml:space="preserve">. EU 2040 Climate Targets: Emissions Reduction &amp; Carbon Removal</w:t>
      </w:r>
      <w:r>
        <w:rPr>
          <w:rFonts w:ascii="Calibri" w:cs="Calibri" w:eastAsia="Calibri" w:hAnsi="Calibri"/>
          <w:i/>
          <w:iCs/>
          <w:color w:val="595959"/>
          <w:sz w:val="18"/>
          <w:szCs w:val="18"/>
        </w:rPr>
        <w:t xml:space="preserve">
   https://tracker.carbongap.org/policy/2040-targets/</w:t>
      </w:r>
      <w:r>
        <w:rPr>
          <w:rFonts w:ascii="Calibri" w:cs="Calibri" w:eastAsia="Calibri" w:hAnsi="Calibri"/>
          <w:color w:val="C9A961"/>
          <w:sz w:val="18"/>
          <w:szCs w:val="18"/>
        </w:rPr>
        <w:t xml:space="preserve">  ★★★</w:t>
      </w:r>
    </w:p>
    <w:p>
      <w:pPr>
        <w:spacing w:after="80" w:before="80"/>
        <w:ind w:left="360"/>
      </w:pPr>
      <w:r>
        <w:rPr>
          <w:rFonts w:ascii="Calibri" w:cs="Calibri" w:eastAsia="Calibri" w:hAnsi="Calibri"/>
          <w:b/>
          <w:bCs/>
          <w:color w:val="1F3A5F"/>
          <w:sz w:val="20"/>
          <w:szCs w:val="20"/>
        </w:rPr>
        <w:t xml:space="preserve">29</w:t>
      </w:r>
      <w:r>
        <w:rPr>
          <w:rFonts w:ascii="Calibri" w:cs="Calibri" w:eastAsia="Calibri" w:hAnsi="Calibri"/>
          <w:b w:val="false"/>
          <w:bCs w:val="false"/>
          <w:color w:val="1A1A1A"/>
          <w:sz w:val="20"/>
          <w:szCs w:val="20"/>
        </w:rPr>
        <w:t xml:space="preserve">. EU Climate Law – Net Zero Targets &amp; CDR Context</w:t>
      </w:r>
      <w:r>
        <w:rPr>
          <w:rFonts w:ascii="Calibri" w:cs="Calibri" w:eastAsia="Calibri" w:hAnsi="Calibri"/>
          <w:i/>
          <w:iCs/>
          <w:color w:val="595959"/>
          <w:sz w:val="18"/>
          <w:szCs w:val="18"/>
        </w:rPr>
        <w:t xml:space="preserve">
   https://tracker.carbongap.org/policy/eu-climate-law/</w:t>
      </w:r>
      <w:r>
        <w:rPr>
          <w:rFonts w:ascii="Calibri" w:cs="Calibri" w:eastAsia="Calibri" w:hAnsi="Calibri"/>
          <w:color w:val="C9A961"/>
          <w:sz w:val="18"/>
          <w:szCs w:val="18"/>
        </w:rPr>
        <w:t xml:space="preserve">  ★★★</w:t>
      </w:r>
    </w:p>
    <w:p>
      <w:pPr>
        <w:spacing w:after="120" w:before="0"/>
      </w:pPr>
    </w:p>
    <w:p>
      <w:pPr>
        <w:spacing w:after="200" w:before="0"/>
      </w:pPr>
    </w:p>
    <w:tbl>
      <w:tblPr>
        <w:tblW w:type="dxa" w:w="9360"/>
        <w:tblBorders>
          <w:top w:val="none" w:color="auto" w:sz="0"/>
          <w:left w:val="none" w:color="auto" w:sz="0"/>
          <w:bottom w:val="none" w:color="auto" w:sz="0"/>
          <w:right w:val="none" w:color="auto" w:sz="0"/>
          <w:insideH w:val="none" w:color="auto" w:sz="0"/>
          <w:insideV w:val="none" w:color="auto" w:sz="0"/>
        </w:tblBorders>
      </w:tblPr>
      <w:tblGrid>
        <w:gridCol w:w="9360"/>
      </w:tblGrid>
      <w:tr>
        <w:tc>
          <w:tcPr>
            <w:tcW w:type="dxa" w:w="9360"/>
            <w:tcBorders>
              <w:top w:val="none" w:color="auto" w:sz="0"/>
              <w:left w:val="single" w:color="C9A961" w:sz="32"/>
              <w:bottom w:val="none" w:color="auto" w:sz="0"/>
              <w:right w:val="none" w:color="auto" w:sz="0"/>
            </w:tcBorders>
            <w:shd w:fill="F0E4C4" w:color="auto" w:val="clear"/>
            <w:tcMar>
              <w:top w:type="dxa" w:w="120"/>
              <w:left w:type="dxa" w:w="200"/>
              <w:bottom w:type="dxa" w:w="120"/>
              <w:right w:type="dxa" w:w="200"/>
            </w:tcMar>
          </w:tcPr>
          <w:p>
            <w:pPr>
              <w:spacing w:after="80" w:before="0"/>
            </w:pPr>
            <w:r>
              <w:rPr>
                <w:rFonts w:ascii="Calibri" w:cs="Calibri" w:eastAsia="Calibri" w:hAnsi="Calibri"/>
                <w:b/>
                <w:bCs/>
                <w:color w:val="C9A961"/>
                <w:sz w:val="22"/>
                <w:szCs w:val="22"/>
              </w:rPr>
              <w:t xml:space="preserve">Методологическая заметка</w:t>
            </w:r>
          </w:p>
          <w:p>
            <w:pPr>
              <w:spacing w:after="0" w:before="0"/>
            </w:pPr>
            <w:r>
              <w:rPr>
                <w:rFonts w:ascii="Calibri" w:cs="Calibri" w:eastAsia="Calibri" w:hAnsi="Calibri"/>
                <w:color w:val="1A1A1A"/>
                <w:sz w:val="20"/>
                <w:szCs w:val="20"/>
              </w:rPr>
              <w:t xml:space="preserve">Отчёт основан на мета-анализе нескольких независимых исследовательских источников.</w:t>
            </w:r>
            <w:r>
              <w:rPr>
                <w:rFonts w:ascii="Calibri" w:cs="Calibri" w:eastAsia="Calibri" w:hAnsi="Calibri"/>
                <w:color w:val="1A1A1A"/>
                <w:sz w:val="20"/>
                <w:szCs w:val="20"/>
              </w:rPr>
              <w:br/>
              <w:t xml:space="preserve">Система надёжности: ★★★ высокая, ★★☆ средняя, ★☆☆ низкая.</w:t>
            </w:r>
            <w:r>
              <w:rPr>
                <w:rFonts w:ascii="Calibri" w:cs="Calibri" w:eastAsia="Calibri" w:hAnsi="Calibri"/>
                <w:color w:val="1A1A1A"/>
                <w:sz w:val="20"/>
                <w:szCs w:val="20"/>
              </w:rPr>
              <w:br/>
              <w:t xml:space="preserve">Числовые показатели сопровождаются ссылками [N] на соответствующий источник.</w:t>
            </w:r>
            <w:r>
              <w:rPr>
                <w:rFonts w:ascii="Calibri" w:cs="Calibri" w:eastAsia="Calibri" w:hAnsi="Calibri"/>
                <w:color w:val="1A1A1A"/>
                <w:sz w:val="20"/>
                <w:szCs w:val="20"/>
              </w:rPr>
              <w:br/>
              <w:t xml:space="preserve">При расхождении данных между источниками принималась наиболее методологически обоснованная цифра.</w:t>
            </w:r>
          </w:p>
        </w:tc>
      </w:tr>
    </w:tbl>
    <w:sectPr>
      <w:headerReference w:type="default" r:id="rId7"/>
      <w:footerReference w:type="default" r:id="rId8"/>
      <w:type w:val="continuous"/>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4" w:space="1"/>
      </w:pBdr>
      <w:tabs>
        <w:tab w:val="right" w:pos="9360"/>
      </w:tabs>
      <w:spacing w:after="0" w:before="80"/>
    </w:pPr>
    <w:r>
      <w:rPr>
        <w:rFonts w:ascii="Calibri" w:cs="Calibri" w:eastAsia="Calibri" w:hAnsi="Calibri"/>
        <w:color w:val="595959"/>
        <w:sz w:val="18"/>
        <w:szCs w:val="18"/>
      </w:rPr>
      <w:t xml:space="preserve">Smart Report AI</w:t>
    </w:r>
    <w:r>
      <w:rPr>
        <w:rFonts w:ascii="Calibri" w:cs="Calibri" w:eastAsia="Calibri" w:hAnsi="Calibri"/>
        <w:color w:val="595959"/>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1"/>
      </w:pBdr>
      <w:spacing w:after="120" w:before="0"/>
    </w:pPr>
    <w:r>
      <w:rPr>
        <w:rFonts w:ascii="Calibri" w:cs="Calibri" w:eastAsia="Calibri" w:hAnsi="Calibri"/>
        <w:color w:val="595959"/>
        <w:sz w:val="18"/>
        <w:szCs w:val="18"/>
      </w:rPr>
      <w:t xml:space="preserve">How is Direct Air Capture regulated in the EU and what su...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Calibri" w:cs="Calibri" w:eastAsia="Calibri" w:hAnsi="Calibri"/>
        <w:sz w:val="22"/>
        <w:szCs w:val="22"/>
      </w:rPr>
    </w:lvl>
    <w:lvl w:ilvl="1" w15:tentative="1">
      <w:start w:val="1"/>
      <w:numFmt w:val="bullet"/>
      <w:lvlText w:val="◦"/>
      <w:lvlJc w:val="left"/>
      <w:pPr>
        <w:spacing w:after="40" w:before="40"/>
        <w:ind w:left="1440" w:hanging="360"/>
      </w:pPr>
      <w:rPr>
        <w:rFonts w:ascii="Calibri" w:cs="Calibri" w:eastAsia="Calibri" w:hAnsi="Calibri"/>
        <w:sz w:val="20"/>
        <w:szCs w:val="20"/>
      </w:rPr>
    </w:lvl>
  </w:abstractNum>
  <w:abstractNum w:abstractNumId="3" w15:restartNumberingAfterBreak="0">
    <w:multiLevelType w:val="hybridMultilevel"/>
    <w:lvl w:ilvl="0" w15:tentative="1">
      <w:start w:val="1"/>
      <w:numFmt w:val="decimal"/>
      <w:lvlText w:val="%1."/>
      <w:lvlJc w:val="left"/>
      <w:pPr>
        <w:spacing w:after="60" w:before="60"/>
        <w:ind w:left="720" w:hanging="360"/>
      </w:pPr>
      <w:rPr>
        <w:rFonts w:ascii="Calibri" w:cs="Calibri" w:eastAsia="Calibri" w:hAnsi="Calibri"/>
        <w:sz w:val="22"/>
        <w:szCs w:val="22"/>
      </w:rPr>
    </w:lvl>
    <w:lvl w:ilvl="1" w15:tentative="1">
      <w:start w:val="1"/>
      <w:numFmt w:val="lowerLetter"/>
      <w:lvlText w:val="%2)"/>
      <w:lvlJc w:val="left"/>
      <w:pPr>
        <w:spacing w:after="40" w:before="40"/>
        <w:ind w:left="1440" w:hanging="360"/>
      </w:pPr>
      <w:rPr>
        <w:rFonts w:ascii="Calibri" w:cs="Calibri" w:eastAsia="Calibri" w:hAnsi="Calibri"/>
        <w:sz w:val="20"/>
        <w:szCs w:val="2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F3A5F"/>
      <w:sz w:val="64"/>
      <w:szCs w:val="64"/>
    </w:rPr>
  </w:style>
  <w:style w:type="paragraph" w:styleId="Heading2">
    <w:name w:val="heading 2"/>
    <w:basedOn w:val="Normal"/>
    <w:next w:val="Normal"/>
    <w:qFormat/>
    <w:pPr>
      <w:spacing w:after="160" w:before="360"/>
      <w:outlineLvl w:val="1"/>
    </w:pPr>
    <w:rPr>
      <w:rFonts w:ascii="Calibri" w:cs="Calibri" w:eastAsia="Calibri" w:hAnsi="Calibri"/>
      <w:b/>
      <w:bCs/>
      <w:color w:val="1F3A5F"/>
      <w:sz w:val="52"/>
      <w:szCs w:val="52"/>
    </w:rPr>
  </w:style>
  <w:style w:type="paragraph" w:styleId="Heading3">
    <w:name w:val="heading 3"/>
    <w:basedOn w:val="Normal"/>
    <w:next w:val="Normal"/>
    <w:qFormat/>
    <w:pPr>
      <w:spacing w:after="120" w:before="280"/>
      <w:outlineLvl w:val="2"/>
    </w:pPr>
    <w:rPr>
      <w:rFonts w:ascii="Calibri" w:cs="Calibri" w:eastAsia="Calibri" w:hAnsi="Calibri"/>
      <w:b/>
      <w:bCs/>
      <w:color w:val="1F3A5F"/>
      <w:sz w:val="44"/>
      <w:szCs w:val="44"/>
    </w:rPr>
  </w:style>
  <w:style w:type="paragraph" w:styleId="Normal">
    <w:name w:val="Normal"/>
    <w:pPr>
      <w:spacing w:after="120"/>
    </w:pPr>
    <w:rPr>
      <w:rFonts w:ascii="Calibri" w:cs="Calibri" w:eastAsia="Calibri" w:hAnsi="Calibri"/>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2026-04-25T23:08:58.873Z</dcterms:created>
  <dcterms:modified xsi:type="dcterms:W3CDTF">2026-04-25T23:08:58.873Z</dcterms:modified>
</cp:coreProperties>
</file>

<file path=docProps/custom.xml><?xml version="1.0" encoding="utf-8"?>
<Properties xmlns="http://schemas.openxmlformats.org/officeDocument/2006/custom-properties" xmlns:vt="http://schemas.openxmlformats.org/officeDocument/2006/docPropsVTypes"/>
</file>