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color w:val="555555"/>
          <w:sz w:val="20"/>
        </w:rPr>
        <w:t>[ ЛОГОТИП ]</w:t>
      </w:r>
    </w:p>
    <w:p/>
    <w:p/>
    <w:p>
      <w:pPr>
        <w:jc w:val="center"/>
      </w:pPr>
      <w:r>
        <w:rPr>
          <w:rFonts w:ascii="Arial" w:hAnsi="Arial"/>
          <w:b/>
          <w:color w:val="1B3A5C"/>
          <w:sz w:val="56"/>
        </w:rPr>
        <w:t>АНАЛИТИЧЕСКИЙ ОТЧЁТ</w:t>
      </w:r>
    </w:p>
    <w:p>
      <w:pPr>
        <w:jc w:val="center"/>
      </w:pPr>
      <w:r>
        <w:rPr>
          <w:rFonts w:ascii="Arial" w:hAnsi="Arial"/>
          <w:color w:val="1B3A5C"/>
          <w:sz w:val="28"/>
        </w:rPr>
        <w:t>Какие мировые тренды 2025–2030 повлияют на жилое строительство в России — технологические, демографические, экономические, культурные, экологические</w:t>
      </w:r>
    </w:p>
    <w:p/>
    <w:p/>
    <w:p/>
    <w:p/>
    <w:p>
      <w:pPr>
        <w:jc w:val="center"/>
      </w:pPr>
      <w:r>
        <w:rPr>
          <w:color w:val="1B3A5C"/>
        </w:rPr>
        <w:t>————————————————————</w:t>
      </w:r>
    </w:p>
    <w:p>
      <w:pPr>
        <w:jc w:val="center"/>
      </w:pPr>
      <w:r>
        <w:rPr>
          <w:rFonts w:ascii="Arial" w:hAnsi="Arial"/>
          <w:color w:val="555555"/>
          <w:sz w:val="24"/>
        </w:rPr>
        <w:t>15.04.2026</w:t>
      </w:r>
    </w:p>
    <w:p>
      <w:pPr>
        <w:jc w:val="center"/>
      </w:pPr>
      <w:r>
        <w:rPr>
          <w:rFonts w:ascii="Arial" w:hAnsi="Arial"/>
          <w:color w:val="555555"/>
          <w:sz w:val="22"/>
        </w:rPr>
        <w:t>5 доменов · 0 блоков · 0 кросс-доменных связей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Оглавление</w:t>
      </w:r>
    </w:p>
    <w:p>
      <w:r>
        <w:fldChar w:fldCharType="begin"/>
        <w:instrText xml:space="preserve">TOC \o "1-3" \h \z \u</w:instrText>
        <w:fldChar w:fldCharType="separate"/>
        <w:t>Оглавление — обновите через F9 в Word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Executive Summary</w:t>
      </w:r>
    </w:p>
    <w:p>
      <w:r>
        <w:rPr>
          <w:rFonts w:ascii="Arial" w:hAnsi="Arial"/>
          <w:b w:val="0"/>
          <w:sz w:val="22"/>
        </w:rPr>
        <w:t>Executive Summary не был сгенерирован.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Карта матрицы доменов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93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15-world-trends-housing-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Рис. 1. Визуальная схема доменов и слоёв (цвет = приоритет).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Ключевые метрики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17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15-world-trends-housing-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Рис. 2. Ключевые цифры отчёта с источниками.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Тепловая карта приоритетов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65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15-world-trends-housing-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Рис. 3. Где золото, где пусто: приоритет по ячейкам матрицы.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Блоки (по приоритету)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Приложение A. Список источников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Приложение B. Пробелы и куда копать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