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F451" w14:textId="77777777" w:rsidR="00622382" w:rsidRDefault="00E220C2" w:rsidP="00622382">
      <w:r>
        <w:t xml:space="preserve">Goal: </w:t>
      </w:r>
      <w:r w:rsidR="00622382">
        <w:t xml:space="preserve">Use truncated SBP with </w:t>
      </w:r>
      <w:r>
        <w:t xml:space="preserve">covariates </w:t>
      </w:r>
      <w:r w:rsidR="00622382">
        <w:t xml:space="preserve">to </w:t>
      </w:r>
      <w:r w:rsidR="00415622">
        <w:t xml:space="preserve">simultaneously perform </w:t>
      </w:r>
      <w:r w:rsidR="00622382">
        <w:t xml:space="preserve">model selection </w:t>
      </w:r>
      <w:r w:rsidR="00415622">
        <w:t xml:space="preserve">on </w:t>
      </w:r>
      <w:r w:rsidR="00622382">
        <w:t>covariates and number of groups</w:t>
      </w:r>
    </w:p>
    <w:p w14:paraId="2A489E92" w14:textId="77777777" w:rsidR="00622382" w:rsidRDefault="00E220C2" w:rsidP="00622382">
      <w:r>
        <w:t xml:space="preserve">Model: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be the species of individual i in location l. We assume that:</w:t>
      </w:r>
    </w:p>
    <w:p w14:paraId="3EF80408" w14:textId="77777777" w:rsidR="00622382" w:rsidRPr="00E220C2" w:rsidRDefault="00B020D5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BF7B33" w14:textId="77777777" w:rsidR="00E220C2" w:rsidRPr="00D4637E" w:rsidRDefault="00E220C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is a latent variable indicating the group membership of individual i in location </w:t>
      </w:r>
      <w:proofErr w:type="gramStart"/>
      <w:r>
        <w:rPr>
          <w:rFonts w:eastAsiaTheme="minorEastAsia"/>
        </w:rPr>
        <w:t>l.</w:t>
      </w:r>
      <w:proofErr w:type="gramEnd"/>
      <w:r>
        <w:rPr>
          <w:rFonts w:eastAsiaTheme="minorEastAsia"/>
        </w:rPr>
        <w:t xml:space="preserve"> We assume that:</w:t>
      </w:r>
    </w:p>
    <w:p w14:paraId="0BE63AA2" w14:textId="77777777" w:rsidR="00622382" w:rsidRPr="004C1C02" w:rsidRDefault="00B020D5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1A6409EF" w14:textId="77777777"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14:paraId="0ADDC854" w14:textId="77777777" w:rsidR="00622382" w:rsidRPr="00D4637E" w:rsidRDefault="00B020D5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∼Dirichlet(0.1)</m:t>
          </m:r>
        </m:oMath>
      </m:oMathPara>
    </w:p>
    <w:p w14:paraId="795B0253" w14:textId="77777777"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14:paraId="337512C1" w14:textId="5CC1B368" w:rsidR="00622382" w:rsidRPr="00BB5ECD" w:rsidRDefault="00B020D5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nary>
        </m:oMath>
      </m:oMathPara>
    </w:p>
    <w:p w14:paraId="57A294F9" w14:textId="19742897" w:rsidR="006C2BCF" w:rsidRPr="00B020D5" w:rsidRDefault="00B020D5" w:rsidP="006C2BC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845EED7" w14:textId="7647B2E4" w:rsidR="00B020D5" w:rsidRPr="008B71C0" w:rsidRDefault="00B020D5" w:rsidP="006C2BCF">
      <w:pPr>
        <w:spacing w:line="480" w:lineRule="auto"/>
        <w:rPr>
          <w:rFonts w:eastAsiaTheme="minorEastAsia"/>
          <w:b/>
        </w:rPr>
      </w:pPr>
      <w:r w:rsidRPr="008B71C0">
        <w:rPr>
          <w:rFonts w:eastAsiaTheme="minorEastAsia"/>
          <w:highlight w:val="yellow"/>
        </w:rPr>
        <w:t xml:space="preserve">Should I make this a t-distribution by </w:t>
      </w:r>
      <w:r w:rsidR="008B71C0" w:rsidRPr="008B71C0">
        <w:rPr>
          <w:rFonts w:eastAsiaTheme="minorEastAsia"/>
          <w:highlight w:val="yellow"/>
        </w:rPr>
        <w:t xml:space="preserve">assuming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l</m:t>
            </m:r>
            <m:r>
              <w:rPr>
                <w:rFonts w:ascii="Cambria Math" w:hAnsi="Cambria Math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bSup>
      </m:oMath>
      <w:r w:rsidR="008B71C0" w:rsidRPr="008B71C0">
        <w:rPr>
          <w:rFonts w:eastAsiaTheme="minorEastAsia"/>
          <w:highlight w:val="yellow"/>
        </w:rPr>
        <w:t xml:space="preserve"> where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lk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highlight w:val="yellow"/>
          </w:rPr>
          <m:t>~Gamma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v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  <m:r>
              <w:rPr>
                <w:rFonts w:ascii="Cambria Math" w:hAnsi="Cambria Math"/>
                <w:highlight w:val="yellow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v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e>
        </m:d>
      </m:oMath>
      <w:proofErr w:type="gramStart"/>
      <w:r w:rsidR="008B71C0">
        <w:rPr>
          <w:rFonts w:eastAsiaTheme="minorEastAsia"/>
          <w:highlight w:val="yellow"/>
        </w:rPr>
        <w:t xml:space="preserve">? </w:t>
      </w:r>
      <w:proofErr w:type="gramEnd"/>
      <w:r w:rsidR="008B71C0">
        <w:rPr>
          <w:rFonts w:eastAsiaTheme="minorEastAsia"/>
          <w:highlight w:val="yellow"/>
        </w:rPr>
        <w:t xml:space="preserve">This assumes that </w:t>
      </w:r>
      <m:oMath>
        <m:r>
          <w:rPr>
            <w:rFonts w:ascii="Cambria Math" w:eastAsiaTheme="minorEastAsia" w:hAnsi="Cambria Math"/>
            <w:highlight w:val="yellow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lk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=1</m:t>
        </m:r>
      </m:oMath>
      <w:r w:rsidR="00C2633F" w:rsidRPr="00C2633F">
        <w:rPr>
          <w:rFonts w:eastAsiaTheme="minorEastAsia"/>
          <w:highlight w:val="yellow"/>
        </w:rPr>
        <w:t>. Perhaps</w:t>
      </w:r>
      <w:bookmarkStart w:id="0" w:name="_GoBack"/>
      <w:bookmarkEnd w:id="0"/>
      <w:r w:rsidR="00C2633F" w:rsidRPr="00C2633F">
        <w:rPr>
          <w:rFonts w:eastAsiaTheme="minorEastAsia"/>
          <w:highlight w:val="yellow"/>
        </w:rPr>
        <w:t xml:space="preserve"> we should start by assuming that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bSup>
        <m:r>
          <w:rPr>
            <w:rFonts w:ascii="Cambria Math" w:hAnsi="Cambria Math"/>
            <w:highlight w:val="yellow"/>
          </w:rPr>
          <m:t>=1</m:t>
        </m:r>
      </m:oMath>
      <w:r w:rsidR="00C2633F" w:rsidRPr="00C2633F">
        <w:rPr>
          <w:rFonts w:eastAsiaTheme="minorEastAsia"/>
          <w:highlight w:val="yellow"/>
        </w:rPr>
        <w:t xml:space="preserve"> to avoid making this too complex too soon</w:t>
      </w:r>
      <w:r w:rsidR="00C2633F">
        <w:rPr>
          <w:rFonts w:eastAsiaTheme="minorEastAsia"/>
          <w:highlight w:val="yellow"/>
        </w:rPr>
        <w:t xml:space="preserve"> </w:t>
      </w:r>
      <w:r w:rsidR="008B71C0">
        <w:rPr>
          <w:rFonts w:eastAsiaTheme="minorEastAsia"/>
          <w:highlight w:val="yellow"/>
        </w:rPr>
        <w:t xml:space="preserve">  </w:t>
      </w:r>
      <w:r w:rsidR="008B71C0">
        <w:rPr>
          <w:rFonts w:eastAsiaTheme="minorEastAsia"/>
        </w:rPr>
        <w:t xml:space="preserve"> </w:t>
      </w:r>
    </w:p>
    <w:p w14:paraId="6D58B1C3" w14:textId="77777777" w:rsidR="00622382" w:rsidRDefault="00622382">
      <w:r>
        <w:t>#----------------------------------------</w:t>
      </w:r>
    </w:p>
    <w:p w14:paraId="7EA87781" w14:textId="77777777"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14:paraId="1FFD7ED6" w14:textId="1DA5EE9B" w:rsidR="00CA4C28" w:rsidRDefault="00B020D5" w:rsidP="00CA4C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9FF5F69" w14:textId="73ACC773" w:rsidR="006C2BCF" w:rsidRPr="006C2BCF" w:rsidRDefault="00CA4C28" w:rsidP="00BB5EC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5CC1EF9" w14:textId="49A33E0A" w:rsidR="006C2BCF" w:rsidRPr="006C2BCF" w:rsidRDefault="006C2BCF" w:rsidP="00BB5EC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E77C3E7" w14:textId="26972C7D" w:rsidR="006C2BCF" w:rsidRPr="006C2BCF" w:rsidRDefault="006C2BCF" w:rsidP="006C2B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20985AA7" w14:textId="3A6688D6" w:rsidR="006C2BCF" w:rsidRPr="006C2BCF" w:rsidRDefault="006C2BCF" w:rsidP="006C2B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7692F4D" w14:textId="18E74E6B" w:rsidR="006C2BCF" w:rsidRPr="006C2BCF" w:rsidRDefault="006C2BCF" w:rsidP="006C2B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312501D" w14:textId="6C6A3516" w:rsidR="006C2BCF" w:rsidRDefault="006C2BCF" w:rsidP="006C2BC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1837598" w14:textId="3E79F7FE" w:rsidR="006C2BCF" w:rsidRPr="006C2BCF" w:rsidRDefault="006C2BCF" w:rsidP="006C2B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48E8D44" w14:textId="119A665D" w:rsidR="002E7227" w:rsidRDefault="00B020D5" w:rsidP="002E72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</m:e>
        </m:d>
      </m:oMath>
    </w:p>
    <w:p w14:paraId="6DC2D53C" w14:textId="1CC18650" w:rsidR="002E7227" w:rsidRDefault="002E7227" w:rsidP="002E7227">
      <w:pPr>
        <w:rPr>
          <w:rFonts w:eastAsiaTheme="minorEastAsia"/>
        </w:rPr>
      </w:pPr>
      <w:r w:rsidRPr="002E7227">
        <w:rPr>
          <w:rFonts w:eastAsiaTheme="minorEastAsia"/>
        </w:rPr>
        <w:t xml:space="preserve">I will </w:t>
      </w:r>
      <w:r>
        <w:rPr>
          <w:rFonts w:eastAsiaTheme="minorEastAsia"/>
        </w:rPr>
        <w:t xml:space="preserve">jointly </w:t>
      </w:r>
      <w:r w:rsidRPr="002E7227">
        <w:rPr>
          <w:rFonts w:eastAsiaTheme="minorEastAsia"/>
        </w:rPr>
        <w:t xml:space="preserve">sample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</m:e>
        </m:d>
      </m:oMath>
    </w:p>
    <w:p w14:paraId="474A5D90" w14:textId="11997BAB" w:rsidR="002E7227" w:rsidRPr="002E7227" w:rsidRDefault="002E7227" w:rsidP="002E722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>, notice that:</w:t>
      </w:r>
    </w:p>
    <w:p w14:paraId="5BCE3874" w14:textId="76B2B592" w:rsidR="002E7227" w:rsidRPr="002E7227" w:rsidRDefault="002E7227" w:rsidP="002E722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,v</m:t>
              </m:r>
            </m:e>
          </m:d>
        </m:oMath>
      </m:oMathPara>
    </w:p>
    <w:p w14:paraId="0175D665" w14:textId="6EC30BAF" w:rsidR="002E7227" w:rsidRPr="00E220C2" w:rsidRDefault="002E7227" w:rsidP="002E722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×…×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AC9DD90" w14:textId="77777777" w:rsidR="002E7227" w:rsidRDefault="002E7227" w:rsidP="002E7227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2D45E289" w14:textId="4FF0E384" w:rsidR="002E7227" w:rsidRPr="007A5164" w:rsidRDefault="002E7227" w:rsidP="002E72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2963EF" w14:textId="482A1421" w:rsidR="002E7227" w:rsidRDefault="002E7227" w:rsidP="002E7227">
      <w:pPr>
        <w:rPr>
          <w:rFonts w:eastAsiaTheme="minorEastAsia"/>
        </w:rPr>
      </w:pPr>
      <w:r>
        <w:rPr>
          <w:rFonts w:eastAsiaTheme="minorEastAsia"/>
        </w:rPr>
        <w:t>I will sample this using a MH algorithm. Notice that these parameters can be sampled independently for each location. Thus, we just need a community loop.</w:t>
      </w:r>
    </w:p>
    <w:p w14:paraId="1539530A" w14:textId="2691FA0B" w:rsidR="006C2BCF" w:rsidRPr="006C2BCF" w:rsidRDefault="002E7227" w:rsidP="002E722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>, I can use a categorical distribution with probabilities given by:</w:t>
      </w:r>
    </w:p>
    <w:p w14:paraId="74B894E8" w14:textId="77777777"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14:paraId="68358BA1" w14:textId="77777777"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693A895C" w14:textId="77777777"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|0.1)</m:t>
          </m:r>
        </m:oMath>
      </m:oMathPara>
    </w:p>
    <w:p w14:paraId="05B48184" w14:textId="77777777" w:rsidR="00CF6BCC" w:rsidRPr="00A65FB9" w:rsidRDefault="00CF6BCC" w:rsidP="00CF6BC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0.1-1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0.1-1</m:t>
              </m:r>
            </m:sup>
          </m:sSubSup>
        </m:oMath>
      </m:oMathPara>
    </w:p>
    <w:p w14:paraId="78D9586D" w14:textId="77777777" w:rsidR="00A65FB9" w:rsidRPr="007D77B4" w:rsidRDefault="00A65FB9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+0.1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+0.1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452245A2" w14:textId="77777777" w:rsidR="00CF6BCC" w:rsidRDefault="00CF6BCC" w:rsidP="00CF6BCC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14:paraId="47866656" w14:textId="49324147" w:rsidR="006C2BCF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+0.1</m:t>
                        </m:r>
                      </m:e>
                    </m:mr>
                  </m:m>
                </m:e>
              </m:d>
            </m:e>
          </m:d>
        </m:oMath>
      </m:oMathPara>
    </w:p>
    <w:p w14:paraId="3A8D4007" w14:textId="69BBF7DA" w:rsidR="00237C89" w:rsidRDefault="00B020D5" w:rsidP="00237C8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7DE0E8E" w14:textId="7ECC91FB" w:rsidR="00237C89" w:rsidRPr="00EF5AFF" w:rsidRDefault="00237C89" w:rsidP="00237C89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391334E5" w14:textId="630EB5AA" w:rsidR="00EF5AFF" w:rsidRPr="00EF5AFF" w:rsidRDefault="00EF5AFF" w:rsidP="00EF5AF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29BE1042" w14:textId="752CDB67" w:rsidR="00EF5AFF" w:rsidRPr="00EF5AFF" w:rsidRDefault="00EF5AFF" w:rsidP="00EF5AF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73416BA2" w14:textId="68D912A7" w:rsidR="00EF5AFF" w:rsidRPr="00EF5AFF" w:rsidRDefault="00EF5AFF" w:rsidP="00EF5AF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54563A6B" w14:textId="1E0A34B6" w:rsidR="00EF5AFF" w:rsidRDefault="00EF5AFF" w:rsidP="00EF5AF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0894E4CA" w14:textId="39267EB9" w:rsidR="00EF5AFF" w:rsidRPr="00EF5AFF" w:rsidRDefault="00EF5AFF" w:rsidP="00EF5AF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2294948A" w14:textId="2DF3E8E2" w:rsidR="00EF5AFF" w:rsidRPr="006C2BCF" w:rsidRDefault="00EF5AFF" w:rsidP="00237C8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It is important to have 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for each community because</w:t>
      </w:r>
      <w:r w:rsidR="00313BB4">
        <w:rPr>
          <w:rFonts w:eastAsiaTheme="minorEastAsia"/>
        </w:rPr>
        <w:t>, i</w:t>
      </w:r>
      <w:r w:rsidRPr="00313BB4">
        <w:rPr>
          <w:rFonts w:eastAsiaTheme="minorEastAsia"/>
        </w:rPr>
        <w:t>f one group is not well explained by the covariates, it doesn’t mess up the variance parameters for the other groups</w:t>
      </w:r>
      <w:r w:rsidR="00313BB4">
        <w:rPr>
          <w:rFonts w:eastAsiaTheme="minorEastAsia"/>
        </w:rPr>
        <w:t>. This is particularly important for the later groups for which we have little data.</w:t>
      </w:r>
    </w:p>
    <w:p w14:paraId="421D8CDC" w14:textId="77777777" w:rsidR="006C2BCF" w:rsidRPr="005605F8" w:rsidRDefault="006C2BCF" w:rsidP="00CF6BCC">
      <w:pPr>
        <w:spacing w:line="480" w:lineRule="auto"/>
      </w:pPr>
    </w:p>
    <w:sectPr w:rsidR="006C2BCF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0D0B"/>
    <w:multiLevelType w:val="hybridMultilevel"/>
    <w:tmpl w:val="7EA4D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28"/>
    <w:rsid w:val="000921B4"/>
    <w:rsid w:val="000B72AE"/>
    <w:rsid w:val="001120F1"/>
    <w:rsid w:val="0014452D"/>
    <w:rsid w:val="001C6540"/>
    <w:rsid w:val="001D2BED"/>
    <w:rsid w:val="0023398E"/>
    <w:rsid w:val="00237C89"/>
    <w:rsid w:val="002E7227"/>
    <w:rsid w:val="00313BB4"/>
    <w:rsid w:val="003D5145"/>
    <w:rsid w:val="00415622"/>
    <w:rsid w:val="0048339B"/>
    <w:rsid w:val="004A0A4E"/>
    <w:rsid w:val="004D47A9"/>
    <w:rsid w:val="0052625A"/>
    <w:rsid w:val="005A5FA7"/>
    <w:rsid w:val="00602FEC"/>
    <w:rsid w:val="00622382"/>
    <w:rsid w:val="006C2BCF"/>
    <w:rsid w:val="007F7943"/>
    <w:rsid w:val="008B71C0"/>
    <w:rsid w:val="009A0920"/>
    <w:rsid w:val="00A407ED"/>
    <w:rsid w:val="00A65FB9"/>
    <w:rsid w:val="00B020D5"/>
    <w:rsid w:val="00B22863"/>
    <w:rsid w:val="00BB5ECD"/>
    <w:rsid w:val="00BD2356"/>
    <w:rsid w:val="00C2633F"/>
    <w:rsid w:val="00CA4C28"/>
    <w:rsid w:val="00CF4A7E"/>
    <w:rsid w:val="00CF6BCC"/>
    <w:rsid w:val="00DB6F20"/>
    <w:rsid w:val="00DD061A"/>
    <w:rsid w:val="00DE4328"/>
    <w:rsid w:val="00E220C2"/>
    <w:rsid w:val="00E90991"/>
    <w:rsid w:val="00EC06F4"/>
    <w:rsid w:val="00ED6A5F"/>
    <w:rsid w:val="00EF5AFF"/>
    <w:rsid w:val="00F42F03"/>
    <w:rsid w:val="00FA4144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649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17</cp:revision>
  <dcterms:created xsi:type="dcterms:W3CDTF">2018-11-08T19:47:00Z</dcterms:created>
  <dcterms:modified xsi:type="dcterms:W3CDTF">2019-05-13T20:27:00Z</dcterms:modified>
</cp:coreProperties>
</file>