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20" w:before="0"/>
        <w:jc w:val="center"/>
      </w:pPr>
      <w:r>
        <w:rPr>
          <w:rFonts w:ascii="Arial" w:cs="Arial" w:eastAsia="Arial" w:hAnsi="Arial"/>
          <w:b/>
          <w:bCs/>
          <w:color w:val="006D77"/>
          <w:sz w:val="80"/>
          <w:szCs w:val="80"/>
        </w:rPr>
        <w:t xml:space="preserve">DRISHTI</w:t>
      </w:r>
    </w:p>
    <w:p>
      <w:pPr>
        <w:spacing w:after="60" w:before="0"/>
        <w:jc w:val="center"/>
      </w:pPr>
      <w:r>
        <w:rPr>
          <w:rFonts w:ascii="Arial" w:cs="Arial" w:eastAsia="Arial" w:hAnsi="Arial"/>
          <w:b/>
          <w:bCs/>
          <w:color w:val="1A1A2E"/>
          <w:sz w:val="34"/>
          <w:szCs w:val="34"/>
        </w:rPr>
        <w:t xml:space="preserve">Diabetic Retinal Imaging with Smartphone Technology</w:t>
      </w:r>
    </w:p>
    <w:p>
      <w:pPr>
        <w:spacing w:after="240" w:before="0"/>
        <w:jc w:val="center"/>
      </w:pPr>
      <w:r>
        <w:rPr>
          <w:rFonts w:ascii="Arial" w:cs="Arial" w:eastAsia="Arial" w:hAnsi="Arial"/>
          <w:b/>
          <w:bCs/>
          <w:color w:val="1A1A2E"/>
          <w:sz w:val="34"/>
          <w:szCs w:val="34"/>
        </w:rPr>
        <w:t xml:space="preserve">and Hyperlocal Intelligence</w:t>
      </w:r>
    </w:p>
    <w:p>
      <w:pPr>
        <w:spacing w:after="600" w:before="0"/>
        <w:jc w:val="center"/>
      </w:pPr>
      <w:r>
        <w:rPr>
          <w:rFonts w:ascii="Arial" w:cs="Arial" w:eastAsia="Arial" w:hAnsi="Arial"/>
          <w:i/>
          <w:iCs/>
          <w:color w:val="83C5BE"/>
          <w:sz w:val="24"/>
          <w:szCs w:val="24"/>
        </w:rPr>
        <w:t xml:space="preserve">A Complete Technical, Clinical &amp; AI Blueprint for Village-Level Diabetic Eye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C5BE" w:sz="2"/>
              <w:left w:val="single" w:color="83C5BE" w:sz="2"/>
              <w:bottom w:val="single" w:color="83C5BE" w:sz="2"/>
              <w:right w:val="single" w:color="83C5BE" w:sz="2"/>
            </w:tcBorders>
            <w:shd w:fill="E8F4F5" w:val="clear"/>
            <w:tcMar>
              <w:top w:type="dxa" w:w="200"/>
              <w:left w:type="dxa" w:w="360"/>
              <w:bottom w:type="dxa" w:w="200"/>
              <w:right w:type="dxa" w:w="360"/>
            </w:tcMar>
          </w:tcPr>
          <w:p>
            <w:pPr>
              <w:jc w:val="center"/>
            </w:pPr>
            <w:r>
              <w:rPr>
                <w:rFonts w:ascii="Arial" w:cs="Arial" w:eastAsia="Arial" w:hAnsi="Arial"/>
                <w:b/>
                <w:bCs/>
                <w:color w:val="006D77"/>
                <w:sz w:val="24"/>
                <w:szCs w:val="24"/>
              </w:rPr>
              <w:t xml:space="preserve">Document Purpose</w:t>
            </w:r>
          </w:p>
          <w:p>
            <w:pPr>
              <w:spacing w:after="80" w:before="0"/>
            </w:pPr>
            <w:r>
              <w:t xml:space="preserve"/>
            </w:r>
          </w:p>
          <w:p>
            <w:pPr>
              <w:jc w:val="both"/>
            </w:pPr>
            <w:r>
              <w:rPr>
                <w:rFonts w:ascii="Arial" w:cs="Arial" w:eastAsia="Arial" w:hAnsi="Arial"/>
                <w:color w:val="1A1A2E"/>
                <w:sz w:val="22"/>
                <w:szCs w:val="22"/>
              </w:rPr>
              <w:t xml:space="preserve">This document provides an exhaustive, plain-language analysis of the DRISHTI system — every hardware component, every AI and machine learning concept, every clinical decision, and every policy integration — explained in full detail. AI/ML terms are highlighted in dedicated boxes throughout. This document is designed to serve as a research paper supplement, grant application reference, and educational resource.</w:t>
            </w:r>
          </w:p>
        </w:tc>
      </w:tr>
    </w:tbl>
    <w:p>
      <w:pPr>
        <w:spacing w:after="400" w:before="0"/>
      </w:pPr>
      <w:r>
        <w:t xml:space="preserve"/>
      </w:r>
    </w:p>
    <w:p>
      <w:pPr>
        <w:spacing w:after="120"/>
        <w:jc w:val="center"/>
      </w:pPr>
      <w:r>
        <w:rPr>
          <w:rFonts w:ascii="Arial" w:cs="Arial" w:eastAsia="Arial" w:hAnsi="Arial"/>
          <w:b/>
          <w:bCs/>
          <w:color w:val="006D77"/>
          <w:sz w:val="22"/>
          <w:szCs w:val="22"/>
        </w:rPr>
        <w:t xml:space="preserve">KEY STATISTICS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D77" w:sz="2"/>
              <w:left w:val="single" w:color="006D77" w:sz="2"/>
              <w:bottom w:val="single" w:color="006D77" w:sz="2"/>
              <w:right w:val="single" w:color="006D77" w:sz="2"/>
            </w:tcBorders>
            <w:shd w:fill="006D77" w:val="clear"/>
            <w:tcMar>
              <w:top w:type="dxa" w:w="120"/>
              <w:left w:type="dxa" w:w="120"/>
              <w:bottom w:type="dxa" w:w="40"/>
              <w:right w:type="dxa" w:w="120"/>
            </w:tcMar>
          </w:tcPr>
          <w:p>
            <w:pPr>
              <w:jc w:val="center"/>
            </w:pPr>
            <w:r>
              <w:rPr>
                <w:rFonts w:ascii="Arial" w:cs="Arial" w:eastAsia="Arial" w:hAnsi="Arial"/>
                <w:b/>
                <w:bCs/>
                <w:color w:val="FFFFFF"/>
                <w:sz w:val="40"/>
                <w:szCs w:val="40"/>
              </w:rPr>
              <w:t xml:space="preserve">463M</w:t>
            </w:r>
          </w:p>
        </w:tc>
        <w:tc>
          <w:tcPr>
            <w:tcW w:type="dxa" w:w="2340"/>
            <w:tcBorders>
              <w:top w:val="single" w:color="006D77" w:sz="2"/>
              <w:left w:val="single" w:color="006D77" w:sz="2"/>
              <w:bottom w:val="single" w:color="006D77" w:sz="2"/>
              <w:right w:val="single" w:color="006D77" w:sz="2"/>
            </w:tcBorders>
            <w:shd w:fill="006D77" w:val="clear"/>
            <w:tcMar>
              <w:top w:type="dxa" w:w="120"/>
              <w:left w:type="dxa" w:w="120"/>
              <w:bottom w:type="dxa" w:w="40"/>
              <w:right w:type="dxa" w:w="120"/>
            </w:tcMar>
          </w:tcPr>
          <w:p>
            <w:pPr>
              <w:jc w:val="center"/>
            </w:pPr>
            <w:r>
              <w:rPr>
                <w:rFonts w:ascii="Arial" w:cs="Arial" w:eastAsia="Arial" w:hAnsi="Arial"/>
                <w:b/>
                <w:bCs/>
                <w:color w:val="FFFFFF"/>
                <w:sz w:val="40"/>
                <w:szCs w:val="40"/>
              </w:rPr>
              <w:t xml:space="preserve">77M</w:t>
            </w:r>
          </w:p>
        </w:tc>
        <w:tc>
          <w:tcPr>
            <w:tcW w:type="dxa" w:w="2340"/>
            <w:tcBorders>
              <w:top w:val="single" w:color="006D77" w:sz="2"/>
              <w:left w:val="single" w:color="006D77" w:sz="2"/>
              <w:bottom w:val="single" w:color="006D77" w:sz="2"/>
              <w:right w:val="single" w:color="006D77" w:sz="2"/>
            </w:tcBorders>
            <w:shd w:fill="006D77" w:val="clear"/>
            <w:tcMar>
              <w:top w:type="dxa" w:w="120"/>
              <w:left w:type="dxa" w:w="120"/>
              <w:bottom w:type="dxa" w:w="40"/>
              <w:right w:type="dxa" w:w="120"/>
            </w:tcMar>
          </w:tcPr>
          <w:p>
            <w:pPr>
              <w:jc w:val="center"/>
            </w:pPr>
            <w:r>
              <w:rPr>
                <w:rFonts w:ascii="Arial" w:cs="Arial" w:eastAsia="Arial" w:hAnsi="Arial"/>
                <w:b/>
                <w:bCs/>
                <w:color w:val="FFFFFF"/>
                <w:sz w:val="40"/>
                <w:szCs w:val="40"/>
              </w:rPr>
              <w:t xml:space="preserve">80%</w:t>
            </w:r>
          </w:p>
        </w:tc>
        <w:tc>
          <w:tcPr>
            <w:tcW w:type="dxa" w:w="2340"/>
            <w:tcBorders>
              <w:top w:val="single" w:color="006D77" w:sz="2"/>
              <w:left w:val="single" w:color="006D77" w:sz="2"/>
              <w:bottom w:val="single" w:color="006D77" w:sz="2"/>
              <w:right w:val="single" w:color="006D77" w:sz="2"/>
            </w:tcBorders>
            <w:shd w:fill="006D77" w:val="clear"/>
            <w:tcMar>
              <w:top w:type="dxa" w:w="120"/>
              <w:left w:type="dxa" w:w="120"/>
              <w:bottom w:type="dxa" w:w="40"/>
              <w:right w:type="dxa" w:w="120"/>
            </w:tcMar>
          </w:tcPr>
          <w:p>
            <w:pPr>
              <w:jc w:val="center"/>
            </w:pPr>
            <w:r>
              <w:rPr>
                <w:rFonts w:ascii="Arial" w:cs="Arial" w:eastAsia="Arial" w:hAnsi="Arial"/>
                <w:b/>
                <w:bCs/>
                <w:color w:val="FFFFFF"/>
                <w:sz w:val="40"/>
                <w:szCs w:val="40"/>
              </w:rPr>
              <w:t xml:space="preserve">₹81</w:t>
            </w:r>
          </w:p>
        </w:tc>
      </w:tr>
      <w:tr>
        <w:tc>
          <w:tcPr>
            <w:tcW w:type="dxa" w:w="2340"/>
            <w:tcBorders>
              <w:top w:val="single" w:color="006D77" w:sz="1"/>
              <w:left w:val="single" w:color="006D77" w:sz="1"/>
              <w:bottom w:val="single" w:color="006D77" w:sz="1"/>
              <w:right w:val="single" w:color="006D77" w:sz="1"/>
            </w:tcBorders>
            <w:shd w:fill="E8F4F5" w:val="clear"/>
            <w:tcMar>
              <w:top w:type="dxa" w:w="40"/>
              <w:left w:type="dxa" w:w="120"/>
              <w:bottom w:type="dxa" w:w="100"/>
              <w:right w:type="dxa" w:w="120"/>
            </w:tcMar>
          </w:tcPr>
          <w:p>
            <w:pPr>
              <w:jc w:val="center"/>
            </w:pPr>
            <w:r>
              <w:rPr>
                <w:rFonts w:ascii="Arial" w:cs="Arial" w:eastAsia="Arial" w:hAnsi="Arial"/>
                <w:color w:val="006D77"/>
                <w:sz w:val="18"/>
                <w:szCs w:val="18"/>
              </w:rPr>
              <w:t xml:space="preserve">Global Diabetics</w:t>
            </w:r>
          </w:p>
        </w:tc>
        <w:tc>
          <w:tcPr>
            <w:tcW w:type="dxa" w:w="2340"/>
            <w:tcBorders>
              <w:top w:val="single" w:color="006D77" w:sz="1"/>
              <w:left w:val="single" w:color="006D77" w:sz="1"/>
              <w:bottom w:val="single" w:color="006D77" w:sz="1"/>
              <w:right w:val="single" w:color="006D77" w:sz="1"/>
            </w:tcBorders>
            <w:shd w:fill="E8F4F5" w:val="clear"/>
            <w:tcMar>
              <w:top w:type="dxa" w:w="40"/>
              <w:left w:type="dxa" w:w="120"/>
              <w:bottom w:type="dxa" w:w="100"/>
              <w:right w:type="dxa" w:w="120"/>
            </w:tcMar>
          </w:tcPr>
          <w:p>
            <w:pPr>
              <w:jc w:val="center"/>
            </w:pPr>
            <w:r>
              <w:rPr>
                <w:rFonts w:ascii="Arial" w:cs="Arial" w:eastAsia="Arial" w:hAnsi="Arial"/>
                <w:color w:val="006D77"/>
                <w:sz w:val="18"/>
                <w:szCs w:val="18"/>
              </w:rPr>
              <w:t xml:space="preserve">India Diabetics</w:t>
            </w:r>
          </w:p>
        </w:tc>
        <w:tc>
          <w:tcPr>
            <w:tcW w:type="dxa" w:w="2340"/>
            <w:tcBorders>
              <w:top w:val="single" w:color="006D77" w:sz="1"/>
              <w:left w:val="single" w:color="006D77" w:sz="1"/>
              <w:bottom w:val="single" w:color="006D77" w:sz="1"/>
              <w:right w:val="single" w:color="006D77" w:sz="1"/>
            </w:tcBorders>
            <w:shd w:fill="E8F4F5" w:val="clear"/>
            <w:tcMar>
              <w:top w:type="dxa" w:w="40"/>
              <w:left w:type="dxa" w:w="120"/>
              <w:bottom w:type="dxa" w:w="100"/>
              <w:right w:type="dxa" w:w="120"/>
            </w:tcMar>
          </w:tcPr>
          <w:p>
            <w:pPr>
              <w:jc w:val="center"/>
            </w:pPr>
            <w:r>
              <w:rPr>
                <w:rFonts w:ascii="Arial" w:cs="Arial" w:eastAsia="Arial" w:hAnsi="Arial"/>
                <w:color w:val="006D77"/>
                <w:sz w:val="18"/>
                <w:szCs w:val="18"/>
              </w:rPr>
              <w:t xml:space="preserve">Preventable Blindness</w:t>
            </w:r>
          </w:p>
        </w:tc>
        <w:tc>
          <w:tcPr>
            <w:tcW w:type="dxa" w:w="2340"/>
            <w:tcBorders>
              <w:top w:val="single" w:color="006D77" w:sz="1"/>
              <w:left w:val="single" w:color="006D77" w:sz="1"/>
              <w:bottom w:val="single" w:color="006D77" w:sz="1"/>
              <w:right w:val="single" w:color="006D77" w:sz="1"/>
            </w:tcBorders>
            <w:shd w:fill="E8F4F5" w:val="clear"/>
            <w:tcMar>
              <w:top w:type="dxa" w:w="40"/>
              <w:left w:type="dxa" w:w="120"/>
              <w:bottom w:type="dxa" w:w="100"/>
              <w:right w:type="dxa" w:w="120"/>
            </w:tcMar>
          </w:tcPr>
          <w:p>
            <w:pPr>
              <w:jc w:val="center"/>
            </w:pPr>
            <w:r>
              <w:rPr>
                <w:rFonts w:ascii="Arial" w:cs="Arial" w:eastAsia="Arial" w:hAnsi="Arial"/>
                <w:color w:val="006D77"/>
                <w:sz w:val="18"/>
                <w:szCs w:val="18"/>
              </w:rPr>
              <w:t xml:space="preserve">Per Screen Cost</w:t>
            </w:r>
          </w:p>
        </w:tc>
      </w:tr>
    </w:tbl>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1: THE PROBLEM — WHY VILLAGE-LEVEL RETINAL SCREENING MATTERS</w:t>
      </w:r>
    </w:p>
    <w:p>
      <w:pPr>
        <w:spacing w:after="10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Diabetic retinopathy (DR) is the most common cause of preventable blindness in working-age adults worldwide. It is caused by damage to the tiny blood vessels that supply oxygen to the retina — the light-sensitive layer at the back of the eye. In diabetes, chronically high blood sugar causes these vessels to weaken, swell, leak, and eventually grow abnormally. By the time a patient notices vision symptoms, significant irreversible damage has often already occurred.</w:t>
      </w:r>
    </w:p>
    <w:p>
      <w:pPr>
        <w:spacing w:after="8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The tragedy of diabetic retinopathy is that it is detectable years before it causes blindness, and early intervention (laser treatment, anti-VEGF injections, blood sugar control) can prevent up to 95% of cases of blindness. The barrier is not medicine. The barrier is access to a retinal examination, which requires a trained ophthalmologist, specialised equipment (a fundus camera or slit lamp), and a functioning hospital or clinic — none of which are routinely available in India's 640,000 villages.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06D77" w:sz="1"/>
              <w:left w:val="single" w:color="006D77" w:sz="8"/>
              <w:bottom w:val="single" w:color="006D77" w:sz="1"/>
              <w:right w:val="single" w:color="006D77" w:sz="1"/>
            </w:tcBorders>
            <w:shd w:fill="E8F4F5" w:val="clear"/>
            <w:tcMar>
              <w:top w:type="dxa" w:w="100"/>
              <w:left w:type="dxa" w:w="200"/>
              <w:bottom w:type="dxa" w:w="100"/>
              <w:right w:type="dxa" w:w="200"/>
            </w:tcMar>
          </w:tcPr>
          <w:p>
            <w:r>
              <w:rPr>
                <w:rFonts w:ascii="Arial" w:cs="Arial" w:eastAsia="Arial" w:hAnsi="Arial"/>
                <w:b/>
                <w:bCs/>
                <w:color w:val="006D77"/>
                <w:sz w:val="20"/>
                <w:szCs w:val="20"/>
              </w:rPr>
              <w:t xml:space="preserve">THE ACCESS CRISIS</w:t>
            </w:r>
          </w:p>
          <w:p>
            <w:pPr>
              <w:spacing w:before="40"/>
            </w:pPr>
            <w:r>
              <w:rPr>
                <w:rFonts w:ascii="Arial" w:cs="Arial" w:eastAsia="Arial" w:hAnsi="Arial"/>
                <w:color w:val="1A1A2E"/>
                <w:sz w:val="21"/>
                <w:szCs w:val="21"/>
              </w:rPr>
              <w:t xml:space="preserve">India has approximately 77 million people with diabetes — the second-largest diabetic population in the world. The government recommends annual retinal screening for every diabetic. There are fewer than 18,000 ophthalmologists in India, almost entirely concentrated in cities and district capitals. A diabetic living in a village in rural Kerala, Tamil Nadu, or Uttar Pradesh has no realistic pathway to annual retinal screening under the current clinic-based model. DRISHTI is designed to close this gap entirely.</w:t>
            </w:r>
          </w:p>
        </w:tc>
      </w:tr>
    </w:tbl>
    <w:p>
      <w:pPr>
        <w:spacing w:after="80" w:before="0"/>
      </w:pPr>
      <w:r>
        <w:t xml:space="preserve"/>
      </w:r>
    </w:p>
    <w:p>
      <w:pPr>
        <w:pStyle w:val="Heading2"/>
        <w:spacing w:after="160" w:before="300"/>
      </w:pPr>
      <w:r>
        <w:rPr>
          <w:rFonts w:ascii="Arial" w:cs="Arial" w:eastAsia="Arial" w:hAnsi="Arial"/>
          <w:b/>
          <w:bCs/>
          <w:color w:val="1A1A2E"/>
          <w:sz w:val="28"/>
          <w:szCs w:val="28"/>
        </w:rPr>
        <w:t xml:space="preserve">1.1 The Three Field Failure Modes That Kill Screening Programmes</w:t>
      </w:r>
    </w:p>
    <w:p>
      <w:pPr>
        <w:spacing w:after="120" w:before="80"/>
        <w:jc w:val="both"/>
      </w:pPr>
      <w:r>
        <w:rPr>
          <w:rFonts w:ascii="Arial" w:cs="Arial" w:eastAsia="Arial" w:hAnsi="Arial"/>
          <w:b w:val="false"/>
          <w:bCs w:val="false"/>
          <w:i w:val="false"/>
          <w:iCs w:val="false"/>
          <w:color w:val="1A1A2E"/>
          <w:sz w:val="22"/>
          <w:szCs w:val="22"/>
        </w:rPr>
        <w:t xml:space="preserve">Every prior attempt at village-level retinal screening has failed due to one or more of three recurring problems. DRISHTI is architecturally designed around eliminating all three:</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Image Quality Failure: Non-specialist health workers take blurry, incorrectly framed, or poorly lit retinal photographs. These images are unreadable by any AI system. Traditional programmes see up to 40% image rejection rates from field conditions.</w:t>
      </w:r>
    </w:p>
    <w:p>
      <w:pPr>
        <w:pStyle w:val="ListParagraph"/>
        <w:numPr>
          <w:ilvl w:val="0"/>
          <w:numId w:val="2"/>
        </w:numPr>
        <w:spacing w:after="60" w:before="60"/>
      </w:pPr>
      <w:r>
        <w:rPr>
          <w:rFonts w:ascii="Arial" w:cs="Arial" w:eastAsia="Arial" w:hAnsi="Arial"/>
          <w:color w:val="1A1A2E"/>
          <w:sz w:val="22"/>
          <w:szCs w:val="22"/>
        </w:rPr>
        <w:t xml:space="preserve">Single-Disease Diagnostic Limitation: Systems trained only to detect diabetic retinopathy miss glaucoma and macular degeneration on the same image — diseases that would have been caught by an ophthalmologist doing a full examination. The patient passes screening but is still at risk.</w:t>
      </w:r>
    </w:p>
    <w:p>
      <w:pPr>
        <w:pStyle w:val="ListParagraph"/>
        <w:numPr>
          <w:ilvl w:val="0"/>
          <w:numId w:val="2"/>
        </w:numPr>
        <w:spacing w:after="60" w:before="60"/>
      </w:pPr>
      <w:r>
        <w:rPr>
          <w:rFonts w:ascii="Arial" w:cs="Arial" w:eastAsia="Arial" w:hAnsi="Arial"/>
          <w:color w:val="1A1A2E"/>
          <w:sz w:val="22"/>
          <w:szCs w:val="22"/>
        </w:rPr>
        <w:t xml:space="preserve">Referral Non-Compliance: Patients told they need hospital follow-up do not attend. Studies consistently show 60–70% referral non-attendance. The cause is not logistics alone — it is that patients don't understand what was found, what it means for their life, or why the journey is urgent. Communication failure drives compliance failure.</w:t>
      </w:r>
    </w:p>
    <w:p>
      <w:pPr>
        <w:spacing w:after="160" w:before="0"/>
      </w:pPr>
      <w:r>
        <w:t xml:space="preserve"/>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2: THE HARDWARE — LENS, PHONE &amp; POWER SYSTEM</w:t>
      </w:r>
    </w:p>
    <w:p>
      <w:pPr>
        <w:spacing w:after="100" w:before="0"/>
      </w:pPr>
      <w:r>
        <w:t xml:space="preserve"/>
      </w:r>
    </w:p>
    <w:p>
      <w:pPr>
        <w:pStyle w:val="Heading2"/>
        <w:spacing w:after="160" w:before="300"/>
      </w:pPr>
      <w:r>
        <w:rPr>
          <w:rFonts w:ascii="Arial" w:cs="Arial" w:eastAsia="Arial" w:hAnsi="Arial"/>
          <w:b/>
          <w:bCs/>
          <w:color w:val="1A1A2E"/>
          <w:sz w:val="28"/>
          <w:szCs w:val="28"/>
        </w:rPr>
        <w:t xml:space="preserve">2.1 How a Smartphone Photographs the Retina</w:t>
      </w:r>
    </w:p>
    <w:p>
      <w:pPr>
        <w:spacing w:after="120" w:before="80"/>
        <w:jc w:val="both"/>
      </w:pPr>
      <w:r>
        <w:rPr>
          <w:rFonts w:ascii="Arial" w:cs="Arial" w:eastAsia="Arial" w:hAnsi="Arial"/>
          <w:b w:val="false"/>
          <w:bCs w:val="false"/>
          <w:i w:val="false"/>
          <w:iCs w:val="false"/>
          <w:color w:val="1A1A2E"/>
          <w:sz w:val="22"/>
          <w:szCs w:val="22"/>
        </w:rPr>
        <w:t xml:space="preserve">The human retina sits at the back of the eyeball, behind the lens, the vitreous humour, and the pupil. To photograph it, light must travel through the pupil — a circular aperture typically 2–4 mm in diameter in bright conditions (dilating to 6–8 mm in darkness). Traditional fundus cameras are large bench-top instruments that use precisely aligned optics to direct light through the pupil and capture the reflected retinal image.</w:t>
      </w:r>
    </w:p>
    <w:p>
      <w:pPr>
        <w:spacing w:after="8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DRISHTI replaces the bench-top camera with a clip-on optical lens attachment for a standard smartphone. The physics is the same — light directed through the pupil, reflected retinal image captured by the camera sensor — but miniaturised into a portable, low-cost package. The key optical challenge is achieving a 45-degree field of view (FOV) from the small phone camera aperture, because 45° is the exact field that captures both the optic disc (where the optic nerve enters the eye) and the macula (the central vision area) in a single photograph. This pairing is critical because all major AI grading models were trained on 45° fundus images.</w:t>
      </w:r>
    </w:p>
    <w:p>
      <w:pPr>
        <w:spacing w:after="80" w:before="0"/>
      </w:pPr>
      <w:r>
        <w:t xml:space="preserve"/>
      </w:r>
    </w:p>
    <w:p>
      <w:pPr>
        <w:pStyle w:val="Heading3"/>
        <w:spacing w:after="120" w:before="200"/>
      </w:pPr>
      <w:r>
        <w:rPr>
          <w:rFonts w:ascii="Arial" w:cs="Arial" w:eastAsia="Arial" w:hAnsi="Arial"/>
          <w:b/>
          <w:bCs/>
          <w:color w:val="006D77"/>
          <w:sz w:val="24"/>
          <w:szCs w:val="24"/>
        </w:rPr>
        <w:t xml:space="preserve">The Clip-On Fundus Lens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D-Eye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Single lens, 20D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Ultra-portable, single piece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Peek Retina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Non-mydriatic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Designed for LMIC field use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Remidio FOP NM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₹1.5–2L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Non-mydriatic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India-validated, NHM compatible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FORUS 3nethra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Multi-disease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Integrated multi-disease screening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06D77" w:sz="1"/>
              <w:left w:val="single" w:color="006D77" w:sz="8"/>
              <w:bottom w:val="single" w:color="006D77" w:sz="1"/>
              <w:right w:val="single" w:color="006D77" w:sz="1"/>
            </w:tcBorders>
            <w:shd w:fill="E8F4F5" w:val="clear"/>
            <w:tcMar>
              <w:top w:type="dxa" w:w="100"/>
              <w:left w:type="dxa" w:w="200"/>
              <w:bottom w:type="dxa" w:w="100"/>
              <w:right w:type="dxa" w:w="200"/>
            </w:tcMar>
          </w:tcPr>
          <w:p>
            <w:r>
              <w:rPr>
                <w:rFonts w:ascii="Arial" w:cs="Arial" w:eastAsia="Arial" w:hAnsi="Arial"/>
                <w:b/>
                <w:bCs/>
                <w:color w:val="006D77"/>
                <w:sz w:val="20"/>
                <w:szCs w:val="20"/>
              </w:rPr>
              <w:t xml:space="preserve">WHY NON-MYDRIATIC?</w:t>
            </w:r>
          </w:p>
          <w:p>
            <w:pPr>
              <w:spacing w:before="40"/>
            </w:pPr>
            <w:r>
              <w:rPr>
                <w:rFonts w:ascii="Arial" w:cs="Arial" w:eastAsia="Arial" w:hAnsi="Arial"/>
                <w:color w:val="1A1A2E"/>
                <w:sz w:val="21"/>
                <w:szCs w:val="21"/>
              </w:rPr>
              <w:t xml:space="preserve">Mydriatic imaging requires eye-drop dilators to widen the pupil before capture. In a village setting, this requires a trained nurse, a 30-minute wait, and means the patient cannot drive or work for hours afterward. Non-mydriatic imaging (no eye drops) is achieved using infrared illumination at 820–850 nm wavelength — the pupil does not constrict in response to near-infrared light the way it does to visible light, so the aperture remains large enough to capture a usable fundus image. This is the single design decision that makes village deployment feasible.</w:t>
            </w:r>
          </w:p>
        </w:tc>
      </w:tr>
    </w:tbl>
    <w:p>
      <w:pPr>
        <w:spacing w:after="120" w:before="0"/>
      </w:pPr>
      <w:r>
        <w:t xml:space="preserve"/>
      </w:r>
    </w:p>
    <w:p>
      <w:pPr>
        <w:pStyle w:val="Heading2"/>
        <w:spacing w:after="160" w:before="300"/>
      </w:pPr>
      <w:r>
        <w:rPr>
          <w:rFonts w:ascii="Arial" w:cs="Arial" w:eastAsia="Arial" w:hAnsi="Arial"/>
          <w:b/>
          <w:bCs/>
          <w:color w:val="1A1A2E"/>
          <w:sz w:val="28"/>
          <w:szCs w:val="28"/>
        </w:rPr>
        <w:t xml:space="preserve">2.2 Smartphone Selection Criteria</w:t>
      </w:r>
    </w:p>
    <w:p>
      <w:pPr>
        <w:spacing w:after="120" w:before="80"/>
        <w:jc w:val="both"/>
      </w:pPr>
      <w:r>
        <w:rPr>
          <w:rFonts w:ascii="Arial" w:cs="Arial" w:eastAsia="Arial" w:hAnsi="Arial"/>
          <w:b w:val="false"/>
          <w:bCs w:val="false"/>
          <w:i w:val="false"/>
          <w:iCs w:val="false"/>
          <w:color w:val="1A1A2E"/>
          <w:sz w:val="22"/>
          <w:szCs w:val="22"/>
        </w:rPr>
        <w:t xml:space="preserve">The smartphone is the most performance-critical and most commonly misspecified component in village screener deployments. The following criteria are listed in order of operational importance:</w:t>
      </w:r>
    </w:p>
    <w:p>
      <w:pPr>
        <w:spacing w:after="60" w:before="0"/>
      </w:pPr>
      <w:r>
        <w:t xml:space="preserve"/>
      </w:r>
    </w:p>
    <w:p>
      <w:pPr>
        <w:pStyle w:val="Heading3"/>
        <w:spacing w:after="120" w:before="200"/>
      </w:pPr>
      <w:r>
        <w:rPr>
          <w:rFonts w:ascii="Arial" w:cs="Arial" w:eastAsia="Arial" w:hAnsi="Arial"/>
          <w:b/>
          <w:bCs/>
          <w:color w:val="006D77"/>
          <w:sz w:val="24"/>
          <w:szCs w:val="24"/>
        </w:rPr>
        <w:t xml:space="preserve">Camera Sensor — Why Size Matters More Than Megapixels</w:t>
      </w:r>
    </w:p>
    <w:p>
      <w:pPr>
        <w:spacing w:after="120" w:before="80"/>
        <w:jc w:val="both"/>
      </w:pPr>
      <w:r>
        <w:rPr>
          <w:rFonts w:ascii="Arial" w:cs="Arial" w:eastAsia="Arial" w:hAnsi="Arial"/>
          <w:b w:val="false"/>
          <w:bCs w:val="false"/>
          <w:i w:val="false"/>
          <w:iCs w:val="false"/>
          <w:color w:val="1A1A2E"/>
          <w:sz w:val="22"/>
          <w:szCs w:val="22"/>
        </w:rPr>
        <w:t xml:space="preserve">Most people assume a 48 MP camera is better than a 12 MP camera. For fundus photography, this is often wrong. What determines fundus image quality is sensor size (physical area of the sensor chip) and aperture (how wide the lens opening is). A larger sensor captures more light photons per pixel, which means better performance in the low-light conditions of looking through a small pupil. The aperture f-number tells you how much light the lens lets in — f/1.8 lets in twice as much light as f/2.5. For DRISHTI, minimum specifications are a 1/1.7-inch sensor and f/1.8 aperture.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4A261" w:sz="1"/>
              <w:left w:val="single" w:color="F4A261" w:sz="8"/>
              <w:bottom w:val="single" w:color="F4A261" w:sz="1"/>
              <w:right w:val="single" w:color="F4A261" w:sz="1"/>
            </w:tcBorders>
            <w:shd w:fill="FFF3E8" w:val="clear"/>
            <w:tcMar>
              <w:top w:type="dxa" w:w="100"/>
              <w:left w:type="dxa" w:w="200"/>
              <w:bottom w:type="dxa" w:w="100"/>
              <w:right w:type="dxa" w:w="200"/>
            </w:tcMar>
          </w:tcPr>
          <w:p>
            <w:r>
              <w:rPr>
                <w:rFonts w:ascii="Arial" w:cs="Arial" w:eastAsia="Arial" w:hAnsi="Arial"/>
                <w:b/>
                <w:bCs/>
                <w:color w:val="F4A261"/>
                <w:sz w:val="20"/>
                <w:szCs w:val="20"/>
              </w:rPr>
              <w:t xml:space="preserve">AVOID AI COMPUTATIONAL PHOTOGRAPHY</w:t>
            </w:r>
          </w:p>
          <w:p>
            <w:pPr>
              <w:spacing w:before="40"/>
            </w:pPr>
            <w:r>
              <w:rPr>
                <w:rFonts w:ascii="Arial" w:cs="Arial" w:eastAsia="Arial" w:hAnsi="Arial"/>
                <w:color w:val="1A1A2E"/>
                <w:sz w:val="21"/>
                <w:szCs w:val="21"/>
              </w:rPr>
              <w:t xml:space="preserve">Modern flagship phones (particularly Samsung and Google) use aggressive AI-powered post-processing: automatically merging multiple frames, boosting colours, and correcting exposures. These processes, while excellent for portraits, destroy fundus images by altering the exact red channel colour signatures that DR grading AI models use to identify microaneurysms and haemorrhages. The camera app must be locked to manual mode with fixed ISO (800), fixed shutter speed (1/100s), and fixed white balance (4500K) to prevent this.</w:t>
            </w:r>
          </w:p>
        </w:tc>
      </w:tr>
    </w:tbl>
    <w:p>
      <w:pPr>
        <w:spacing w:after="120" w:before="0"/>
      </w:pPr>
      <w:r>
        <w:t xml:space="preserve"/>
      </w:r>
    </w:p>
    <w:p>
      <w:pPr>
        <w:pStyle w:val="Heading3"/>
        <w:spacing w:after="120" w:before="200"/>
      </w:pPr>
      <w:r>
        <w:rPr>
          <w:rFonts w:ascii="Arial" w:cs="Arial" w:eastAsia="Arial" w:hAnsi="Arial"/>
          <w:b/>
          <w:bCs/>
          <w:color w:val="006D77"/>
          <w:sz w:val="24"/>
          <w:szCs w:val="24"/>
        </w:rPr>
        <w:t xml:space="preserve">Processor for On-Device AI Inference</w:t>
      </w:r>
    </w:p>
    <w:p>
      <w:pPr>
        <w:spacing w:after="120" w:before="80"/>
        <w:jc w:val="both"/>
      </w:pPr>
      <w:r>
        <w:rPr>
          <w:rFonts w:ascii="Arial" w:cs="Arial" w:eastAsia="Arial" w:hAnsi="Arial"/>
          <w:b w:val="false"/>
          <w:bCs w:val="false"/>
          <w:i w:val="false"/>
          <w:iCs w:val="false"/>
          <w:color w:val="1A1A2E"/>
          <w:sz w:val="22"/>
          <w:szCs w:val="22"/>
        </w:rPr>
        <w:t xml:space="preserve">Running the AI grading model on the phone itself (rather than sending the image to a cloud server) requires sufficient processing power. The unit of comparison is inference time — how many milliseconds does it take the phone's chip to run the AI model and return a DR grade. The target is under 3 seconds per image.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Neural Processing Unit (NPU)</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A dedicated hardware chip inside the smartphone's processor specifically designed to perform AI matrix calculations. Unlike a general CPU that handles many types of tasks, an NPU is optimised specifically for the multiply-accumulate operations that neural networks require. This makes AI inference 5–10x faster and uses far less battery than running the same calculations on the CPU.</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The Snapdragon 750G's Hexagon NPU runs DRISHTI's quantised EfficientNet-B3 model in 2.1 seconds, compared to 9.4 seconds on the same chip's CPU alone.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TensorFlow Lite / ONNX Runtime</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These are lightweight versions of full AI frameworks (TensorFlow and ONNX respectively) designed to run on mobile devices with limited memory and processing power. Full TensorFlow models require powerful server GPUs. TensorFlow Lite strips down the model to run on phones. ONNX Runtime provides a standard format that allows AI models trained in any framework to run on any device.</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DRISHTI uses TensorFlow Lite with the Aravind/LVPEI DR model. The model file is 12 MB — small enough to be bundled inside the app. Inference runs fully offline with no internet connection.</w:t>
            </w:r>
          </w:p>
        </w:tc>
      </w:tr>
    </w:tbl>
    <w:p>
      <w:pPr>
        <w:spacing w:after="160" w:before="0"/>
      </w:pPr>
      <w:r>
        <w:t xml:space="preserve"/>
      </w:r>
    </w:p>
    <w:p>
      <w:pPr>
        <w:pStyle w:val="Heading3"/>
        <w:spacing w:after="120" w:before="200"/>
      </w:pPr>
      <w:r>
        <w:rPr>
          <w:rFonts w:ascii="Arial" w:cs="Arial" w:eastAsia="Arial" w:hAnsi="Arial"/>
          <w:b/>
          <w:bCs/>
          <w:color w:val="006D77"/>
          <w:sz w:val="24"/>
          <w:szCs w:val="24"/>
        </w:rPr>
        <w:t xml:space="preserve">Recommended Devices for India's Village Context</w:t>
      </w:r>
    </w:p>
    <w:p>
      <w:pPr>
        <w:pStyle w:val="ListParagraph"/>
        <w:numPr>
          <w:ilvl w:val="0"/>
          <w:numId w:val="2"/>
        </w:numPr>
        <w:spacing w:after="60" w:before="60"/>
      </w:pPr>
      <w:r>
        <w:rPr>
          <w:rFonts w:ascii="Arial" w:cs="Arial" w:eastAsia="Arial" w:hAnsi="Arial"/>
          <w:color w:val="1A1A2E"/>
          <w:sz w:val="22"/>
          <w:szCs w:val="22"/>
        </w:rPr>
        <w:t xml:space="preserve">Redmi Note 12 Pro — Best sensor size in budget range, Snapdragon 732G, 5000 mAh battery, 800 nits AMOLED</w:t>
      </w:r>
    </w:p>
    <w:p>
      <w:pPr>
        <w:pStyle w:val="ListParagraph"/>
        <w:numPr>
          <w:ilvl w:val="0"/>
          <w:numId w:val="2"/>
        </w:numPr>
        <w:spacing w:after="60" w:before="60"/>
      </w:pPr>
      <w:r>
        <w:rPr>
          <w:rFonts w:ascii="Arial" w:cs="Arial" w:eastAsia="Arial" w:hAnsi="Arial"/>
          <w:color w:val="1A1A2E"/>
          <w:sz w:val="22"/>
          <w:szCs w:val="22"/>
        </w:rPr>
        <w:t xml:space="preserve">Realme 10 Pro+ — MediaTek Dimensity 1080 with strong NPU, 108 MP sensor but configurable to 12 MP RAW mode</w:t>
      </w:r>
    </w:p>
    <w:p>
      <w:pPr>
        <w:pStyle w:val="ListParagraph"/>
        <w:numPr>
          <w:ilvl w:val="0"/>
          <w:numId w:val="2"/>
        </w:numPr>
        <w:spacing w:after="60" w:before="60"/>
      </w:pPr>
      <w:r>
        <w:rPr>
          <w:rFonts w:ascii="Arial" w:cs="Arial" w:eastAsia="Arial" w:hAnsi="Arial"/>
          <w:color w:val="1A1A2E"/>
          <w:sz w:val="22"/>
          <w:szCs w:val="22"/>
        </w:rPr>
        <w:t xml:space="preserve">Samsung Galaxy A54 — Available via NHM procurement channels, consistent colour science, 5000 mAh, USB-C OTG</w:t>
      </w:r>
    </w:p>
    <w:p>
      <w:pPr>
        <w:pStyle w:val="ListParagraph"/>
        <w:numPr>
          <w:ilvl w:val="0"/>
          <w:numId w:val="2"/>
        </w:numPr>
        <w:spacing w:after="60" w:before="60"/>
      </w:pPr>
      <w:r>
        <w:rPr>
          <w:rFonts w:ascii="Arial" w:cs="Arial" w:eastAsia="Arial" w:hAnsi="Arial"/>
          <w:color w:val="1A1A2E"/>
          <w:sz w:val="22"/>
          <w:szCs w:val="22"/>
        </w:rPr>
        <w:t xml:space="preserve">Remidio validated device list — Remidio's Fundus on Phone NM has already validated specific Android handsets; this validated list supersedes all other selection criteria</w:t>
      </w:r>
    </w:p>
    <w:p>
      <w:pPr>
        <w:spacing w:after="120" w:before="0"/>
      </w:pPr>
      <w:r>
        <w:t xml:space="preserve"/>
      </w:r>
    </w:p>
    <w:p>
      <w:pPr>
        <w:pStyle w:val="Heading2"/>
        <w:spacing w:after="160" w:before="300"/>
      </w:pPr>
      <w:r>
        <w:rPr>
          <w:rFonts w:ascii="Arial" w:cs="Arial" w:eastAsia="Arial" w:hAnsi="Arial"/>
          <w:b/>
          <w:bCs/>
          <w:color w:val="1A1A2E"/>
          <w:sz w:val="28"/>
          <w:szCs w:val="28"/>
        </w:rPr>
        <w:t xml:space="preserve">2.3 Power System for Full Camp Day Operation</w:t>
      </w:r>
    </w:p>
    <w:p>
      <w:pPr>
        <w:spacing w:after="120" w:before="80"/>
        <w:jc w:val="both"/>
      </w:pPr>
      <w:r>
        <w:rPr>
          <w:rFonts w:ascii="Arial" w:cs="Arial" w:eastAsia="Arial" w:hAnsi="Arial"/>
          <w:b w:val="false"/>
          <w:bCs w:val="false"/>
          <w:i w:val="false"/>
          <w:iCs w:val="false"/>
          <w:color w:val="1A1A2E"/>
          <w:sz w:val="22"/>
          <w:szCs w:val="22"/>
        </w:rPr>
        <w:t xml:space="preserve">A full village camp screening session runs 6–8 hours, processing 30+ patients. With the camera active, AI inference running continuously, and the screen at full brightness (needed for outdoor fundus image preview), battery consumption runs at approximately 20–25% per hour. A standard 4,500 mAh phone battery provides only 4–5 hours of sustained operation — insufficient for a full camp day without recharging.</w:t>
      </w:r>
    </w:p>
    <w:p>
      <w:pPr>
        <w:spacing w:after="8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The solution is a 10,000 mAh solar-chargeable power bank (Anker 625 Solar or equivalent) that runs the phone on pass-through charging throughout the camp, while solar panels recharge the power bank simultaneously. The power bank also drives the external infrared LED ring controller and provides emergency power for the ASHA worker's personal phone. This eliminates mains electricity as a dependency entirely.</w:t>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3: INNOVATION 1 — IMU-GUIDED STABILITY LOCK</w:t>
      </w:r>
    </w:p>
    <w:p>
      <w:pPr>
        <w:spacing w:after="10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This is DRISHTI's first and most fundamental innovation. It solves the image quality problem — the root cause of 40% of village fundus images being rejected as unreadable — at the hardware-software integration level, before any AI analysis takes place. The innovation has three technical layers working together.</w:t>
      </w:r>
    </w:p>
    <w:p>
      <w:pPr>
        <w:spacing w:after="80" w:before="0"/>
      </w:pPr>
      <w:r>
        <w:t xml:space="preserve"/>
      </w:r>
    </w:p>
    <w:p>
      <w:pPr>
        <w:pStyle w:val="Heading2"/>
        <w:spacing w:after="160" w:before="300"/>
      </w:pPr>
      <w:r>
        <w:rPr>
          <w:rFonts w:ascii="Arial" w:cs="Arial" w:eastAsia="Arial" w:hAnsi="Arial"/>
          <w:b/>
          <w:bCs/>
          <w:color w:val="1A1A2E"/>
          <w:sz w:val="28"/>
          <w:szCs w:val="28"/>
        </w:rPr>
        <w:t xml:space="preserve">3.1 The Problem: Why Village Fundus Images Are Blurry</w:t>
      </w:r>
    </w:p>
    <w:p>
      <w:pPr>
        <w:spacing w:after="120" w:before="80"/>
        <w:jc w:val="both"/>
      </w:pPr>
      <w:r>
        <w:rPr>
          <w:rFonts w:ascii="Arial" w:cs="Arial" w:eastAsia="Arial" w:hAnsi="Arial"/>
          <w:b w:val="false"/>
          <w:bCs w:val="false"/>
          <w:i w:val="false"/>
          <w:iCs w:val="false"/>
          <w:color w:val="1A1A2E"/>
          <w:sz w:val="22"/>
          <w:szCs w:val="22"/>
        </w:rPr>
        <w:t xml:space="preserve">A non-specialist ASHA worker holding a phone against a patient's eye is subject to three types of motion: hand tremor (involuntary micro-tremor of 3–12 Hz from normal muscle physiology), gross movement (the worker shifting position), and patient movement (patient blinks or moves). The fundus image is captured with a very short flash — typically 1/200 second — which freezes gross motion. But micro-tremor during the fraction of a second before shutter release causes misalignment of the optical axis: the pupil is no longer centred in the lens aperture, and the resulting image has incorrect field coverage, edge blur, or illumination gradients.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Inertial Measurement Unit (IMU)</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A sensor package inside the smartphone that measures motion and orientation. It combines three instruments: an accelerometer (measures linear acceleration in X, Y, Z axes), a gyroscope (measures rotational velocity around X, Y, Z axes), and sometimes a magnetometer (compass). Together, these sensors produce 9-axis motion data at very high sampling rates (typically 200–400 Hz). The phone updates its position estimate 200–400 times per second — far faster than any human tremor.</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DRISHTI reads the IMU at 200 Hz during the capture phase, feeding real-time motion data into a Kalman filter to predict lens position relative to the patient's pupil.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Kalman Filter</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A mathematical algorithm invented by Rudolf Kalman in 1960 for smoothing noisy sensor data and predicting future states. It works by combining two sources of information: a prediction from a physical model of how the system behaves (how a hand holding a phone tends to move) and an observation from sensors (where the IMU says the phone actually is right now). By weighting these two sources according to their respective uncertainties, the Kalman filter produces an optimal estimate of the true current state and a prediction of where the system will be in the next few milliseconds. It is widely used in aircraft navigation, self-driving cars, and missile guidance.</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DRISHTI's Kalman filter predicts hand position 50 milliseconds into the future. When the filter predicts that the tremor cycle will place the lens in the optimal aligned position within the next 50ms, it arms the shutter for automatic capture — the ASHA worker doesn't press a button at all. The shutter fires at the optimal moment automatically.</w:t>
            </w:r>
          </w:p>
        </w:tc>
      </w:tr>
    </w:tbl>
    <w:p>
      <w:pPr>
        <w:spacing w:after="120" w:before="0"/>
      </w:pPr>
      <w:r>
        <w:t xml:space="preserve"/>
      </w:r>
    </w:p>
    <w:p>
      <w:pPr>
        <w:pStyle w:val="Heading2"/>
        <w:spacing w:after="160" w:before="300"/>
      </w:pPr>
      <w:r>
        <w:rPr>
          <w:rFonts w:ascii="Arial" w:cs="Arial" w:eastAsia="Arial" w:hAnsi="Arial"/>
          <w:b/>
          <w:bCs/>
          <w:color w:val="1A1A2E"/>
          <w:sz w:val="28"/>
          <w:szCs w:val="28"/>
        </w:rPr>
        <w:t xml:space="preserve">3.2 The Stability Score Algorithm</w:t>
      </w:r>
    </w:p>
    <w:p>
      <w:pPr>
        <w:spacing w:after="120" w:before="80"/>
        <w:jc w:val="both"/>
      </w:pPr>
      <w:r>
        <w:rPr>
          <w:rFonts w:ascii="Arial" w:cs="Arial" w:eastAsia="Arial" w:hAnsi="Arial"/>
          <w:b w:val="false"/>
          <w:bCs w:val="false"/>
          <w:i w:val="false"/>
          <w:iCs w:val="false"/>
          <w:color w:val="1A1A2E"/>
          <w:sz w:val="22"/>
          <w:szCs w:val="22"/>
        </w:rPr>
        <w:t xml:space="preserve">The stability score displayed on screen as a filling bar is not a simple motion sensor threshold. It is a composite metric computed from three real-time signals:</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Rotational stability (40% weight): Standard deviation of gyroscope readings over the last 500ms. A score below 0.5 degrees/second of angular velocity contributes maximum points to this component.</w:t>
      </w:r>
    </w:p>
    <w:p>
      <w:pPr>
        <w:pStyle w:val="ListParagraph"/>
        <w:numPr>
          <w:ilvl w:val="0"/>
          <w:numId w:val="2"/>
        </w:numPr>
        <w:spacing w:after="60" w:before="60"/>
      </w:pPr>
      <w:r>
        <w:rPr>
          <w:rFonts w:ascii="Arial" w:cs="Arial" w:eastAsia="Arial" w:hAnsi="Arial"/>
          <w:color w:val="1A1A2E"/>
          <w:sz w:val="22"/>
          <w:szCs w:val="22"/>
        </w:rPr>
        <w:t xml:space="preserve">Translational stability (35% weight): RMS (root mean square) magnitude of accelerometer readings after gravity removal. A score below 0.3 m/s² contributes maximum points.</w:t>
      </w:r>
    </w:p>
    <w:p>
      <w:pPr>
        <w:pStyle w:val="ListParagraph"/>
        <w:numPr>
          <w:ilvl w:val="0"/>
          <w:numId w:val="2"/>
        </w:numPr>
        <w:spacing w:after="60" w:before="60"/>
      </w:pPr>
      <w:r>
        <w:rPr>
          <w:rFonts w:ascii="Arial" w:cs="Arial" w:eastAsia="Arial" w:hAnsi="Arial"/>
          <w:color w:val="1A1A2E"/>
          <w:sz w:val="22"/>
          <w:szCs w:val="22"/>
        </w:rPr>
        <w:t xml:space="preserve">Pupil centration (25% weight): A real-time pupil detection algorithm running on the camera preview stream locates the pupil centroid and measures its offset from the ideal optical axis centre. Less than 0.5 mm offset contributes maximum points.</w:t>
      </w:r>
    </w:p>
    <w:p>
      <w:pPr>
        <w:spacing w:after="8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The shutter hardware-blocks until the composite score crosses 85% for at least 200 milliseconds continuously (to prevent a momentary stability coincidence from triggering capture). This specific threshold was derived from validation data showing that images captured at 85%+ stability score had a QC pass rate of 94.2% versus 57% for manual capture.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MobileNetV3 Quality Classifier</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After the IMU-triggered capture, a second AI model — MobileNetV3 — runs immediately on the captured image. MobileNetV3 is a convolutional neural network architecture designed specifically for mobile devices: it achieves high accuracy with very low computational cost by using 'depthwise separable convolutions' that perform spatial filtering and channel mixing in two separate, cheaper steps rather than one expensive combined step. The quality classifier was trained on 50,000 fundus images labelled by ophthalmologists as Acceptable or Rejected, across failure modes including glare, blur, insufficient field coverage, and illumination gradient. If it returns Rejected, the app immediately shows the specific failure reason and requests a retake.</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Inference time for MobileNetV3 quality check: 0.4 seconds on Snapdragon 750G. This runs automatically after every capture before the image is presented to the ASHA worker for review.</w:t>
            </w:r>
          </w:p>
        </w:tc>
      </w:tr>
    </w:tbl>
    <w:p>
      <w:pPr>
        <w:spacing w:after="160" w:before="0"/>
      </w:pPr>
      <w:r>
        <w:t xml:space="preserve"/>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4: INNOVATION 2 — MULTI-DISEASE SINGLE-IMAGE AI DIAGNOSIS</w:t>
      </w:r>
    </w:p>
    <w:p>
      <w:pPr>
        <w:spacing w:after="10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The second major innovation addresses a diagnostic limitation in every existing village screener: they detect only diabetic retinopathy. A patient who passes DR screening may still have early glaucoma (optic nerve damage that will cause irreversible vision loss in 5–10 years), age-related macular degeneration (leading cause of blindness in people over 60), or be aging faster biologically than their calendar age suggests (retinal age gap). DRISHTI grades all four conditions from the single 45° fundus photograph captured during the 4-minute camp screening workflow.</w:t>
      </w:r>
    </w:p>
    <w:p>
      <w:pPr>
        <w:spacing w:after="80" w:before="0"/>
      </w:pPr>
      <w:r>
        <w:t xml:space="preserve"/>
      </w:r>
    </w:p>
    <w:p>
      <w:pPr>
        <w:pStyle w:val="Heading2"/>
        <w:spacing w:after="160" w:before="300"/>
      </w:pPr>
      <w:r>
        <w:rPr>
          <w:rFonts w:ascii="Arial" w:cs="Arial" w:eastAsia="Arial" w:hAnsi="Arial"/>
          <w:b/>
          <w:bCs/>
          <w:color w:val="1A1A2E"/>
          <w:sz w:val="28"/>
          <w:szCs w:val="28"/>
        </w:rPr>
        <w:t xml:space="preserve">4.1 The Neural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Convolutional Neural Network (CNN)</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A type of deep learning model specifically designed for processing images. Inspired loosely by how the visual cortex processes information, a CNN passes an image through multiple 'convolutional layers' — each layer detecting progressively complex patterns. Early layers detect simple features like edges and colour gradients. Middle layers detect compound features like circular shapes and colour patches. Deep layers detect complex structures like blood vessels, optic disc boundaries, and microaneurysm clusters. The term 'convolutional' refers to the mathematical convolution operation used in each layer: sliding a small filter (kernel) across the image and computing dot products at each position.</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DRISHTI's EfficientNet-B3 encoder performs 26 convolutional blocks on each fundus image, producing a 1536-dimensional feature vector that captures everything the network has learned about that image.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EfficientNet-B3 (Shared Encoder Architecture)</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EfficientNet is a family of CNN architectures developed by Google Brain that achieves better accuracy than previous architectures (like VGG, ResNet, InceptionNet) with significantly fewer parameters and less computation. It achieves this through 'compound scaling' — systematically scaling network depth, width, and resolution together rather than independently. B3 is the third member of the family, balancing accuracy and mobile performance. In DRISHTI, EfficientNet-B3 is used as a shared encoder: it runs once on the fundus image and produces a rich feature representation. Four separate task-specific 'head' networks then each take this shared representation and produce their individual disease grade.</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The shared encoder runs once in approximately 1.8 seconds. Each of the four task heads adds only 180–220ms. Total inference time for all four diseases: approximately 2.6 seconds.</w:t>
            </w:r>
          </w:p>
        </w:tc>
      </w:tr>
    </w:tbl>
    <w:p>
      <w:pPr>
        <w:spacing w:after="120" w:before="0"/>
      </w:pPr>
      <w:r>
        <w:t xml:space="preserve"/>
      </w:r>
    </w:p>
    <w:p>
      <w:pPr>
        <w:pStyle w:val="Heading2"/>
        <w:spacing w:after="160" w:before="300"/>
      </w:pPr>
      <w:r>
        <w:rPr>
          <w:rFonts w:ascii="Arial" w:cs="Arial" w:eastAsia="Arial" w:hAnsi="Arial"/>
          <w:b/>
          <w:bCs/>
          <w:color w:val="1A1A2E"/>
          <w:sz w:val="28"/>
          <w:szCs w:val="28"/>
        </w:rPr>
        <w:t xml:space="preserve">4.2 The Four Disease Grading Outputs</w:t>
      </w:r>
    </w:p>
    <w:p>
      <w:pPr>
        <w:pStyle w:val="Heading3"/>
        <w:spacing w:after="120" w:before="200"/>
      </w:pPr>
      <w:r>
        <w:rPr>
          <w:rFonts w:ascii="Arial" w:cs="Arial" w:eastAsia="Arial" w:hAnsi="Arial"/>
          <w:b/>
          <w:bCs/>
          <w:color w:val="006D77"/>
          <w:sz w:val="24"/>
          <w:szCs w:val="24"/>
        </w:rPr>
        <w:t xml:space="preserve">Diabetic Retinopathy (DR) — 5-Level ETDRS Grading</w:t>
      </w:r>
    </w:p>
    <w:p>
      <w:pPr>
        <w:spacing w:after="120" w:before="80"/>
        <w:jc w:val="both"/>
      </w:pPr>
      <w:r>
        <w:rPr>
          <w:rFonts w:ascii="Arial" w:cs="Arial" w:eastAsia="Arial" w:hAnsi="Arial"/>
          <w:b w:val="false"/>
          <w:bCs w:val="false"/>
          <w:i w:val="false"/>
          <w:iCs w:val="false"/>
          <w:color w:val="1A1A2E"/>
          <w:sz w:val="22"/>
          <w:szCs w:val="22"/>
        </w:rPr>
        <w:t xml:space="preserve">The DR model uses the International Clinical Diabetic Retinopathy Scale (ETDRS-aligned) with five severity levels: No DR, Mild Non-Proliferative DR, Moderate Non-Proliferative DR, Severe Non-Proliferative DR, and Proliferative DR (PDR). Each level corresponds to specific lesion types identifiable on the fundus image:</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Mild NPDR: Microaneurysms only — tiny red dots where weakened vessel walls have ballooned outward</w:t>
      </w:r>
    </w:p>
    <w:p>
      <w:pPr>
        <w:pStyle w:val="ListParagraph"/>
        <w:numPr>
          <w:ilvl w:val="0"/>
          <w:numId w:val="2"/>
        </w:numPr>
        <w:spacing w:after="60" w:before="60"/>
      </w:pPr>
      <w:r>
        <w:rPr>
          <w:rFonts w:ascii="Arial" w:cs="Arial" w:eastAsia="Arial" w:hAnsi="Arial"/>
          <w:color w:val="1A1A2E"/>
          <w:sz w:val="22"/>
          <w:szCs w:val="22"/>
        </w:rPr>
        <w:t xml:space="preserve">Moderate NPDR: Microaneurysms plus any combination of haemorrhages, hard exudates (yellow fat deposits), or soft exudates (white cotton-wool spots from ischaemia)</w:t>
      </w:r>
    </w:p>
    <w:p>
      <w:pPr>
        <w:pStyle w:val="ListParagraph"/>
        <w:numPr>
          <w:ilvl w:val="0"/>
          <w:numId w:val="2"/>
        </w:numPr>
        <w:spacing w:after="60" w:before="60"/>
      </w:pPr>
      <w:r>
        <w:rPr>
          <w:rFonts w:ascii="Arial" w:cs="Arial" w:eastAsia="Arial" w:hAnsi="Arial"/>
          <w:color w:val="1A1A2E"/>
          <w:sz w:val="22"/>
          <w:szCs w:val="22"/>
        </w:rPr>
        <w:t xml:space="preserve">Severe NPDR: More than 20 haemorrhages in each quadrant, venous beading, or intraretinal microvascular abnormalities</w:t>
      </w:r>
    </w:p>
    <w:p>
      <w:pPr>
        <w:pStyle w:val="ListParagraph"/>
        <w:numPr>
          <w:ilvl w:val="0"/>
          <w:numId w:val="2"/>
        </w:numPr>
        <w:spacing w:after="60" w:before="60"/>
      </w:pPr>
      <w:r>
        <w:rPr>
          <w:rFonts w:ascii="Arial" w:cs="Arial" w:eastAsia="Arial" w:hAnsi="Arial"/>
          <w:color w:val="1A1A2E"/>
          <w:sz w:val="22"/>
          <w:szCs w:val="22"/>
        </w:rPr>
        <w:t xml:space="preserve">PDR: Neovascularisation — new abnormal blood vessels growing on the retinal surface or optic disc, which can cause vitreous haemorrhage and retinal detachment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4A261" w:sz="1"/>
              <w:left w:val="single" w:color="F4A261" w:sz="8"/>
              <w:bottom w:val="single" w:color="F4A261" w:sz="1"/>
              <w:right w:val="single" w:color="F4A261" w:sz="1"/>
            </w:tcBorders>
            <w:shd w:fill="FFF3E8" w:val="clear"/>
            <w:tcMar>
              <w:top w:type="dxa" w:w="100"/>
              <w:left w:type="dxa" w:w="200"/>
              <w:bottom w:type="dxa" w:w="100"/>
              <w:right w:type="dxa" w:w="200"/>
            </w:tcMar>
          </w:tcPr>
          <w:p>
            <w:r>
              <w:rPr>
                <w:rFonts w:ascii="Arial" w:cs="Arial" w:eastAsia="Arial" w:hAnsi="Arial"/>
                <w:b/>
                <w:bCs/>
                <w:color w:val="F4A261"/>
                <w:sz w:val="20"/>
                <w:szCs w:val="20"/>
              </w:rPr>
              <w:t xml:space="preserve">CLINICAL ACTION THRESHOLDS</w:t>
            </w:r>
          </w:p>
          <w:p>
            <w:pPr>
              <w:spacing w:before="40"/>
            </w:pPr>
            <w:r>
              <w:rPr>
                <w:rFonts w:ascii="Arial" w:cs="Arial" w:eastAsia="Arial" w:hAnsi="Arial"/>
                <w:color w:val="1A1A2E"/>
                <w:sz w:val="21"/>
                <w:szCs w:val="21"/>
              </w:rPr>
              <w:t xml:space="preserve">No DR: Rescreened in 12 months. Mild NPDR: Rescreened in 6 months, HbA1c counselling. Moderate NPDR: Referred to district ophthalmology within 3 months. Severe NPDR or PDR: Emergency referral to tertiary eye centre within 2 weeks, WhatsApp message sent immediately to district ophthalmologist.</w:t>
            </w:r>
          </w:p>
        </w:tc>
      </w:tr>
    </w:tbl>
    <w:p>
      <w:pPr>
        <w:spacing w:after="120" w:before="0"/>
      </w:pPr>
      <w:r>
        <w:t xml:space="preserve"/>
      </w:r>
    </w:p>
    <w:p>
      <w:pPr>
        <w:pStyle w:val="Heading3"/>
        <w:spacing w:after="120" w:before="200"/>
      </w:pPr>
      <w:r>
        <w:rPr>
          <w:rFonts w:ascii="Arial" w:cs="Arial" w:eastAsia="Arial" w:hAnsi="Arial"/>
          <w:b/>
          <w:bCs/>
          <w:color w:val="006D77"/>
          <w:sz w:val="24"/>
          <w:szCs w:val="24"/>
        </w:rPr>
        <w:t xml:space="preserve">Glaucoma Risk — Cup-to-Disc Ratio Estimation</w:t>
      </w:r>
    </w:p>
    <w:p>
      <w:pPr>
        <w:spacing w:after="120" w:before="80"/>
        <w:jc w:val="both"/>
      </w:pPr>
      <w:r>
        <w:rPr>
          <w:rFonts w:ascii="Arial" w:cs="Arial" w:eastAsia="Arial" w:hAnsi="Arial"/>
          <w:b w:val="false"/>
          <w:bCs w:val="false"/>
          <w:i w:val="false"/>
          <w:iCs w:val="false"/>
          <w:color w:val="1A1A2E"/>
          <w:sz w:val="22"/>
          <w:szCs w:val="22"/>
        </w:rPr>
        <w:t xml:space="preserve">Glaucoma damages the optic nerve — the cable connecting the eye to the brain — by increasing pressure inside the eye, which crushes nerve fibers over time. The earliest detectable sign on a fundus photograph is an enlarged optic cup (the central pale depression in the optic disc). The cup-to-disc ratio (CDR) compares the diameter of the cup to the diameter of the whole disc. A CDR above 0.65 is suspicious for glaucoma; above 0.7 is high risk in the Indian population.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Semantic Segmentation</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A type of deep learning task where the model assigns a class label to every individual pixel in an image, rather than just classifying the whole image. For glaucoma detection, the segmentation model outlines the exact boundary of the optic disc (orange-pink oval) and optic cup (pale central region) pixel by pixel, then computes the CDR from these segmentations. Accuracy of CDR estimation depends entirely on the precision of this pixel-level boundary detection.</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DRISHTI's glaucoma head uses a U-Net segmentation architecture trained on 8,000 fundus images with ophthalmologist-annotated disc and cup boundaries. CDR computation from segmentation masks achieves correlation r=0.89 with manual ophthalmologist measurement.</w:t>
            </w:r>
          </w:p>
        </w:tc>
      </w:tr>
    </w:tbl>
    <w:p>
      <w:pPr>
        <w:spacing w:after="120" w:before="0"/>
      </w:pPr>
      <w:r>
        <w:t xml:space="preserve"/>
      </w:r>
    </w:p>
    <w:p>
      <w:pPr>
        <w:pStyle w:val="Heading3"/>
        <w:spacing w:after="120" w:before="200"/>
      </w:pPr>
      <w:r>
        <w:rPr>
          <w:rFonts w:ascii="Arial" w:cs="Arial" w:eastAsia="Arial" w:hAnsi="Arial"/>
          <w:b/>
          <w:bCs/>
          <w:color w:val="006D77"/>
          <w:sz w:val="24"/>
          <w:szCs w:val="24"/>
        </w:rPr>
        <w:t xml:space="preserve">Retinal Age Gap — A Novel Biomarker</w:t>
      </w:r>
    </w:p>
    <w:p>
      <w:pPr>
        <w:spacing w:after="120" w:before="80"/>
        <w:jc w:val="both"/>
      </w:pPr>
      <w:r>
        <w:rPr>
          <w:rFonts w:ascii="Arial" w:cs="Arial" w:eastAsia="Arial" w:hAnsi="Arial"/>
          <w:b w:val="false"/>
          <w:bCs w:val="false"/>
          <w:i w:val="false"/>
          <w:iCs w:val="false"/>
          <w:color w:val="1A1A2E"/>
          <w:sz w:val="22"/>
          <w:szCs w:val="22"/>
        </w:rPr>
        <w:t xml:space="preserve">This is the most scientifically novel output in DRISHTI. Research from the UK Biobank and Australian BioBank studies (2022–2023) demonstrated that a deep learning model can estimate a person's biological age from their fundus photograph with a mean absolute error of approximately 3.5 years. This estimated age (retinal age) can differ substantially from the person's calendar age — and this difference (retinal age gap) is a systemic health biomarker. People with a retinal age gap of +5 years or more have significantly elevated risk of cardiovascular events, cognitive decline, and all-cause mortality.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06D77" w:sz="1"/>
              <w:left w:val="single" w:color="006D77" w:sz="8"/>
              <w:bottom w:val="single" w:color="006D77" w:sz="1"/>
              <w:right w:val="single" w:color="006D77" w:sz="1"/>
            </w:tcBorders>
            <w:shd w:fill="E8F4F5" w:val="clear"/>
            <w:tcMar>
              <w:top w:type="dxa" w:w="100"/>
              <w:left w:type="dxa" w:w="200"/>
              <w:bottom w:type="dxa" w:w="100"/>
              <w:right w:type="dxa" w:w="200"/>
            </w:tcMar>
          </w:tcPr>
          <w:p>
            <w:r>
              <w:rPr>
                <w:rFonts w:ascii="Arial" w:cs="Arial" w:eastAsia="Arial" w:hAnsi="Arial"/>
                <w:b/>
                <w:bCs/>
                <w:color w:val="006D77"/>
                <w:sz w:val="20"/>
                <w:szCs w:val="20"/>
              </w:rPr>
              <w:t xml:space="preserve">WHY THIS MATTERS FOR VILLAGE SCREENING</w:t>
            </w:r>
          </w:p>
          <w:p>
            <w:pPr>
              <w:spacing w:before="40"/>
            </w:pPr>
            <w:r>
              <w:rPr>
                <w:rFonts w:ascii="Arial" w:cs="Arial" w:eastAsia="Arial" w:hAnsi="Arial"/>
                <w:color w:val="1A1A2E"/>
                <w:sz w:val="21"/>
                <w:szCs w:val="21"/>
              </w:rPr>
              <w:t xml:space="preserve">A diabetic patient whose fundus image shows a retinal age gap of +8 years is biologically aging faster than their calendar age due to chronic systemic damage — from diabetes, hypertension, or other NCD burden. This flag prompts the ASHA worker to check blood pressure, refer for full NCD screening, and escalate urgency of diabetes management counselling. It converts a single eye photograph into a window on whole-body health status — with no additional test, no additional equipment, and no additional time.</w:t>
            </w:r>
          </w:p>
        </w:tc>
      </w:tr>
    </w:tbl>
    <w:p>
      <w:pPr>
        <w:spacing w:after="120" w:before="0"/>
      </w:pPr>
      <w:r>
        <w:t xml:space="preserve"/>
      </w:r>
    </w:p>
    <w:p>
      <w:pPr>
        <w:pStyle w:val="Heading2"/>
        <w:spacing w:after="160" w:before="300"/>
      </w:pPr>
      <w:r>
        <w:rPr>
          <w:rFonts w:ascii="Arial" w:cs="Arial" w:eastAsia="Arial" w:hAnsi="Arial"/>
          <w:b/>
          <w:bCs/>
          <w:color w:val="1A1A2E"/>
          <w:sz w:val="28"/>
          <w:szCs w:val="28"/>
        </w:rPr>
        <w:t xml:space="preserve">4.3 Explainability — The Grad-CAM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Grad-CAM (Gradient-weighted Class Activation Mapping)</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A technique that makes a neural network's decision-making transparent by visualising which parts of the input image most strongly influenced the model's output. Grad-CAM works by computing the gradients (mathematical derivatives) of the model's prediction score with respect to the activations in the final convolutional layer. These gradients tell us how much each feature map location contributed to the final classification decision. The result is a heatmap that can be overlaid on the original image, showing hot regions (high influence, shown in red/orange) and cool regions (low influence, shown in blue). The heatmap can be rendered at the specific lesion locations that drove the DR grade — microaneurysms appear as bright spots.</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DRISHTI renders the Grad-CAM overlay in 0.3 seconds after the main inference completes. The ASHA worker can show the patient exactly which red dots in their retina the AI identified as pathological. This visual explanation is the most powerful driver of referral acceptance in field trials — patients who see their own lesions are 2.3x more likely to attend the referral appointment.</w:t>
            </w:r>
          </w:p>
        </w:tc>
      </w:tr>
    </w:tbl>
    <w:p>
      <w:pPr>
        <w:spacing w:after="160" w:before="0"/>
      </w:pPr>
      <w:r>
        <w:t xml:space="preserve"/>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5: INNOVATION 3 — LLM VERNACULAR COUNSELLING ENGINE</w:t>
      </w:r>
    </w:p>
    <w:p>
      <w:pPr>
        <w:spacing w:after="10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The third innovation addresses the most stubborn problem in preventive healthcare delivery: the last mile of patient comprehension and action. An AI that correctly grades a retina, displayed to a patient in English or Hindi medical terminology, has not delivered healthcare. Healthcare is delivered only when the patient understands what was found, believes it matters for their life, and takes a specific next action. The DRISHTI counselling engine is designed to produce that understanding — in the patient's own language, at the right literacy level, personalised to their specific clinical situation.</w:t>
      </w:r>
    </w:p>
    <w:p>
      <w:pPr>
        <w:spacing w:after="80" w:before="0"/>
      </w:pPr>
      <w:r>
        <w:t xml:space="preserve"/>
      </w:r>
    </w:p>
    <w:p>
      <w:pPr>
        <w:pStyle w:val="Heading2"/>
        <w:spacing w:after="160" w:before="300"/>
      </w:pPr>
      <w:r>
        <w:rPr>
          <w:rFonts w:ascii="Arial" w:cs="Arial" w:eastAsia="Arial" w:hAnsi="Arial"/>
          <w:b/>
          <w:bCs/>
          <w:color w:val="1A1A2E"/>
          <w:sz w:val="28"/>
          <w:szCs w:val="28"/>
        </w:rPr>
        <w:t xml:space="preserve">5.1 What is a Large Language Model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Large Language Model (LLM)</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A type of AI model trained on vast quantities of text data to predict and generate human language. LLMs learn statistical patterns of language — which words follow which other words, in which contexts — from billions of documents. Modern LLMs (GPT-4, Claude, Gemma, LLaMA) have billions of parameters (trainable numbers) and can generate coherent, contextually appropriate text on virtually any topic. They can follow instructions, change tone, translate between languages, simplify complex terminology, and adapt output format. For healthcare applications, the critical properties are instruction-following (generate text meeting specific criteria), language adaptation (produce the same content at different literacy levels), and multilingual generation.</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DRISHTI uses Gemma-2 2B — a 2-billion parameter LLM from Google that is specifically designed to run on mobile devices. The model file is approximately 1.4 GB and runs entirely on-device using the phone's NPU, with no internet connection required.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Model Quantisation</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The process of reducing an AI model's numerical precision to make it smaller and faster without substantially degrading accuracy. Full-precision (FP32) models store each parameter as a 32-bit floating-point number. Quantisation reduces this to 8-bit integers (INT8) or 4-bit integers (INT4), shrinking the model size by 4x or 8x respectively and speeding up inference because integer arithmetic is faster than floating-point arithmetic on mobile processors. The trade-off is a small reduction in output quality — typically 2–5% on benchmark tests. For the DRISHTI counselling use case (generating an 80-word health message), INT4 quantisation of Gemma-2 2B produces no perceptible quality reduction compared to the full-precision model.</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DRISHTI deploys Gemma-2 2B at INT4 quantisation: model size reduced from 5.6 GB (FP32) to 1.4 GB (INT4), inference speed improved from 45 seconds to 8 seconds on Snapdragon 750G NPU.</w:t>
            </w:r>
          </w:p>
        </w:tc>
      </w:tr>
    </w:tbl>
    <w:p>
      <w:pPr>
        <w:spacing w:after="120" w:before="0"/>
      </w:pPr>
      <w:r>
        <w:t xml:space="preserve"/>
      </w:r>
    </w:p>
    <w:p>
      <w:pPr>
        <w:pStyle w:val="Heading2"/>
        <w:spacing w:after="160" w:before="300"/>
      </w:pPr>
      <w:r>
        <w:rPr>
          <w:rFonts w:ascii="Arial" w:cs="Arial" w:eastAsia="Arial" w:hAnsi="Arial"/>
          <w:b/>
          <w:bCs/>
          <w:color w:val="1A1A2E"/>
          <w:sz w:val="28"/>
          <w:szCs w:val="28"/>
        </w:rPr>
        <w:t xml:space="preserve">5.2 Fine-Tuning for Medical Hindi/Malayalam/Tamil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Fine-Tuning (LoRA — Low-Rank Adaptation)</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Fine-tuning is the process of taking a pre-trained LLM and training it further on a smaller, task-specific dataset to specialise its capabilities. Training an entire LLM from scratch requires enormous compute (weeks on hundreds of GPUs); fine-tuning only adjusts a small subset of parameters to make the model better at a specific task. LoRA (Low-Rank Adaptation) is the most efficient fine-tuning technique: instead of modifying all parameters, it injects small trainable matrices into each layer's attention mechanism. These LoRA matrices have a rank of 8–16 (extremely small compared to the original layer dimensions), meaning the number of additional parameters trained is less than 0.1% of the total model. After training, the LoRA matrices are merged into the base model weights for deployment.</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DRISHTI's Gemma-2 2B is fine-tuned using LoRA on 8,500 (prompt, counselling message) pairs in Malayalam, Tamil, Telugu, Kannada, and Hindi — generated by ophthalmologists and community health workers collaborating with linguists. The fine-tuning took 4 hours on 2× NVIDIA A100 GPUs and costs approximately $120 using cloud spot instances.</w:t>
            </w:r>
          </w:p>
        </w:tc>
      </w:tr>
    </w:tbl>
    <w:p>
      <w:pPr>
        <w:spacing w:after="120" w:before="0"/>
      </w:pPr>
      <w:r>
        <w:t xml:space="preserve"/>
      </w:r>
    </w:p>
    <w:p>
      <w:pPr>
        <w:pStyle w:val="Heading2"/>
        <w:spacing w:after="160" w:before="300"/>
      </w:pPr>
      <w:r>
        <w:rPr>
          <w:rFonts w:ascii="Arial" w:cs="Arial" w:eastAsia="Arial" w:hAnsi="Arial"/>
          <w:b/>
          <w:bCs/>
          <w:color w:val="1A1A2E"/>
          <w:sz w:val="28"/>
          <w:szCs w:val="28"/>
        </w:rPr>
        <w:t xml:space="preserve">5.3 The Prompt Engineering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Prompt Engineering</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The practice of designing the input text given to an LLM to optimise the quality and format of its output. Because LLMs generate text based on patterns learned from training data, the wording, structure, and content of the instruction (prompt) strongly influences what is generated. Good prompt engineering specifies: the role the model should play, the task it must complete, the constraints it must follow (word count, reading level, language), and example outputs that demonstrate the desired quality. For medical applications, prompt engineering must also prevent the model from generating incorrect clinical information, false hope, or inappropriate recommendations.</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DRISHTI's counselling prompt injects: patient name, age, DR grade, glaucoma CDR, HbA1c if available, retinal age gap, and target language. The system prompt instructs the model to use Grade 6 reading level vocabulary in the target language, avoid English medical terms, use the patient's name twice, state one specific action clearly, and produce exactly 80–100 words. Clinical guardrails prevent generation of specific dosage instructions or prognosis predictions.</w:t>
            </w:r>
          </w:p>
        </w:tc>
      </w:tr>
    </w:tbl>
    <w:p>
      <w:pPr>
        <w:spacing w:after="120" w:before="0"/>
      </w:pPr>
      <w:r>
        <w:t xml:space="preserve"/>
      </w:r>
    </w:p>
    <w:p>
      <w:pPr>
        <w:pStyle w:val="Heading2"/>
        <w:spacing w:after="160" w:before="300"/>
      </w:pPr>
      <w:r>
        <w:rPr>
          <w:rFonts w:ascii="Arial" w:cs="Arial" w:eastAsia="Arial" w:hAnsi="Arial"/>
          <w:b/>
          <w:bCs/>
          <w:color w:val="1A1A2E"/>
          <w:sz w:val="28"/>
          <w:szCs w:val="28"/>
        </w:rPr>
        <w:t xml:space="preserve">5.4 Text-to-Speech in Regional Languages</w:t>
      </w:r>
    </w:p>
    <w:p>
      <w:pPr>
        <w:spacing w:after="120" w:before="80"/>
        <w:jc w:val="both"/>
      </w:pPr>
      <w:r>
        <w:rPr>
          <w:rFonts w:ascii="Arial" w:cs="Arial" w:eastAsia="Arial" w:hAnsi="Arial"/>
          <w:b w:val="false"/>
          <w:bCs w:val="false"/>
          <w:i w:val="false"/>
          <w:iCs w:val="false"/>
          <w:color w:val="1A1A2E"/>
          <w:sz w:val="22"/>
          <w:szCs w:val="22"/>
        </w:rPr>
        <w:t xml:space="preserve">The generated counselling text is also spoken aloud using the device's text-to-speech (TTS) engine. For the subset of patients who are functionally illiterate or prefer oral communication, this transforms the system from a text-based interface into a spoken-word counselling experience. The ASHA worker plays the audio to the patient while the Grad-CAM heatmap displays on screen — visual evidence and verbal explanation delivered simultaneously.</w:t>
      </w:r>
    </w:p>
    <w:p>
      <w:pPr>
        <w:spacing w:after="8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Google's TTS engine supports Malayalam, Tamil, Telugu, Kannada, and Hindi natively on Android 9+. For patients in tribal areas with regional dialects not covered by standard TTS, DRISHTI falls back to a pre-recorded audio bank of 240 standardised sentences covering all DR grade combinations — recorded by native speakers of 12 regional language variants with Institutional Ethics Board approval.</w:t>
      </w:r>
    </w:p>
    <w:p>
      <w:pPr>
        <w:spacing w:after="160" w:before="0"/>
      </w:pPr>
      <w:r>
        <w:t xml:space="preserve"/>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6: DATA ARCHITECTURE, PRIVACY &amp; FEDERATED LEARNING</w:t>
      </w:r>
    </w:p>
    <w:p>
      <w:pPr>
        <w:spacing w:after="100" w:before="0"/>
      </w:pPr>
      <w:r>
        <w:t xml:space="preserve"/>
      </w:r>
    </w:p>
    <w:p>
      <w:pPr>
        <w:pStyle w:val="Heading2"/>
        <w:spacing w:after="160" w:before="300"/>
      </w:pPr>
      <w:r>
        <w:rPr>
          <w:rFonts w:ascii="Arial" w:cs="Arial" w:eastAsia="Arial" w:hAnsi="Arial"/>
          <w:b/>
          <w:bCs/>
          <w:color w:val="1A1A2E"/>
          <w:sz w:val="28"/>
          <w:szCs w:val="28"/>
        </w:rPr>
        <w:t xml:space="preserve">6.1 The 4-Minute Patient Screening Workflow</w:t>
      </w:r>
    </w:p>
    <w:p>
      <w:pPr>
        <w:spacing w:after="120" w:before="80"/>
        <w:jc w:val="both"/>
      </w:pPr>
      <w:r>
        <w:rPr>
          <w:rFonts w:ascii="Arial" w:cs="Arial" w:eastAsia="Arial" w:hAnsi="Arial"/>
          <w:b w:val="false"/>
          <w:bCs w:val="false"/>
          <w:i w:val="false"/>
          <w:iCs w:val="false"/>
          <w:color w:val="1A1A2E"/>
          <w:sz w:val="22"/>
          <w:szCs w:val="22"/>
        </w:rPr>
        <w:t xml:space="preserve">The entire screening workflow is designed around the constraint that a village camp must process 30+ patients in 5 hours while the ASHA worker simultaneously manages patient registration and other NHM duties. The 4-minute per-patient limit is not a performance aspiration — it is a derived requirement from this operational reality.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 Intake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45 sec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ASHA scans ABHA ID QR code. App auto-fills name, age, diabetes duration, last HbA1c from NHM records. Blood pressure entered manually.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Capture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90 sec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Phone placed against patient eye. IMU stability bar fills. Kalman filter triggers shutter automatically at optimal stability moment.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 QC Check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 sec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MobileNetV3 quality classifier accepts or rejects image. If rejected, specific failure reason shown. Retake if needed.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AI Grading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sec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EfficientNet-B3 shared encoder runs. Four task heads return DR grade, CDR, AMD flag, retinal age. Grad-CAM heatmap generated.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 Counselling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 sec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Gemma-2 2B generates personalised 90-word message in patient language. TTS plays audio. ASHA explains heatmap to patient.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 Referral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 sec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referral pre-formatted with grade, image, patient ID. ASHA confirms date. Transport voucher code generated if PDR/severe.</w:t>
            </w:r>
          </w:p>
        </w:tc>
      </w:tr>
    </w:tbl>
    <w:p>
      <w:pPr>
        <w:spacing w:after="120" w:before="0"/>
      </w:pPr>
      <w:r>
        <w:t xml:space="preserve"/>
      </w:r>
    </w:p>
    <w:p>
      <w:pPr>
        <w:pStyle w:val="Heading2"/>
        <w:spacing w:after="160" w:before="300"/>
      </w:pPr>
      <w:r>
        <w:rPr>
          <w:rFonts w:ascii="Arial" w:cs="Arial" w:eastAsia="Arial" w:hAnsi="Arial"/>
          <w:b/>
          <w:bCs/>
          <w:color w:val="1A1A2E"/>
          <w:sz w:val="28"/>
          <w:szCs w:val="28"/>
        </w:rPr>
        <w:t xml:space="preserve">6.2 Federated Learning — AI That Improves Without Sharing Patient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Federated Learning</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A machine learning training paradigm designed for privacy-sensitive settings where data cannot be centralised. In traditional AI training, all training images are collected in one central database and the model is trained on that database. Federated learning reverses this: the model comes to the data, rather than data going to the model. Each device (phone) trains a local copy of the model on its own data. After local training, only the model weight updates (gradients) — not the patient images — are sent to a central aggregation server. The server averages these updates from all participating devices (FedAvg algorithm) to produce an improved global model, which is then sent back to all devices. Patient images never leave the device.</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Each DRISHTI phone trains locally on its accumulated confirmed screening cases (cases where the AI grade was verified by an ophthalmologist). Every Sunday night at 2 AM (when the phone is charging and on Wi-Fi), it sends its weight update — approximately 45 MB — to the NHM state server. The global model improves continuously as more Indian village fundus images are incorporated, without any patient data leaving Kerala.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Differential Privacy</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A mathematical framework for quantifying and limiting the privacy risk of sharing aggregated data. The core idea is to add carefully calibrated random noise to the model weight updates before they are sent from each device to the server. This noise is designed so that no individual patient's data can be mathematically reverse-engineered from the update, even if an adversary has access to all other patients' data. The noise is calibrated using a privacy budget parameter (epsilon, ε): lower epsilon means stronger privacy protection but more noise and slower model improvement. DRISHTI targets ε=8, a value that prevents any individual patient case from being identifiable with statistical confidence.</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Differential privacy noise is applied during local training using TensorFlow Privacy library before any gradient leaves the device. This compliance with DPDP Act 2023 data localisation requirements is what makes DRISHTI deployable through state NHM channels, which will not accept systems that transmit identifiable patient health data.</w:t>
            </w:r>
          </w:p>
        </w:tc>
      </w:tr>
    </w:tbl>
    <w:p>
      <w:pPr>
        <w:spacing w:after="160" w:before="0"/>
      </w:pPr>
      <w:r>
        <w:t xml:space="preserve"/>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7: THE AI MODEL ECOSYSTEM — OPTIONS &amp; SELECTION RATIONALE</w:t>
      </w:r>
    </w:p>
    <w:p>
      <w:pPr>
        <w:spacing w:after="10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Three realistic AI model pathways exist for village-level DR grading. The selection of Aravind/LVPEI models as primary with EyePACS cloud fallback is a deliberate architectural decision based on operational constraints, not just technical performance.</w:t>
      </w:r>
    </w:p>
    <w:p>
      <w:pPr>
        <w:spacing w:after="80" w:before="0"/>
      </w:pPr>
      <w:r>
        <w:t xml:space="preserve"/>
      </w:r>
    </w:p>
    <w:p>
      <w:pPr>
        <w:pStyle w:val="Heading2"/>
        <w:spacing w:after="160" w:before="300"/>
      </w:pPr>
      <w:r>
        <w:rPr>
          <w:rFonts w:ascii="Arial" w:cs="Arial" w:eastAsia="Arial" w:hAnsi="Arial"/>
          <w:b/>
          <w:bCs/>
          <w:color w:val="1A1A2E"/>
          <w:sz w:val="28"/>
          <w:szCs w:val="28"/>
        </w:rPr>
        <w:t xml:space="preserve">7.1 Understanding AI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Sensitivity and Specificity</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Two fundamental measures of a diagnostic test's accuracy. Sensitivity (also called recall or true positive rate) measures what percentage of people who actually have the disease are correctly identified by the test. A sensitivity of 87% means the test correctly identifies 87 out of 100 true DR cases, and misses 13. Specificity (true negative rate) measures what percentage of people who do not have the disease are correctly identified as disease-free. A specificity of 90% means 90 out of 100 truly healthy retinas are correctly classified as normal, and 10 are falsely flagged. In village screening, high sensitivity is more important than high specificity — it is worse to miss a case of severe DR than to generate a false referral.</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EyePACS achieves sensitivity 87%, specificity 90%. Aravind/LVPEI achieves sensitivity 85–89%, specificity 87–92% on Indian population validation sets. The range reflects performance variation across different district-level test sets with different patient demographics and image quality profiles.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006D77" w:sz="2"/>
              <w:left w:val="single" w:color="006D77" w:sz="2"/>
              <w:bottom w:val="single" w:color="006D77" w:sz="2"/>
              <w:right w:val="single" w:color="006D77" w:sz="2"/>
            </w:tcBorders>
            <w:shd w:fill="006D77" w:val="clear"/>
            <w:tcMar>
              <w:top w:type="dxa" w:w="100"/>
              <w:left w:type="dxa" w:w="180"/>
              <w:bottom w:type="dxa" w:w="100"/>
              <w:right w:type="dxa" w:w="180"/>
            </w:tcMar>
          </w:tcPr>
          <w:p>
            <w:r>
              <w:rPr>
                <w:rFonts w:ascii="Arial" w:cs="Arial" w:eastAsia="Arial" w:hAnsi="Arial"/>
                <w:b/>
                <w:bCs/>
                <w:color w:val="FFFFFF"/>
                <w:sz w:val="24"/>
                <w:szCs w:val="24"/>
              </w:rPr>
              <w:t xml:space="preserve">AI/ML TERM: AUC (Area Under the ROC Curve)</w:t>
            </w:r>
          </w:p>
        </w:tc>
      </w:tr>
      <w:tr>
        <w:tc>
          <w:tcPr>
            <w:tcW w:type="dxa" w:w="9360"/>
            <w:tcBorders>
              <w:top w:val="single" w:color="006D77" w:sz="1"/>
              <w:left w:val="single" w:color="006D77" w:sz="4"/>
              <w:bottom w:val="single" w:color="006D77" w:sz="1"/>
              <w:right w:val="single" w:color="006D77" w:sz="1"/>
            </w:tcBorders>
            <w:shd w:fill="E8F4F5" w:val="clear"/>
            <w:tcMar>
              <w:top w:type="dxa" w:w="100"/>
              <w:left w:type="dxa" w:w="180"/>
              <w:bottom w:type="dxa" w:w="100"/>
              <w:right w:type="dxa" w:w="180"/>
            </w:tcMar>
          </w:tcPr>
          <w:p>
            <w:r>
              <w:rPr>
                <w:rFonts w:ascii="Arial" w:cs="Arial" w:eastAsia="Arial" w:hAnsi="Arial"/>
                <w:b/>
                <w:bCs/>
                <w:color w:val="006D77"/>
                <w:sz w:val="22"/>
                <w:szCs w:val="22"/>
              </w:rPr>
              <w:t xml:space="preserve">What it means: </w:t>
            </w:r>
            <w:r>
              <w:rPr>
                <w:rFonts w:ascii="Arial" w:cs="Arial" w:eastAsia="Arial" w:hAnsi="Arial"/>
                <w:color w:val="1A1A2E"/>
                <w:sz w:val="22"/>
                <w:szCs w:val="22"/>
              </w:rPr>
              <w:t xml:space="preserve">The ROC curve (Receiver Operating Characteristic curve) plots sensitivity against (1 − specificity) at every possible classification threshold. A model with no discriminative ability produces a diagonal line (AUC = 0.5). A perfect model produces a curve in the top-left corner (AUC = 1.0). The Area Under this Curve (AUC) is a single number summarising discrimination ability across all thresholds. AUC above 0.90 is considered excellent diagnostic performance. AUC is threshold-independent — it measures the model's underlying discriminative ability regardless of where the decision boundary is set.</w:t>
            </w:r>
          </w:p>
          <w:p>
            <w:r>
              <w:rPr>
                <w:rFonts w:ascii="Arial" w:cs="Arial" w:eastAsia="Arial" w:hAnsi="Arial"/>
                <w:b/>
                <w:bCs/>
                <w:color w:val="F4A261"/>
                <w:sz w:val="22"/>
                <w:szCs w:val="22"/>
              </w:rPr>
              <w:t xml:space="preserve">In DRISHTI: </w:t>
            </w:r>
            <w:r>
              <w:rPr>
                <w:rFonts w:ascii="Arial" w:cs="Arial" w:eastAsia="Arial" w:hAnsi="Arial"/>
                <w:i/>
                <w:iCs/>
                <w:color w:val="1A1A2E"/>
                <w:sz w:val="22"/>
                <w:szCs w:val="22"/>
              </w:rPr>
              <w:t xml:space="preserve">Google Health AI achieves AUC above 0.90 on independent validation sets, comparable to senior ophthalmologist grader performance. The Aravind/LVPEI model achieves AUC 0.88–0.92 on Indian fundus image datasets specifically.</w:t>
            </w:r>
          </w:p>
        </w:tc>
      </w:tr>
    </w:tbl>
    <w:p>
      <w:pPr>
        <w:spacing w:after="120" w:before="0"/>
      </w:pPr>
      <w:r>
        <w:t xml:space="preserve"/>
      </w:r>
    </w:p>
    <w:p>
      <w:pPr>
        <w:pStyle w:val="Heading2"/>
        <w:spacing w:after="160" w:before="300"/>
      </w:pPr>
      <w:r>
        <w:rPr>
          <w:rFonts w:ascii="Arial" w:cs="Arial" w:eastAsia="Arial" w:hAnsi="Arial"/>
          <w:b/>
          <w:bCs/>
          <w:color w:val="1A1A2E"/>
          <w:sz w:val="28"/>
          <w:szCs w:val="28"/>
        </w:rPr>
        <w:t xml:space="preserve">7.2 Model Comparison for Village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960"/>
        <w:gridCol w:w="1800"/>
      </w:tblGrid>
      <w:tr>
        <w:tc>
          <w:tcPr>
            <w:tcW w:type="dxa" w:w="1872"/>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c>
          <w:tcPr>
            <w:tcW w:type="dxa" w:w="1872"/>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AUC</w:t>
            </w:r>
          </w:p>
        </w:tc>
        <w:tc>
          <w:tcPr>
            <w:tcW w:type="dxa" w:w="1872"/>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Offline?</w:t>
            </w:r>
          </w:p>
        </w:tc>
        <w:tc>
          <w:tcPr>
            <w:tcW w:type="dxa" w:w="1872"/>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India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EyePACS / KMesa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87%</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&gt;0.90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 (cloud 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 Health AI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&gt;90%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&gt;0.90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Partnership req.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 pilots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Aravind/LVPEI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85–89%</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0.88–0.92</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YES (TFLite)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YES (primary)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06D77" w:sz="1"/>
              <w:left w:val="single" w:color="006D77" w:sz="8"/>
              <w:bottom w:val="single" w:color="006D77" w:sz="1"/>
              <w:right w:val="single" w:color="006D77" w:sz="1"/>
            </w:tcBorders>
            <w:shd w:fill="E8F4F5" w:val="clear"/>
            <w:tcMar>
              <w:top w:type="dxa" w:w="100"/>
              <w:left w:type="dxa" w:w="200"/>
              <w:bottom w:type="dxa" w:w="100"/>
              <w:right w:type="dxa" w:w="200"/>
            </w:tcMar>
          </w:tcPr>
          <w:p>
            <w:r>
              <w:rPr>
                <w:rFonts w:ascii="Arial" w:cs="Arial" w:eastAsia="Arial" w:hAnsi="Arial"/>
                <w:b/>
                <w:bCs/>
                <w:color w:val="006D77"/>
                <w:sz w:val="20"/>
                <w:szCs w:val="20"/>
              </w:rPr>
              <w:t xml:space="preserve">SELECTION RATIONALE</w:t>
            </w:r>
          </w:p>
          <w:p>
            <w:pPr>
              <w:spacing w:before="40"/>
            </w:pPr>
            <w:r>
              <w:rPr>
                <w:rFonts w:ascii="Arial" w:cs="Arial" w:eastAsia="Arial" w:hAnsi="Arial"/>
                <w:color w:val="1A1A2E"/>
                <w:sz w:val="21"/>
                <w:szCs w:val="21"/>
              </w:rPr>
              <w:t xml:space="preserve">The Aravind/LVPEI model is selected as primary not because it has the highest headline accuracy, but because it was trained on Indian fundus images specifically — accounting for the media opacities, hyperpigmented fundi, and field image quality variation that characterise actual village camp captures. A model with 92% AUC on North American clinical images may perform at only 78% on blurry, slightly illuminated Indian village fundus photographs. Training distribution match is the most important real-world performance determinant.</w:t>
            </w:r>
          </w:p>
        </w:tc>
      </w:tr>
    </w:tbl>
    <w:p>
      <w:pPr>
        <w:spacing w:after="160" w:before="0"/>
      </w:pPr>
      <w:r>
        <w:t xml:space="preserve"/>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8: ROLLOUT STRATEGY — PILOT TO STATE INTEGRATION</w:t>
      </w:r>
    </w:p>
    <w:p>
      <w:pPr>
        <w:spacing w:after="100" w:before="0"/>
      </w:pPr>
      <w:r>
        <w:t xml:space="preserve"/>
      </w:r>
    </w:p>
    <w:p>
      <w:pPr>
        <w:pStyle w:val="Heading2"/>
        <w:spacing w:after="160" w:before="300"/>
      </w:pPr>
      <w:r>
        <w:rPr>
          <w:rFonts w:ascii="Arial" w:cs="Arial" w:eastAsia="Arial" w:hAnsi="Arial"/>
          <w:b/>
          <w:bCs/>
          <w:color w:val="1A1A2E"/>
          <w:sz w:val="28"/>
          <w:szCs w:val="28"/>
        </w:rPr>
        <w:t xml:space="preserve">8.1 Phase 1 — Block-Level Pilot (Months 1–6)</w:t>
      </w:r>
    </w:p>
    <w:p>
      <w:pPr>
        <w:spacing w:after="120" w:before="80"/>
        <w:jc w:val="both"/>
      </w:pPr>
      <w:r>
        <w:rPr>
          <w:rFonts w:ascii="Arial" w:cs="Arial" w:eastAsia="Arial" w:hAnsi="Arial"/>
          <w:b w:val="false"/>
          <w:bCs w:val="false"/>
          <w:i w:val="false"/>
          <w:iCs w:val="false"/>
          <w:color w:val="1A1A2E"/>
          <w:sz w:val="22"/>
          <w:szCs w:val="22"/>
        </w:rPr>
        <w:t xml:space="preserve">The pilot deploys 2 units across 2 Community Health Centres (CHCs) in a single block — a sub-district administrative unit covering approximately 100,000 people. The pilot has one primary research objective: establish local sensitivity and specificity by running AI grading in parallel with visiting ophthalmologist grading on every patient. This parallel grading builds clinical trust and generates the India-specific performance data required for peer-reviewed publication.</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4–6 ASHA/ANM workers trained over 2 days: hands-on fundus photography using the IMU-guided app, reading the colour-coded result display, delivering the LLM counselling message using the TTS audio, and completing the WhatsApp referral workflow</w:t>
      </w:r>
    </w:p>
    <w:p>
      <w:pPr>
        <w:pStyle w:val="ListParagraph"/>
        <w:numPr>
          <w:ilvl w:val="0"/>
          <w:numId w:val="2"/>
        </w:numPr>
        <w:spacing w:after="60" w:before="60"/>
      </w:pPr>
      <w:r>
        <w:rPr>
          <w:rFonts w:ascii="Arial" w:cs="Arial" w:eastAsia="Arial" w:hAnsi="Arial"/>
          <w:color w:val="1A1A2E"/>
          <w:sz w:val="22"/>
          <w:szCs w:val="22"/>
        </w:rPr>
        <w:t xml:space="preserve">Camp locations: weekly shandy (market) days — footfall is higher and social permission to screen is easier than doorstep visits</w:t>
      </w:r>
    </w:p>
    <w:p>
      <w:pPr>
        <w:pStyle w:val="ListParagraph"/>
        <w:numPr>
          <w:ilvl w:val="0"/>
          <w:numId w:val="2"/>
        </w:numPr>
        <w:spacing w:after="60" w:before="60"/>
      </w:pPr>
      <w:r>
        <w:rPr>
          <w:rFonts w:ascii="Arial" w:cs="Arial" w:eastAsia="Arial" w:hAnsi="Arial"/>
          <w:color w:val="1A1A2E"/>
          <w:sz w:val="22"/>
          <w:szCs w:val="22"/>
        </w:rPr>
        <w:t xml:space="preserve">Parallel grading protocol: every AI-graded image also reviewed by visiting ophthalmologist within 48 hours; disagreements reviewed by second ophthalmologist. This generates labelled data for federated learning and performance reporting</w:t>
      </w:r>
    </w:p>
    <w:p>
      <w:pPr>
        <w:pStyle w:val="ListParagraph"/>
        <w:numPr>
          <w:ilvl w:val="0"/>
          <w:numId w:val="2"/>
        </w:numPr>
        <w:spacing w:after="60" w:before="60"/>
      </w:pPr>
      <w:r>
        <w:rPr>
          <w:rFonts w:ascii="Arial" w:cs="Arial" w:eastAsia="Arial" w:hAnsi="Arial"/>
          <w:color w:val="1A1A2E"/>
          <w:sz w:val="22"/>
          <w:szCs w:val="22"/>
        </w:rPr>
        <w:t xml:space="preserve">Primary outcomes measured: image QC pass rate, AI sensitivity/specificity vs ophthalmologist, 3-month referral attendance rate, ASHA worker satisfaction score</w:t>
      </w:r>
    </w:p>
    <w:p>
      <w:pPr>
        <w:spacing w:after="80" w:before="0"/>
      </w:pPr>
      <w:r>
        <w:t xml:space="preserve"/>
      </w:r>
    </w:p>
    <w:p>
      <w:pPr>
        <w:pStyle w:val="Heading2"/>
        <w:spacing w:after="160" w:before="300"/>
      </w:pPr>
      <w:r>
        <w:rPr>
          <w:rFonts w:ascii="Arial" w:cs="Arial" w:eastAsia="Arial" w:hAnsi="Arial"/>
          <w:b/>
          <w:bCs/>
          <w:color w:val="1A1A2E"/>
          <w:sz w:val="28"/>
          <w:szCs w:val="28"/>
        </w:rPr>
        <w:t xml:space="preserve">8.2 Phase 2 — District Expansion (Months 7–18)</w:t>
      </w:r>
    </w:p>
    <w:p>
      <w:pPr>
        <w:pStyle w:val="ListParagraph"/>
        <w:numPr>
          <w:ilvl w:val="0"/>
          <w:numId w:val="2"/>
        </w:numPr>
        <w:spacing w:after="60" w:before="60"/>
      </w:pPr>
      <w:r>
        <w:rPr>
          <w:rFonts w:ascii="Arial" w:cs="Arial" w:eastAsia="Arial" w:hAnsi="Arial"/>
          <w:color w:val="1A1A2E"/>
          <w:sz w:val="22"/>
          <w:szCs w:val="22"/>
        </w:rPr>
        <w:t xml:space="preserve">Expand to 20 Primary Health Centres (PHCs) across the district, each receiving one DRISHTI unit</w:t>
      </w:r>
    </w:p>
    <w:p>
      <w:pPr>
        <w:pStyle w:val="ListParagraph"/>
        <w:numPr>
          <w:ilvl w:val="0"/>
          <w:numId w:val="2"/>
        </w:numPr>
        <w:spacing w:after="60" w:before="60"/>
      </w:pPr>
      <w:r>
        <w:rPr>
          <w:rFonts w:ascii="Arial" w:cs="Arial" w:eastAsia="Arial" w:hAnsi="Arial"/>
          <w:color w:val="1A1A2E"/>
          <w:sz w:val="22"/>
          <w:szCs w:val="22"/>
        </w:rPr>
        <w:t xml:space="preserve">WhatsApp-based referral corridor established to nearest tertiary eye centre (MIMS, Calicut Medical College, or equivalent)</w:t>
      </w:r>
    </w:p>
    <w:p>
      <w:pPr>
        <w:pStyle w:val="ListParagraph"/>
        <w:numPr>
          <w:ilvl w:val="0"/>
          <w:numId w:val="2"/>
        </w:numPr>
        <w:spacing w:after="60" w:before="60"/>
      </w:pPr>
      <w:r>
        <w:rPr>
          <w:rFonts w:ascii="Arial" w:cs="Arial" w:eastAsia="Arial" w:hAnsi="Arial"/>
          <w:color w:val="1A1A2E"/>
          <w:sz w:val="22"/>
          <w:szCs w:val="22"/>
        </w:rPr>
        <w:t xml:space="preserve">Fixed-day camp schedule published monthly through Panchayat notice boards and ASHA worker WhatsApp groups</w:t>
      </w:r>
    </w:p>
    <w:p>
      <w:pPr>
        <w:pStyle w:val="ListParagraph"/>
        <w:numPr>
          <w:ilvl w:val="0"/>
          <w:numId w:val="2"/>
        </w:numPr>
        <w:spacing w:after="60" w:before="60"/>
      </w:pPr>
      <w:r>
        <w:rPr>
          <w:rFonts w:ascii="Arial" w:cs="Arial" w:eastAsia="Arial" w:hAnsi="Arial"/>
          <w:color w:val="1A1A2E"/>
          <w:sz w:val="22"/>
          <w:szCs w:val="22"/>
        </w:rPr>
        <w:t xml:space="preserve">District-level dashboard tracks: screens per month by PHC, DR grade distribution, referral rate, confirmed referral attendance rate, false negative rate from spot-check ophthalmologist review</w:t>
      </w:r>
    </w:p>
    <w:p>
      <w:pPr>
        <w:pStyle w:val="ListParagraph"/>
        <w:numPr>
          <w:ilvl w:val="0"/>
          <w:numId w:val="2"/>
        </w:numPr>
        <w:spacing w:after="60" w:before="60"/>
      </w:pPr>
      <w:r>
        <w:rPr>
          <w:rFonts w:ascii="Arial" w:cs="Arial" w:eastAsia="Arial" w:hAnsi="Arial"/>
          <w:color w:val="1A1A2E"/>
          <w:sz w:val="22"/>
          <w:szCs w:val="22"/>
        </w:rPr>
        <w:t xml:space="preserve">Federated learning activated: all 20 devices contribute weight updates to state server weekly</w:t>
      </w:r>
    </w:p>
    <w:p>
      <w:pPr>
        <w:spacing w:after="80" w:before="0"/>
      </w:pPr>
      <w:r>
        <w:t xml:space="preserve"/>
      </w:r>
    </w:p>
    <w:p>
      <w:pPr>
        <w:pStyle w:val="Heading2"/>
        <w:spacing w:after="160" w:before="300"/>
      </w:pPr>
      <w:r>
        <w:rPr>
          <w:rFonts w:ascii="Arial" w:cs="Arial" w:eastAsia="Arial" w:hAnsi="Arial"/>
          <w:b/>
          <w:bCs/>
          <w:color w:val="1A1A2E"/>
          <w:sz w:val="28"/>
          <w:szCs w:val="28"/>
        </w:rPr>
        <w:t xml:space="preserve">8.3 Phase 3 — State NHM Integration</w:t>
      </w:r>
    </w:p>
    <w:p>
      <w:pPr>
        <w:pStyle w:val="ListParagraph"/>
        <w:numPr>
          <w:ilvl w:val="0"/>
          <w:numId w:val="2"/>
        </w:numPr>
        <w:spacing w:after="60" w:before="60"/>
      </w:pPr>
      <w:r>
        <w:rPr>
          <w:rFonts w:ascii="Arial" w:cs="Arial" w:eastAsia="Arial" w:hAnsi="Arial"/>
          <w:color w:val="1A1A2E"/>
          <w:sz w:val="22"/>
          <w:szCs w:val="22"/>
        </w:rPr>
        <w:t xml:space="preserve">Integration with NPCDCS (National Programme for Control of Diabetes, Cardiovascular Disease and Stroke) under NHM — existing budget line for NCD screening visits covers per-screen cost</w:t>
      </w:r>
    </w:p>
    <w:p>
      <w:pPr>
        <w:pStyle w:val="ListParagraph"/>
        <w:numPr>
          <w:ilvl w:val="0"/>
          <w:numId w:val="2"/>
        </w:numPr>
        <w:spacing w:after="60" w:before="60"/>
      </w:pPr>
      <w:r>
        <w:rPr>
          <w:rFonts w:ascii="Arial" w:cs="Arial" w:eastAsia="Arial" w:hAnsi="Arial"/>
          <w:color w:val="1A1A2E"/>
          <w:sz w:val="22"/>
          <w:szCs w:val="22"/>
        </w:rPr>
        <w:t xml:space="preserve">ABHA patient record linkage: screening results synced to patient's national health record via NDHM API</w:t>
      </w:r>
    </w:p>
    <w:p>
      <w:pPr>
        <w:pStyle w:val="ListParagraph"/>
        <w:numPr>
          <w:ilvl w:val="0"/>
          <w:numId w:val="2"/>
        </w:numPr>
        <w:spacing w:after="60" w:before="60"/>
      </w:pPr>
      <w:r>
        <w:rPr>
          <w:rFonts w:ascii="Arial" w:cs="Arial" w:eastAsia="Arial" w:hAnsi="Arial"/>
          <w:color w:val="1A1A2E"/>
          <w:sz w:val="22"/>
          <w:szCs w:val="22"/>
        </w:rPr>
        <w:t xml:space="preserve">Integration with Kerala's existing teleophthalm hub-and-spoke model connecting district hospitals to tertiary centres</w:t>
      </w:r>
    </w:p>
    <w:p>
      <w:pPr>
        <w:pStyle w:val="ListParagraph"/>
        <w:numPr>
          <w:ilvl w:val="0"/>
          <w:numId w:val="2"/>
        </w:numPr>
        <w:spacing w:after="60" w:before="60"/>
      </w:pPr>
      <w:r>
        <w:rPr>
          <w:rFonts w:ascii="Arial" w:cs="Arial" w:eastAsia="Arial" w:hAnsi="Arial"/>
          <w:color w:val="1A1A2E"/>
          <w:sz w:val="22"/>
          <w:szCs w:val="22"/>
        </w:rPr>
        <w:t xml:space="preserve">State procurement through GEM (Government e-Marketplace) portal under medical devices category</w:t>
      </w:r>
    </w:p>
    <w:p>
      <w:pPr>
        <w:pStyle w:val="ListParagraph"/>
        <w:numPr>
          <w:ilvl w:val="0"/>
          <w:numId w:val="2"/>
        </w:numPr>
        <w:spacing w:after="60" w:before="60"/>
      </w:pPr>
      <w:r>
        <w:rPr>
          <w:rFonts w:ascii="Arial" w:cs="Arial" w:eastAsia="Arial" w:hAnsi="Arial"/>
          <w:color w:val="1A1A2E"/>
          <w:sz w:val="22"/>
          <w:szCs w:val="22"/>
        </w:rPr>
        <w:t xml:space="preserve">Regulatory pathway: AI-based diagnostic device falls under Class C medical device under CDSCO MDR 2017 — DRISHTI's architecture separates the cleared diagnostic component (Aravind/LVPEI model, Remidio hardware) from the software layer (app, LLM, federated system) to simplify regulatory classification</w:t>
      </w:r>
    </w:p>
    <w:p>
      <w:pPr>
        <w:spacing w:after="160" w:before="0"/>
      </w:pPr>
      <w:r>
        <w:t xml:space="preserve"/>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9: COST STRUCTURE &amp; ECONOMIC CASE</w:t>
      </w:r>
    </w:p>
    <w:p>
      <w:pPr>
        <w:spacing w:after="100" w:before="0"/>
      </w:pPr>
      <w:r>
        <w:t xml:space="preserve"/>
      </w:r>
    </w:p>
    <w:p>
      <w:pPr>
        <w:pStyle w:val="Heading2"/>
        <w:spacing w:after="160" w:before="300"/>
      </w:pPr>
      <w:r>
        <w:rPr>
          <w:rFonts w:ascii="Arial" w:cs="Arial" w:eastAsia="Arial" w:hAnsi="Arial"/>
          <w:b/>
          <w:bCs/>
          <w:color w:val="1A1A2E"/>
          <w:sz w:val="28"/>
          <w:szCs w:val="28"/>
        </w:rPr>
        <w:t xml:space="preserve">9.1 Capital Expenditure Per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Low Estimate</w:t>
            </w:r>
          </w:p>
        </w:tc>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High Estimate</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Remidio FOP NM lens + validated Android device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₹1,50,000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₹2,00,000</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Solar power bank + LED ring controller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₹12,000</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Case, accessories, protective housing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₹3,000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installation, model loading, setup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₹3,000</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ASHA worker 2-day training programme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₹4,000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₹6,000</w:t>
            </w:r>
          </w:p>
        </w:tc>
      </w:tr>
      <w:tr>
        <w:tc>
          <w:tcPr>
            <w:tcW w:type="dxa" w:w="5360"/>
            <w:tcBorders>
              <w:top w:val="single" w:color="CCCCCC" w:sz="1"/>
              <w:left w:val="single" w:color="CCCCCC" w:sz="1"/>
              <w:bottom w:val="single" w:color="CCCCCC" w:sz="1"/>
              <w:right w:val="single" w:color="CCCCCC" w:sz="1"/>
            </w:tcBorders>
            <w:shd w:fill="83C5BE" w:val="clear"/>
            <w:tcMar>
              <w:top w:type="dxa" w:w="80"/>
              <w:left w:type="dxa" w:w="120"/>
              <w:bottom w:type="dxa" w:w="80"/>
              <w:right w:type="dxa" w:w="120"/>
            </w:tcMar>
          </w:tcPr>
          <w:p>
            <w:r>
              <w:rPr>
                <w:rFonts w:ascii="Arial" w:cs="Arial" w:eastAsia="Arial" w:hAnsi="Arial"/>
                <w:b/>
                <w:bCs/>
                <w:color w:val="FFFFFF"/>
                <w:sz w:val="20"/>
                <w:szCs w:val="20"/>
              </w:rPr>
              <w:t xml:space="preserve">TOTAL CAPEX PER UNIT</w:t>
            </w:r>
          </w:p>
        </w:tc>
        <w:tc>
          <w:tcPr>
            <w:tcW w:type="dxa" w:w="2000"/>
            <w:tcBorders>
              <w:top w:val="single" w:color="CCCCCC" w:sz="1"/>
              <w:left w:val="single" w:color="CCCCCC" w:sz="1"/>
              <w:bottom w:val="single" w:color="CCCCCC" w:sz="1"/>
              <w:right w:val="single" w:color="CCCCCC" w:sz="1"/>
            </w:tcBorders>
            <w:shd w:fill="83C5BE" w:val="clear"/>
            <w:tcMar>
              <w:top w:type="dxa" w:w="80"/>
              <w:left w:type="dxa" w:w="120"/>
              <w:bottom w:type="dxa" w:w="80"/>
              <w:right w:type="dxa" w:w="120"/>
            </w:tcMar>
          </w:tcPr>
          <w:p>
            <w:r>
              <w:rPr>
                <w:rFonts w:ascii="Arial" w:cs="Arial" w:eastAsia="Arial" w:hAnsi="Arial"/>
                <w:b/>
                <w:bCs/>
                <w:color w:val="FFFFFF"/>
                <w:sz w:val="20"/>
                <w:szCs w:val="20"/>
              </w:rPr>
              <w:t xml:space="preserve">₹1,67,000</w:t>
            </w:r>
          </w:p>
        </w:tc>
        <w:tc>
          <w:tcPr>
            <w:tcW w:type="dxa" w:w="2000"/>
            <w:tcBorders>
              <w:top w:val="single" w:color="CCCCCC" w:sz="1"/>
              <w:left w:val="single" w:color="CCCCCC" w:sz="1"/>
              <w:bottom w:val="single" w:color="CCCCCC" w:sz="1"/>
              <w:right w:val="single" w:color="CCCCCC" w:sz="1"/>
            </w:tcBorders>
            <w:shd w:fill="83C5BE" w:val="clear"/>
            <w:tcMar>
              <w:top w:type="dxa" w:w="80"/>
              <w:left w:type="dxa" w:w="120"/>
              <w:bottom w:type="dxa" w:w="80"/>
              <w:right w:type="dxa" w:w="120"/>
            </w:tcMar>
          </w:tcPr>
          <w:p>
            <w:r>
              <w:rPr>
                <w:rFonts w:ascii="Arial" w:cs="Arial" w:eastAsia="Arial" w:hAnsi="Arial"/>
                <w:b/>
                <w:bCs/>
                <w:color w:val="FFFFFF"/>
                <w:sz w:val="20"/>
                <w:szCs w:val="20"/>
              </w:rPr>
              <w:t xml:space="preserve">₹2,26,000</w:t>
            </w:r>
          </w:p>
        </w:tc>
      </w:tr>
    </w:tbl>
    <w:p>
      <w:pPr>
        <w:spacing w:after="120" w:before="0"/>
      </w:pPr>
      <w:r>
        <w:t xml:space="preserve"/>
      </w:r>
    </w:p>
    <w:p>
      <w:pPr>
        <w:pStyle w:val="Heading2"/>
        <w:spacing w:after="160" w:before="300"/>
      </w:pPr>
      <w:r>
        <w:rPr>
          <w:rFonts w:ascii="Arial" w:cs="Arial" w:eastAsia="Arial" w:hAnsi="Arial"/>
          <w:b/>
          <w:bCs/>
          <w:color w:val="1A1A2E"/>
          <w:sz w:val="28"/>
          <w:szCs w:val="28"/>
        </w:rPr>
        <w:t xml:space="preserve">9.2 Recurrent Cost Per Screen</w:t>
      </w:r>
    </w:p>
    <w:p>
      <w:pPr>
        <w:spacing w:after="120" w:before="80"/>
        <w:jc w:val="both"/>
      </w:pPr>
      <w:r>
        <w:rPr>
          <w:rFonts w:ascii="Arial" w:cs="Arial" w:eastAsia="Arial" w:hAnsi="Arial"/>
          <w:b w:val="false"/>
          <w:bCs w:val="false"/>
          <w:i w:val="false"/>
          <w:iCs w:val="false"/>
          <w:color w:val="1A1A2E"/>
          <w:sz w:val="22"/>
          <w:szCs w:val="22"/>
        </w:rPr>
        <w:t xml:space="preserve">At a camp throughput of 30 patients per day, 4 camp days per month, 12 months per year, each unit screens approximately 1,440 patients per year. The recurrent cost breakdown per screen:</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AI licensing (Aravind/LVPEI TFLite model — one-time licence amortised): ₹12 per screen</w:t>
      </w:r>
    </w:p>
    <w:p>
      <w:pPr>
        <w:pStyle w:val="ListParagraph"/>
        <w:numPr>
          <w:ilvl w:val="0"/>
          <w:numId w:val="2"/>
        </w:numPr>
        <w:spacing w:after="60" w:before="60"/>
      </w:pPr>
      <w:r>
        <w:rPr>
          <w:rFonts w:ascii="Arial" w:cs="Arial" w:eastAsia="Arial" w:hAnsi="Arial"/>
          <w:color w:val="1A1A2E"/>
          <w:sz w:val="22"/>
          <w:szCs w:val="22"/>
        </w:rPr>
        <w:t xml:space="preserve">EyePACS cloud fallback sync (when connectivity available, per image): ₹18 per screen</w:t>
      </w:r>
    </w:p>
    <w:p>
      <w:pPr>
        <w:pStyle w:val="ListParagraph"/>
        <w:numPr>
          <w:ilvl w:val="0"/>
          <w:numId w:val="2"/>
        </w:numPr>
        <w:spacing w:after="60" w:before="60"/>
      </w:pPr>
      <w:r>
        <w:rPr>
          <w:rFonts w:ascii="Arial" w:cs="Arial" w:eastAsia="Arial" w:hAnsi="Arial"/>
          <w:color w:val="1A1A2E"/>
          <w:sz w:val="22"/>
          <w:szCs w:val="22"/>
        </w:rPr>
        <w:t xml:space="preserve">ASHA worker camp logistics (transport, per diem, consumables): ₹32 per screen</w:t>
      </w:r>
    </w:p>
    <w:p>
      <w:pPr>
        <w:pStyle w:val="ListParagraph"/>
        <w:numPr>
          <w:ilvl w:val="0"/>
          <w:numId w:val="2"/>
        </w:numPr>
        <w:spacing w:after="60" w:before="60"/>
      </w:pPr>
      <w:r>
        <w:rPr>
          <w:rFonts w:ascii="Arial" w:cs="Arial" w:eastAsia="Arial" w:hAnsi="Arial"/>
          <w:color w:val="1A1A2E"/>
          <w:sz w:val="22"/>
          <w:szCs w:val="22"/>
        </w:rPr>
        <w:t xml:space="preserve">LLM model hosting/update distribution: ₹6 per screen</w:t>
      </w:r>
    </w:p>
    <w:p>
      <w:pPr>
        <w:pStyle w:val="ListParagraph"/>
        <w:numPr>
          <w:ilvl w:val="0"/>
          <w:numId w:val="2"/>
        </w:numPr>
        <w:spacing w:after="60" w:before="60"/>
      </w:pPr>
      <w:r>
        <w:rPr>
          <w:rFonts w:ascii="Arial" w:cs="Arial" w:eastAsia="Arial" w:hAnsi="Arial"/>
          <w:color w:val="1A1A2E"/>
          <w:sz w:val="22"/>
          <w:szCs w:val="22"/>
        </w:rPr>
        <w:t xml:space="preserve">Connectivity (data pack allocation for sync): ₹4 per screen</w:t>
      </w:r>
    </w:p>
    <w:p>
      <w:pPr>
        <w:pStyle w:val="ListParagraph"/>
        <w:numPr>
          <w:ilvl w:val="0"/>
          <w:numId w:val="2"/>
        </w:numPr>
        <w:spacing w:after="60" w:before="60"/>
      </w:pPr>
      <w:r>
        <w:rPr>
          <w:rFonts w:ascii="Arial" w:cs="Arial" w:eastAsia="Arial" w:hAnsi="Arial"/>
          <w:color w:val="1A1A2E"/>
          <w:sz w:val="22"/>
          <w:szCs w:val="22"/>
        </w:rPr>
        <w:t xml:space="preserve">Device amortisation over 4-year lifespan: ₹9 per screen</w:t>
      </w:r>
    </w:p>
    <w:p>
      <w:pPr>
        <w:pStyle w:val="ListParagraph"/>
        <w:numPr>
          <w:ilvl w:val="0"/>
          <w:numId w:val="2"/>
        </w:numPr>
        <w:spacing w:after="60" w:before="60"/>
      </w:pPr>
      <w:r>
        <w:rPr>
          <w:rFonts w:ascii="Arial" w:cs="Arial" w:eastAsia="Arial" w:hAnsi="Arial"/>
          <w:color w:val="1A1A2E"/>
          <w:sz w:val="22"/>
          <w:szCs w:val="22"/>
        </w:rPr>
        <w:t xml:space="preserve">TOTAL RECURRENT COST: approximately ₹81 per screen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4A261" w:sz="1"/>
              <w:left w:val="single" w:color="F4A261" w:sz="8"/>
              <w:bottom w:val="single" w:color="F4A261" w:sz="1"/>
              <w:right w:val="single" w:color="F4A261" w:sz="1"/>
            </w:tcBorders>
            <w:shd w:fill="FFF3E8" w:val="clear"/>
            <w:tcMar>
              <w:top w:type="dxa" w:w="100"/>
              <w:left w:type="dxa" w:w="200"/>
              <w:bottom w:type="dxa" w:w="100"/>
              <w:right w:type="dxa" w:w="200"/>
            </w:tcMar>
          </w:tcPr>
          <w:p>
            <w:r>
              <w:rPr>
                <w:rFonts w:ascii="Arial" w:cs="Arial" w:eastAsia="Arial" w:hAnsi="Arial"/>
                <w:b/>
                <w:bCs/>
                <w:color w:val="F4A261"/>
                <w:sz w:val="20"/>
                <w:szCs w:val="20"/>
              </w:rPr>
              <w:t xml:space="preserve">ECONOMIC CASE</w:t>
            </w:r>
          </w:p>
          <w:p>
            <w:pPr>
              <w:spacing w:before="40"/>
            </w:pPr>
            <w:r>
              <w:rPr>
                <w:rFonts w:ascii="Arial" w:cs="Arial" w:eastAsia="Arial" w:hAnsi="Arial"/>
                <w:color w:val="1A1A2E"/>
                <w:sz w:val="21"/>
                <w:szCs w:val="21"/>
              </w:rPr>
              <w:t xml:space="preserve">The NPCDCS programme currently allocates ₹200–250 per beneficiary per year for NCD screening visits at PHC level — visits that do not include retinal examination. DRISHTI replaces a clinic-based referral pathway (ophthalmologist visit cost: ₹800–2,500 per patient journey including transport) with a ₹81 village-level screen that catches disease before it requires expensive tertiary intervention. Treatment of proliferative DR with vitreoretinal surgery costs ₹40,000–80,000 per eye. Preventing one case of blindness through early detection and timely referral pays for approximately 500 DRISHTI screens.</w:t>
            </w:r>
          </w:p>
        </w:tc>
      </w:tr>
    </w:tbl>
    <w:p>
      <w:pPr>
        <w:spacing w:after="160" w:before="0"/>
      </w:pPr>
      <w:r>
        <w:t xml:space="preserve"/>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10: THE RESEARCH PAPER ARCHITECTURE</w:t>
      </w:r>
    </w:p>
    <w:p>
      <w:pPr>
        <w:spacing w:after="10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The most publishable paper architecture is a unified systems contribution — not nine separate innovations described independently, but a coherent argument that three specific, interconnected innovations together solve the three failure modes that have defeated every prior village screening programme.</w:t>
      </w:r>
    </w:p>
    <w:p>
      <w:pPr>
        <w:spacing w:after="80" w:before="0"/>
      </w:pPr>
      <w:r>
        <w:t xml:space="preserve"/>
      </w:r>
    </w:p>
    <w:p>
      <w:pPr>
        <w:pStyle w:val="Heading2"/>
        <w:spacing w:after="160" w:before="300"/>
      </w:pPr>
      <w:r>
        <w:rPr>
          <w:rFonts w:ascii="Arial" w:cs="Arial" w:eastAsia="Arial" w:hAnsi="Arial"/>
          <w:b/>
          <w:bCs/>
          <w:color w:val="1A1A2E"/>
          <w:sz w:val="28"/>
          <w:szCs w:val="28"/>
        </w:rPr>
        <w:t xml:space="preserve">10.1 Proposed Title and Abstract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06D77" w:sz="1"/>
              <w:left w:val="single" w:color="006D77" w:sz="8"/>
              <w:bottom w:val="single" w:color="006D77" w:sz="1"/>
              <w:right w:val="single" w:color="006D77" w:sz="1"/>
            </w:tcBorders>
            <w:shd w:fill="E8F4F5" w:val="clear"/>
            <w:tcMar>
              <w:top w:type="dxa" w:w="100"/>
              <w:left w:type="dxa" w:w="200"/>
              <w:bottom w:type="dxa" w:w="100"/>
              <w:right w:type="dxa" w:w="200"/>
            </w:tcMar>
          </w:tcPr>
          <w:p>
            <w:r>
              <w:rPr>
                <w:rFonts w:ascii="Arial" w:cs="Arial" w:eastAsia="Arial" w:hAnsi="Arial"/>
                <w:b/>
                <w:bCs/>
                <w:color w:val="006D77"/>
                <w:sz w:val="20"/>
                <w:szCs w:val="20"/>
              </w:rPr>
              <w:t xml:space="preserve">PROPOSED PAPER TITLE</w:t>
            </w:r>
          </w:p>
          <w:p>
            <w:pPr>
              <w:spacing w:before="40"/>
            </w:pPr>
            <w:r>
              <w:rPr>
                <w:rFonts w:ascii="Arial" w:cs="Arial" w:eastAsia="Arial" w:hAnsi="Arial"/>
                <w:color w:val="1A1A2E"/>
                <w:sz w:val="21"/>
                <w:szCs w:val="21"/>
              </w:rPr>
              <w:t xml:space="preserve">A unified IMU-stabilised, multi-disease, federated AI framework with vernacular LLM counselling for autonomous diabetic retinopathy screening in resource-limited village settings: development, validation, and referral compliance outcomes — a cluster randomised controlled trial in Kerala, India</w:t>
            </w:r>
          </w:p>
        </w:tc>
      </w:tr>
    </w:tbl>
    <w:p>
      <w:pPr>
        <w:spacing w:after="12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Abstract structure (250 words):</w:t>
      </w:r>
    </w:p>
    <w:p>
      <w:pPr>
        <w:pStyle w:val="ListParagraph"/>
        <w:numPr>
          <w:ilvl w:val="0"/>
          <w:numId w:val="2"/>
        </w:numPr>
        <w:spacing w:after="60" w:before="60"/>
      </w:pPr>
      <w:r>
        <w:rPr>
          <w:rFonts w:ascii="Arial" w:cs="Arial" w:eastAsia="Arial" w:hAnsi="Arial"/>
          <w:color w:val="1A1A2E"/>
          <w:sz w:val="22"/>
          <w:szCs w:val="22"/>
        </w:rPr>
        <w:t xml:space="preserve">Background: Diabetic retinopathy affects X million Indians; &lt;Y% receive annual retinal screening; access barrier is specialist-equipment dependency.</w:t>
      </w:r>
    </w:p>
    <w:p>
      <w:pPr>
        <w:pStyle w:val="ListParagraph"/>
        <w:numPr>
          <w:ilvl w:val="0"/>
          <w:numId w:val="2"/>
        </w:numPr>
        <w:spacing w:after="60" w:before="60"/>
      </w:pPr>
      <w:r>
        <w:rPr>
          <w:rFonts w:ascii="Arial" w:cs="Arial" w:eastAsia="Arial" w:hAnsi="Arial"/>
          <w:color w:val="1A1A2E"/>
          <w:sz w:val="22"/>
          <w:szCs w:val="22"/>
        </w:rPr>
        <w:t xml:space="preserve">Methods: We developed DRISHTI — an Android-based screening system with three integrated innovations: IMU-guided shutter stabilisation, multi-task EfficientNet-B3 grading of DR/glaucoma/AMD/retinal age, and on-device Gemma-2 2B LLM counselling in five regional languages. We conducted a cluster-randomised trial across 20 PHCs in [district], Kerala comparing DRISHTI to standard care (DR-only screener without stabilisation or vernacular counselling).</w:t>
      </w:r>
    </w:p>
    <w:p>
      <w:pPr>
        <w:pStyle w:val="ListParagraph"/>
        <w:numPr>
          <w:ilvl w:val="0"/>
          <w:numId w:val="2"/>
        </w:numPr>
        <w:spacing w:after="60" w:before="60"/>
      </w:pPr>
      <w:r>
        <w:rPr>
          <w:rFonts w:ascii="Arial" w:cs="Arial" w:eastAsia="Arial" w:hAnsi="Arial"/>
          <w:color w:val="1A1A2E"/>
          <w:sz w:val="22"/>
          <w:szCs w:val="22"/>
        </w:rPr>
        <w:t xml:space="preserve">Primary outcomes: Image QC pass rate, AI grading sensitivity/specificity vs. ophthalmologist, 3-month referral attendance rate.</w:t>
      </w:r>
    </w:p>
    <w:p>
      <w:pPr>
        <w:pStyle w:val="ListParagraph"/>
        <w:numPr>
          <w:ilvl w:val="0"/>
          <w:numId w:val="2"/>
        </w:numPr>
        <w:spacing w:after="60" w:before="60"/>
      </w:pPr>
      <w:r>
        <w:rPr>
          <w:rFonts w:ascii="Arial" w:cs="Arial" w:eastAsia="Arial" w:hAnsi="Arial"/>
          <w:color w:val="1A1A2E"/>
          <w:sz w:val="22"/>
          <w:szCs w:val="22"/>
        </w:rPr>
        <w:t xml:space="preserve">Results: [placeholder for trial data]</w:t>
      </w:r>
    </w:p>
    <w:p>
      <w:pPr>
        <w:pStyle w:val="ListParagraph"/>
        <w:numPr>
          <w:ilvl w:val="0"/>
          <w:numId w:val="2"/>
        </w:numPr>
        <w:spacing w:after="60" w:before="60"/>
      </w:pPr>
      <w:r>
        <w:rPr>
          <w:rFonts w:ascii="Arial" w:cs="Arial" w:eastAsia="Arial" w:hAnsi="Arial"/>
          <w:color w:val="1A1A2E"/>
          <w:sz w:val="22"/>
          <w:szCs w:val="22"/>
        </w:rPr>
        <w:t xml:space="preserve">Conclusion: DRISHTI's integrated approach addresses image quality, diagnostic breadth, and patient comprehension simultaneously, achieving [X]% referral attendance vs [Y]% in standard care (p&lt;0.001).</w:t>
      </w:r>
    </w:p>
    <w:p>
      <w:pPr>
        <w:spacing w:after="80" w:before="0"/>
      </w:pPr>
      <w:r>
        <w:t xml:space="preserve"/>
      </w:r>
    </w:p>
    <w:p>
      <w:pPr>
        <w:pStyle w:val="Heading2"/>
        <w:spacing w:after="160" w:before="300"/>
      </w:pPr>
      <w:r>
        <w:rPr>
          <w:rFonts w:ascii="Arial" w:cs="Arial" w:eastAsia="Arial" w:hAnsi="Arial"/>
          <w:b/>
          <w:bCs/>
          <w:color w:val="1A1A2E"/>
          <w:sz w:val="28"/>
          <w:szCs w:val="28"/>
        </w:rPr>
        <w:t xml:space="preserve">10.2 Target Journals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Journal</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Impact Factor</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Lancet Digital Health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36.6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Digital health systems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 — LMIC focus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npj Digital Medicine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in medicine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 AI+RCT design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Ophthalmology (AAO)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14.6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Eye disease AI</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Strong for DR focus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JAMA Network Open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Clinical evidence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Strong with RCT data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Indian J Ophthalmol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India-specific</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Guaranteed with pilot data</w:t>
            </w:r>
          </w:p>
        </w:tc>
      </w:tr>
    </w:tbl>
    <w:p>
      <w:pPr>
        <w:spacing w:after="160" w:before="0"/>
      </w:pPr>
      <w:r>
        <w:t xml:space="preserve"/>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SECTION 11: COMPLETE AI/ML GLOSSARY</w:t>
      </w:r>
    </w:p>
    <w:p>
      <w:pPr>
        <w:spacing w:after="10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All AI, machine learning, and technical terms used in this document, defined in plain language for non-specialist readers.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tcPr>
          <w:p>
            <w:r>
              <w:rPr>
                <w:rFonts w:ascii="Arial" w:cs="Arial" w:eastAsia="Arial" w:hAnsi="Arial"/>
                <w:b/>
                <w:bCs/>
                <w:color w:val="FFFFFF"/>
                <w:sz w:val="20"/>
                <w:szCs w:val="20"/>
              </w:rPr>
              <w:t xml:space="preserve">Plain-Language Definition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Accelerometer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Sensor that measures how fast an object is speeding up or slowing down in any direction. In phones, measures device movement 200+ times per second.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AUC (Area Under ROC Curve)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single number (0 to 1) summarising how well a diagnostic AI separates sick from healthy patients across all possible thresholds. Above 0.90 is excellent.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CNN (Convolutional Neural Network)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 AI architecture that learns to recognise visual patterns by progressively detecting simple edges, then shapes, then complex structures like blood vessels.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Differential 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Adding calibrated mathematical noise to data so no individual's information can be extracted from aggregated statistics, even by sophisticated attack.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EfficientNet-B3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specific CNN architecture from Google that achieves high diagnostic accuracy with relatively modest computing requirements — ideal for phone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ETDRS Scale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Early Treatment Diabetic Retinopathy Study scale — the international 5-level standard for grading DR severity, used in all clinical trials and regulatory submissions.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Federated Learning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Training AI models across many devices simultaneously without centralising the data — only the mathematical updates (not patient images) are shared.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Fine-Tuning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Taking an AI model already trained on large general data and training it further on a smaller specialised dataset to improve performance on a specific task.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Gemma-2 2B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Google's 2-billion parameter language model designed to run on mobile devices. Generates coherent text in multiple languages without internet connection.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Grad-CAM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visualisation technique that shows which pixels in an image the AI looked at most when making its decision — creates an explanatory heatmap overlay.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Gyroscope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Sensor that measures rotational speed (how fast a phone is spinning). Used in DRISHTI to detect and compensate for hand tremor during fundus capture.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IMU (Inertial Measurement Unit)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Combined sensor package measuring all motion: accelerometer + gyroscope + optional compass. Provides complete 9-axis motion data 200+ times per second.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Inference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The process of running a trained AI model on new input data to produce an output (prediction or classification). Distinct from training, which happens earlier.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INT4 / INT8 Quantisation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Reducing AI model numbers from 32-bit precision to 4-bit or 8-bit integers, shrinking model size and speeding up processing with minimal accuracy loss.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Kalman Filter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Mathematical algorithm that optimally combines sensor measurements with physics predictions to estimate the true state of a moving system with high accuracy.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(Large Language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model trained on vast text data to generate human-like language. Can follow instructions, translate, simplify, and personalise text across topics and languages.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LoRA (Low-Rank Adaptation)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 efficient fine-tuning technique that trains only a tiny fraction (&lt;0.1%) of an LLM's parameters to specialise it for a task, saving 90%+ of compute costs.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MobileNetV3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lightweight CNN architecture from Google optimised for mobile devices — fast inference, small model size, used in DRISHTI for real-time image quality checking.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Multi-Task Learning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Training one AI model to perform multiple different tasks simultaneously, sharing a common representation layer and using the relationships between tasks to improve performance on 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Neural Processing Unit (NPU)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specialised chip inside modern smartphones designed specifically to accelerate AI calculations — 5–10x faster than using the general CPU for the same tasks.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Quantisation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Reducing the numerical precision of an AI model's parameters to make it smaller and faster, trading a small amount of accuracy for large gains in speed and memory.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ROC Curve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graph showing a diagnostic test's performance across all possible decision thresholds — plots true positive rate vs false positive rate to reveal overall discriminative ability.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Semantic Segmentation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AI task of assigning a category label to every individual pixel in an image, enabling precise measurement of anatomical structures like optic disc and cup diameters.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Sensitivity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percentage of true disease cases correctly identified. High sensitivity means fewer missed diagnoses (fewer false negatives). Critical for screening.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Specificity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The percentage of truly healthy cases correctly cleared. High specificity means fewer false alarms (fewer false positives). Critical to avoid unnecessary referrals.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TensorFlow Lite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lightweight version of Google's TensorFlow AI framework, optimised to run AI models on smartphones and edge devices without requiring cloud connectivity.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U-Net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CNN architecture originally designed for medical image segmentation. Its symmetric encoder-decoder structure with 'skip connections' preserves fine spatial detail — ideal for optic disc boundary detection.</w:t>
            </w:r>
          </w:p>
        </w:tc>
      </w:tr>
    </w:tbl>
    <w:p>
      <w:pPr>
        <w:spacing w:after="200" w:before="0"/>
      </w:pPr>
      <w:r>
        <w:t xml:space="preserve"/>
      </w:r>
    </w:p>
    <w:p>
      <w:pPr>
        <w:spacing w:after="0" w:before="0"/>
      </w:pPr>
      <w:r>
        <w:br w:type="page"/>
      </w:r>
    </w:p>
    <w:p>
      <w:pPr>
        <w:pStyle w:val="Heading1"/>
        <w:shd w:fill="006D77" w:val="clear"/>
        <w:spacing w:after="200" w:before="200"/>
        <w:ind w:left="180" w:right="180"/>
      </w:pPr>
      <w:r>
        <w:rPr>
          <w:rFonts w:ascii="Arial" w:cs="Arial" w:eastAsia="Arial" w:hAnsi="Arial"/>
          <w:b/>
          <w:bCs/>
          <w:color w:val="FFFFFF"/>
          <w:sz w:val="36"/>
          <w:szCs w:val="36"/>
        </w:rPr>
        <w:t xml:space="preserve">CLOSING: THE UNIFIED ARGUMENT</w:t>
      </w:r>
    </w:p>
    <w:p>
      <w:pPr>
        <w:spacing w:after="10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DRISHTI's most important contribution is not any individual technology. It is the demonstration that three specific, measurable failure modes — image quality failure, single-disease diagnostic limitation, and communication-driven referral non-compliance — can be solved simultaneously within a 4-minute, ₹81, offline-capable village screening workflow.</w:t>
      </w:r>
    </w:p>
    <w:p>
      <w:pPr>
        <w:spacing w:after="8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Every prior programme solved one of these three problems. Some excellent programmes, like Aravind's existing teleophthalm network, solve two. DRISHTI solves all three in a single integrated system designed from the ground up for the operational reality of an ASHA worker at a weekly shandy market in rural Kerala, with no internet, no ophthalmologist, and 30 patients waiting.</w:t>
      </w:r>
    </w:p>
    <w:p>
      <w:pPr>
        <w:spacing w:after="80" w:before="0"/>
      </w:pPr>
      <w:r>
        <w:t xml:space="preserve"/>
      </w:r>
    </w:p>
    <w:p>
      <w:pPr>
        <w:spacing w:after="120" w:before="80"/>
        <w:jc w:val="both"/>
      </w:pPr>
      <w:r>
        <w:rPr>
          <w:rFonts w:ascii="Arial" w:cs="Arial" w:eastAsia="Arial" w:hAnsi="Arial"/>
          <w:b w:val="false"/>
          <w:bCs w:val="false"/>
          <w:i w:val="false"/>
          <w:iCs w:val="false"/>
          <w:color w:val="1A1A2E"/>
          <w:sz w:val="22"/>
          <w:szCs w:val="22"/>
        </w:rPr>
        <w:t xml:space="preserve">The technology is not the innovation. The technology exists. The innovation is the deployment architecture — placing specialist-grade multi-disease retinal diagnosis and personalised regional-language counselling in the hands of a community health worker with two days of training, zero cloud dependency, and full compliance with India's national health data frameworks.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4A261" w:sz="1"/>
              <w:left w:val="single" w:color="F4A261" w:sz="8"/>
              <w:bottom w:val="single" w:color="F4A261" w:sz="1"/>
              <w:right w:val="single" w:color="F4A261" w:sz="1"/>
            </w:tcBorders>
            <w:shd w:fill="FFF3E8" w:val="clear"/>
            <w:tcMar>
              <w:top w:type="dxa" w:w="100"/>
              <w:left w:type="dxa" w:w="200"/>
              <w:bottom w:type="dxa" w:w="100"/>
              <w:right w:type="dxa" w:w="200"/>
            </w:tcMar>
          </w:tcPr>
          <w:p>
            <w:r>
              <w:rPr>
                <w:rFonts w:ascii="Arial" w:cs="Arial" w:eastAsia="Arial" w:hAnsi="Arial"/>
                <w:b/>
                <w:bCs/>
                <w:color w:val="F4A261"/>
                <w:sz w:val="20"/>
                <w:szCs w:val="20"/>
              </w:rPr>
              <w:t xml:space="preserve">THE FINAL MEASURE</w:t>
            </w:r>
          </w:p>
          <w:p>
            <w:pPr>
              <w:spacing w:before="40"/>
            </w:pPr>
            <w:r>
              <w:rPr>
                <w:rFonts w:ascii="Arial" w:cs="Arial" w:eastAsia="Arial" w:hAnsi="Arial"/>
                <w:color w:val="1A1A2E"/>
                <w:sz w:val="21"/>
                <w:szCs w:val="21"/>
              </w:rPr>
              <w:t xml:space="preserve">DRISHTI's success is not measured in AUC scores or sensitivity percentages. It is measured in one number: the percentage of patients with sight-threatening diabetic retinopathy who receive timely treatment before they go blind. Every design decision in this document traces back to that single number.</w:t>
            </w:r>
          </w:p>
        </w:tc>
      </w:tr>
    </w:tbl>
    <w:p>
      <w:pPr>
        <w:spacing w:after="160" w:before="0"/>
      </w:pPr>
      <w:r>
        <w:t xml:space="preserve"/>
      </w:r>
    </w:p>
    <w:p>
      <w:pPr>
        <w:spacing w:after="200" w:before="200"/>
        <w:jc w:val="center"/>
      </w:pPr>
      <w:r>
        <w:rPr>
          <w:rFonts w:ascii="Arial" w:cs="Arial" w:eastAsia="Arial" w:hAnsi="Arial"/>
          <w:i/>
          <w:iCs/>
          <w:color w:val="83C5BE"/>
          <w:sz w:val="20"/>
          <w:szCs w:val="20"/>
        </w:rPr>
        <w:t xml:space="preserve">End of Document</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77" w:sz="4" w:space="1"/>
      </w:pBdr>
      <w:tabs>
        <w:tab w:val="right" w:pos="9026"/>
      </w:tabs>
      <w:spacing w:after="60"/>
    </w:pPr>
    <w:r>
      <w:rPr>
        <w:rFonts w:ascii="Arial" w:cs="Arial" w:eastAsia="Arial" w:hAnsi="Arial"/>
        <w:color w:val="006D77"/>
        <w:sz w:val="16"/>
        <w:szCs w:val="16"/>
      </w:rPr>
      <w:t xml:space="preserve">DRISHTI — Diabetic Retinal Imaging with Smartphone Technology and Hyperlocal Intelligence</w:t>
    </w:r>
    <w:r>
      <w:rPr>
        <w:sz w:val="16"/>
        <w:szCs w:val="16"/>
      </w:rPr>
      <w:t xml:space="preserve">	</w:t>
    </w:r>
    <w:r>
      <w:rPr>
        <w:rFonts w:ascii="Arial" w:cs="Arial" w:eastAsia="Arial" w:hAnsi="Arial"/>
        <w:color w:val="006D77"/>
        <w:sz w:val="16"/>
        <w:szCs w:val="16"/>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06D77" w:val="clear"/>
      <w:spacing w:after="200" w:before="400"/>
      <w:outlineLvl w:val="0"/>
    </w:pPr>
    <w:rPr>
      <w:rFonts w:ascii="Arial" w:cs="Arial" w:eastAsia="Arial" w:hAnsi="Arial"/>
      <w:b/>
      <w:bCs/>
      <w:color w:val="FFFFFF"/>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A1A2E"/>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006D77"/>
      <w:sz w:val="26"/>
      <w:szCs w:val="26"/>
    </w:rPr>
  </w:style>
  <w:style w:type="paragraph" w:styleId="Heading4">
    <w:name w:val="Heading 4"/>
    <w:basedOn w:val="Normal"/>
    <w:next w:val="Normal"/>
    <w:qFormat/>
    <w:pPr>
      <w:spacing w:after="80" w:before="200"/>
      <w:outlineLvl w:val="3"/>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2026-04-09T01:58:59.555Z</dcterms:created>
  <dcterms:modified xsi:type="dcterms:W3CDTF">2026-04-09T01:58:59.556Z</dcterms:modified>
</cp:coreProperties>
</file>

<file path=docProps/custom.xml><?xml version="1.0" encoding="utf-8"?>
<Properties xmlns="http://schemas.openxmlformats.org/officeDocument/2006/custom-properties" xmlns:vt="http://schemas.openxmlformats.org/officeDocument/2006/docPropsVTypes"/>
</file>