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Executive Summary</w:t>
      </w:r>
    </w:p>
    <w:p>
      <w:pPr>
        <w:pStyle w:val="ListBullet"/>
      </w:pPr>
      <w:r>
        <w:t>Privacy Impact Assessment conducted for Application.</w:t>
      </w:r>
    </w:p>
    <w:p>
      <w:pPr>
        <w:pStyle w:val="ListBullet"/>
      </w:pPr>
      <w:r>
        <w:t>Project processes customer and order data, performing ETL (Extract, Transform, Load) pipelines using Delta Live Tables.</w:t>
      </w:r>
    </w:p>
    <w:p>
      <w:pPr>
        <w:pStyle w:val="ListBullet"/>
      </w:pPr>
      <w:r>
        <w:t>Data sources are CSVs ingested and transformed, with SCD Type 2 applied to maintain historical record lineage.</w:t>
      </w:r>
    </w:p>
    <w:p>
      <w:pPr>
        <w:pStyle w:val="Heading1"/>
      </w:pPr>
      <w:r>
        <w:t>Project Overview and Purpose of Processing</w:t>
      </w:r>
    </w:p>
    <w:p>
      <w:pPr>
        <w:pStyle w:val="ListBullet"/>
      </w:pPr>
      <w:r>
        <w:t>Ingest customer and order CSVs into Delta tables.</w:t>
      </w:r>
    </w:p>
    <w:p>
      <w:pPr>
        <w:pStyle w:val="ListBullet"/>
      </w:pPr>
      <w:r>
        <w:t>Cleanse, transform, and join data to create enriched datasets for analytics and reporting.</w:t>
      </w:r>
    </w:p>
    <w:p>
      <w:pPr>
        <w:pStyle w:val="Heading1"/>
      </w:pPr>
      <w:r>
        <w:t>Description of Personal Data Categories Processed</w:t>
      </w:r>
    </w:p>
    <w:p>
      <w:pPr>
        <w:pStyle w:val="ListBullet"/>
      </w:pPr>
      <w:r>
        <w:t>Names (customer)</w:t>
      </w:r>
    </w:p>
    <w:p>
      <w:pPr>
        <w:pStyle w:val="ListBullet"/>
      </w:pPr>
      <w:r>
        <w:t>EmailId (customer)</w:t>
      </w:r>
    </w:p>
    <w:p>
      <w:pPr>
        <w:pStyle w:val="ListBullet"/>
      </w:pPr>
      <w:r>
        <w:t>Region (customer)</w:t>
      </w:r>
    </w:p>
    <w:p>
      <w:pPr>
        <w:pStyle w:val="ListBullet"/>
      </w:pPr>
      <w:r>
        <w:t>Purchase details: OrderId, ItemName, PricePerUnit, Qty, Date, CustId (order)</w:t>
      </w:r>
    </w:p>
    <w:p>
      <w:pPr>
        <w:pStyle w:val="Heading1"/>
      </w:pPr>
      <w:r>
        <w:t>Data Flow Architecture (collection, storage, processing, sharing)</w:t>
      </w:r>
    </w:p>
    <w:p>
      <w:pPr>
        <w:pStyle w:val="ListBullet"/>
      </w:pPr>
      <w:r>
        <w:t>Data collected from CSV files at defined file system locations.</w:t>
      </w:r>
    </w:p>
    <w:p>
      <w:pPr>
        <w:pStyle w:val="ListBullet"/>
      </w:pPr>
      <w:r>
        <w:t>Loaded into Delta tables for customer and order datasets.</w:t>
      </w:r>
    </w:p>
    <w:p>
      <w:pPr>
        <w:pStyle w:val="ListBullet"/>
      </w:pPr>
      <w:r>
        <w:t>Data cleansing (removal of "Null" values and duplicates).</w:t>
      </w:r>
    </w:p>
    <w:p>
      <w:pPr>
        <w:pStyle w:val="ListBullet"/>
      </w:pPr>
      <w:r>
        <w:t>Computed columns (TotalAmount) and joins to build summary and aggregate tables.</w:t>
      </w:r>
    </w:p>
    <w:p>
      <w:pPr>
        <w:pStyle w:val="ListBullet"/>
      </w:pPr>
      <w:r>
        <w:t>No explicit external data sharing defined; stored and processed within the Delta Live Tables environment.</w:t>
      </w:r>
    </w:p>
    <w:p>
      <w:pPr>
        <w:pStyle w:val="Heading2"/>
      </w:pPr>
      <w:r>
        <w:t>Data Flow Diagram — Mermaid Syntax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188122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88122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subgraph Data_Cleansing</w:t>
      </w:r>
    </w:p>
    <w:p>
      <w:r>
        <w:t>B --&gt; E["Cleaned Customer Table"]</w:t>
      </w:r>
    </w:p>
    <w:p>
      <w:r>
        <w:t>D --&gt; F["Cleaned Order Table"]</w:t>
      </w:r>
    </w:p>
    <w:p>
      <w:r>
        <w:t>end</w:t>
      </w:r>
    </w:p>
    <w:p>
      <w:r>
        <w:t>subgraph Transformation</w:t>
      </w:r>
    </w:p>
    <w:p>
      <w:r>
        <w:t>F --&gt; G["Order with TotalAmount"]</w:t>
      </w:r>
    </w:p>
    <w:p>
      <w:r>
        <w:t>E --&gt; H["Enriched Customer Table"]</w:t>
      </w:r>
    </w:p>
    <w:p>
      <w:r>
        <w:t>end</w:t>
      </w:r>
    </w:p>
    <w:p>
      <w:r>
        <w:t>subgraph Processing</w:t>
      </w:r>
    </w:p>
    <w:p>
      <w:r>
        <w:t>G --&gt; I["OrderSummary SCD Type 2 Joined Table"]</w:t>
      </w:r>
    </w:p>
    <w:p>
      <w:r>
        <w:t>H --&gt; I</w:t>
      </w:r>
    </w:p>
    <w:p>
      <w:r>
        <w:t>end</w:t>
      </w:r>
    </w:p>
    <w:p>
      <w:r>
        <w:t>subgraph Aggregation</w:t>
      </w:r>
    </w:p>
    <w:p>
      <w:r>
        <w:t>I --&gt; J["CustomerAggregateSpend"]</w:t>
      </w:r>
    </w:p>
    <w:p>
      <w:r>
        <w:t>end</w:t>
      </w:r>
    </w:p>
    <w:p>
      <w:r>
        <w:t>J --&gt; K["Reporting/Analytics"]</w:t>
      </w:r>
    </w:p>
    <w:p>
      <w:r>
        <w:t>style B fill:#f9f,stroke:#333,stroke-width:2px</w:t>
      </w:r>
    </w:p>
    <w:p>
      <w:r>
        <w:t>style D fill:#f9f,stroke:#333,stroke-width:2px</w:t>
      </w:r>
    </w:p>
    <w:p>
      <w:r>
        <w:t>style E fill:#bbf,stroke:#333,stroke-width:2px</w:t>
      </w:r>
    </w:p>
    <w:p>
      <w:r>
        <w:t>style F fill:#bbf,stroke:#333,stroke-width:2px</w:t>
      </w:r>
    </w:p>
    <w:p>
      <w:r>
        <w:t>style G fill:#bfb,stroke:#333,stroke-width:2px</w:t>
      </w:r>
    </w:p>
    <w:p>
      <w:r>
        <w:t>style I fill:#ffd,stroke:#333,stroke-width:2px</w:t>
      </w:r>
    </w:p>
    <w:p>
      <w:r>
        <w:t>style J fill:#dfd,stroke:#333,stroke-width:2px</w:t>
      </w:r>
    </w:p>
    <w:p>
      <w:r>
        <w:t>style K fill:#eee,stroke:#333,stroke-width:2px</w:t>
      </w:r>
    </w:p>
    <w:p>
      <w:pPr>
        <w:pStyle w:val="Heading1"/>
      </w:pPr>
      <w:r>
        <w:t>Lawful Basis for Processing</w:t>
      </w:r>
    </w:p>
    <w:p>
      <w:pPr>
        <w:pStyle w:val="ListBullet"/>
      </w:pPr>
      <w:r>
        <w:t>Processing based on business needs for analytical reporting.</w:t>
      </w:r>
    </w:p>
    <w:p>
      <w:pPr>
        <w:pStyle w:val="ListBullet"/>
      </w:pPr>
      <w:r>
        <w:t>Lawful basis likely: Legitimate Interest or Contract Fulfillment.</w:t>
      </w:r>
    </w:p>
    <w:p>
      <w:pPr>
        <w:pStyle w:val="Heading1"/>
      </w:pPr>
      <w:r>
        <w:t>Data Minimization Approach</w:t>
      </w:r>
    </w:p>
    <w:p>
      <w:pPr>
        <w:pStyle w:val="ListBullet"/>
      </w:pPr>
      <w:r>
        <w:t>Only necessary fields ingested, cleansed, and aggregated as per requirements.</w:t>
      </w:r>
    </w:p>
    <w:p>
      <w:pPr>
        <w:pStyle w:val="ListBullet"/>
      </w:pPr>
      <w:r>
        <w:t>Attributes not present in CSVs or required for processing are excluded.</w:t>
      </w:r>
    </w:p>
    <w:p>
      <w:pPr>
        <w:pStyle w:val="Heading1"/>
      </w:pPr>
      <w:r>
        <w:t>Consent Management Controls</w:t>
      </w:r>
    </w:p>
    <w:p>
      <w:pPr>
        <w:pStyle w:val="ListBullet"/>
      </w:pPr>
      <w:r>
        <w:t>No consumer-facing consent workflow; presumed backend processing on business data.</w:t>
      </w:r>
    </w:p>
    <w:p>
      <w:pPr>
        <w:pStyle w:val="ListBullet"/>
      </w:pPr>
      <w:r>
        <w:t>Consent and fair processing information to be further defined by business owner if personal data sources are expanded.</w:t>
      </w:r>
    </w:p>
    <w:p>
      <w:pPr>
        <w:pStyle w:val="Heading1"/>
      </w:pPr>
      <w:r>
        <w:t>Third-Party / Vendor Data Sharing Implications</w:t>
      </w:r>
    </w:p>
    <w:p>
      <w:pPr>
        <w:pStyle w:val="ListBullet"/>
      </w:pPr>
      <w:r>
        <w:t>No explicit third-party sharing specified.</w:t>
      </w:r>
    </w:p>
    <w:p>
      <w:pPr>
        <w:pStyle w:val="ListBullet"/>
      </w:pPr>
      <w:r>
        <w:t>Data processed and retained within internal system boundaries defined for the ETL/Delta Live Tables pipeline.</w:t>
      </w:r>
    </w:p>
    <w:p>
      <w:pPr>
        <w:pStyle w:val="Heading1"/>
      </w:pPr>
      <w:r>
        <w:t>Risk Identification</w:t>
      </w:r>
    </w:p>
    <w:p>
      <w:pPr>
        <w:pStyle w:val="ListBullet"/>
      </w:pPr>
      <w:r>
        <w:t>Confidentiality risks: Unauthorized access to tables.</w:t>
      </w:r>
    </w:p>
    <w:p>
      <w:pPr>
        <w:pStyle w:val="ListBullet"/>
      </w:pPr>
      <w:r>
        <w:t>Integrity risks: Data corruption during pipeline transformations.</w:t>
      </w:r>
    </w:p>
    <w:p>
      <w:pPr>
        <w:pStyle w:val="ListBullet"/>
      </w:pPr>
      <w:r>
        <w:t>Re-identification risks: Via EmailId, Name, or region if datasets are combined externally.</w:t>
      </w:r>
    </w:p>
    <w:p>
      <w:pPr>
        <w:pStyle w:val="ListBullet"/>
      </w:pPr>
      <w:r>
        <w:t>Access management risks: Insufficient table/data access controls.</w:t>
      </w:r>
    </w:p>
    <w:p>
      <w:pPr>
        <w:pStyle w:val="Heading1"/>
      </w:pPr>
      <w:r>
        <w:t>Impact Assessment with Severity &amp; Likelihood Scoring</w:t>
      </w:r>
    </w:p>
    <w:p>
      <w:pPr>
        <w:pStyle w:val="ListBullet"/>
      </w:pPr>
      <w:r>
        <w:t>Confidentiality Risk: Moderate severity, moderate likelihood if access not hardened.</w:t>
      </w:r>
    </w:p>
    <w:p>
      <w:pPr>
        <w:pStyle w:val="ListBullet"/>
      </w:pPr>
      <w:r>
        <w:t>Integrity Risk: Low to moderate severity, low likelihood with validated pipelines.</w:t>
      </w:r>
    </w:p>
    <w:p>
      <w:pPr>
        <w:pStyle w:val="ListBullet"/>
      </w:pPr>
      <w:r>
        <w:t>Re-identification Risk: Low severity, low likelihood within prescribed use.</w:t>
      </w:r>
    </w:p>
    <w:p>
      <w:pPr>
        <w:pStyle w:val="ListBullet"/>
      </w:pPr>
      <w:r>
        <w:t>Access Risk: Moderate severity, moderate likelihood if controls are not defined.</w:t>
      </w:r>
    </w:p>
    <w:p>
      <w:pPr>
        <w:pStyle w:val="Heading1"/>
      </w:pPr>
      <w:r>
        <w:t>Mitigation Strategies &amp; Security Controls (Encryption, DLP, IAM, Logging)</w:t>
      </w:r>
    </w:p>
    <w:p>
      <w:pPr>
        <w:pStyle w:val="ListBullet"/>
      </w:pPr>
      <w:r>
        <w:t>Ensure storage encryption at rest and transit within Delta infrastructure.</w:t>
      </w:r>
    </w:p>
    <w:p>
      <w:pPr>
        <w:pStyle w:val="ListBullet"/>
      </w:pPr>
      <w:r>
        <w:t>Implement role-based access on Delta tables.</w:t>
      </w:r>
    </w:p>
    <w:p>
      <w:pPr>
        <w:pStyle w:val="ListBullet"/>
      </w:pPr>
      <w:r>
        <w:t>Establish data access logging and periodic review.</w:t>
      </w:r>
    </w:p>
    <w:p>
      <w:pPr>
        <w:pStyle w:val="ListBullet"/>
      </w:pPr>
      <w:r>
        <w:t>Data Loss Prevention: Restrict export and external sharing.</w:t>
      </w:r>
    </w:p>
    <w:p>
      <w:pPr>
        <w:pStyle w:val="ListBullet"/>
      </w:pPr>
      <w:r>
        <w:t>Audit logs for all ETL operations and data transformations.</w:t>
      </w:r>
    </w:p>
    <w:p>
      <w:pPr>
        <w:pStyle w:val="Heading1"/>
      </w:pPr>
      <w:r>
        <w:t>Residual Risk Evaluation</w:t>
      </w:r>
    </w:p>
    <w:p>
      <w:pPr>
        <w:pStyle w:val="ListBullet"/>
      </w:pPr>
      <w:r>
        <w:t>If above controls are implemented, residual risk reduced to low.</w:t>
      </w:r>
    </w:p>
    <w:p>
      <w:pPr>
        <w:pStyle w:val="ListBullet"/>
      </w:pPr>
      <w:r>
        <w:t>Unmitigated risks remain where controls are not documented in current requirements.</w:t>
      </w:r>
    </w:p>
    <w:p>
      <w:pPr>
        <w:pStyle w:val="Heading1"/>
      </w:pPr>
      <w:r>
        <w:t>Compliance Mapping (GDPR Articles, Local Regulations)</w:t>
      </w:r>
    </w:p>
    <w:p>
      <w:pPr>
        <w:pStyle w:val="ListBullet"/>
      </w:pPr>
      <w:r>
        <w:t>Article 5 (Data Processing Principles: data minimization, purpose limitation)</w:t>
      </w:r>
    </w:p>
    <w:p>
      <w:pPr>
        <w:pStyle w:val="ListBullet"/>
      </w:pPr>
      <w:r>
        <w:t>Article 6 (Lawful Basis)</w:t>
      </w:r>
    </w:p>
    <w:p>
      <w:pPr>
        <w:pStyle w:val="ListBullet"/>
      </w:pPr>
      <w:r>
        <w:t>Article 25 (Data Protection by Design/Default)</w:t>
      </w:r>
    </w:p>
    <w:p>
      <w:pPr>
        <w:pStyle w:val="ListBullet"/>
      </w:pPr>
      <w:r>
        <w:t>Article 32 (Security of Processing)</w:t>
      </w:r>
    </w:p>
    <w:p>
      <w:pPr>
        <w:pStyle w:val="ListBullet"/>
      </w:pPr>
      <w:r>
        <w:t>Data subject rights provisions are not directly implemented.</w:t>
      </w:r>
    </w:p>
    <w:p>
      <w:pPr>
        <w:pStyle w:val="Heading1"/>
      </w:pPr>
      <w:r>
        <w:t>Approval &amp; Sign‑off Matrix</w:t>
      </w:r>
    </w:p>
    <w:p>
      <w:pPr>
        <w:pStyle w:val="ListBullet"/>
      </w:pPr>
      <w:r>
        <w:t>Data Owner: Assign business stakeholder for sign-off.</w:t>
      </w:r>
    </w:p>
    <w:p>
      <w:pPr>
        <w:pStyle w:val="ListBullet"/>
      </w:pPr>
      <w:r>
        <w:t>IT/Data Engineering Lead: Pipeline/process implementation sign-off.</w:t>
      </w:r>
    </w:p>
    <w:p>
      <w:pPr>
        <w:pStyle w:val="ListBullet"/>
      </w:pPr>
      <w:r>
        <w:t>Compliance/DP Officer: Regulatory review and controls validation.</w:t>
      </w:r>
    </w:p>
    <w:p>
      <w:pPr>
        <w:pStyle w:val="ListBullet"/>
      </w:pPr>
      <w:r>
        <w:t>Stakeholders: Not explicitly provided; identify during project delivery.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