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are the detailed Functional Requirements based on the provided BRD's "Coding Requirements" section: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FR-E2E-001: Read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Read address change candidate records from Oracle staging source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address change candidate records from the Oracle staging source table `STG_E2E_AC_TXDBH_DATA`.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Oracle staging source table `STG_E2E_AC_TXDBH_DATA` is available and contains the required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data from `STG_E2E_AC_TXDBH_DATA`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the data to the next transformation for processing.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FR-E2E-002: Create Flat File Output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flat file output for DP Address Change YUYU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flat file output containing the required fields for DP Address Change YUYU.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is available from the previous transformation.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sequence number using `SEQTRANS.NEXTVAL`.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the required fields (e.g., `ORIGIN_REQUEST_ID`, `POLICY_ID`, `RECEPTION_DATE`, etc.) based on the input data and business rules.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 flat file output with the required fields.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FR-E2E-003: Update Staging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staging table with process metadata and key identifiers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staging table `STG_E2E_AC_TXDBH_DATA` with process metadata and key identifiers.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is available from the previous transformation.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`STG_E2E_AC_TXDBH_DATA` table with the required fields (e.g., `STG_PROCESS_DATE`, `STG_PROCESS_USERID`, etc.) based on the input data and business rules.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the `DD_UPDATE` update strategy to update the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FR-E2E-004: Derive Reception Date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Derive reception date in the required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derive the reception date in the required format based on the input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contains the `T_TX_REQUEST_REQ_ACC_DATETIME` field.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the `T_TX_REQUEST_REQ_ACC_DATETIME` field to the required format using the specified business rule (BR-03).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FR-E2E-005: Apply Address Fallback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Apply address fallback logic when ZIP is missing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apply address fallback logic when the ZIP code is missing.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contains the required fields (e.g., `T_TX_DTL_ADD_CH_N_TRANS_ZIP`, `PPAY_ADR1_FW`, etc.).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the ZIP code is missing.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the fallback logic to derive the required address fields (e.g., `NEW_ADDRESS_KANA_1`, `NEW_ADDRESS_KANA_2`, etc.) based on the specified business rule (BR-04).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FR-E2E-006: Normalize Postal Code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Normalize postal code by removing hyphens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normalize the postal code by removing hyphens.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contains the `T_TX_DTL_ADD_CH_N_TRANS_ZIP` field.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hyphens from the postal code using the specified business rule (BR-05).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FR-E2E-007: Format Telephone Number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Format telephone number according to the specified rules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format the telephone number according to the specified rules.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contains the `T_TX_DTL_ADD_CH_N_TRANS_PHNO` field.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 the telephone number using the specified business rule (BR-06).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FR-E2E-008: Derive Policy Owner 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Derive policy owner name in Kana and Kanji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derive the policy owner name in Kana and Kanji based on the input data and lookup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contains the required fields (e.g., `T_TX_BASIC_POLICY_ID`, etc.) and the lookup tables are available.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lookups on the `T_YUYU_CLNT` and `T_YUYUK_CLN` tables to retrieve the required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the policy owner name in Kana and Kanji using the specified business rules (BR-07 and BR-08).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FR-E2E-009: Stamp Process Metadata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Stamp process metadata on staging update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stamp process metadata (e.g., `STG_PROCESS_DATE`, `STG_PROCESS_USERID`, etc.) on the staging update.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 The input data is available from the previous transformation.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the process metadata using the specified business rules (BR-01 and BR-02).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staging table with the process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