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Represents individual or business customers providing orders.</w:t>
      </w:r>
    </w:p>
    <w:p>
      <w:pPr>
        <w:pStyle w:val="ListBullet"/>
      </w:pPr>
      <w:r>
        <w:t>Order</w:t>
      </w:r>
    </w:p>
    <w:p>
      <w:pPr>
        <w:pStyle w:val="ListBullet"/>
      </w:pPr>
      <w:r>
        <w:t>Represents purchase transactions tied to customers.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Joined information of customers and their orders, including SCD Type 2 history.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Aggregated daily spend per customer by name.</w:t>
      </w:r>
    </w:p>
    <w:p>
      <w:pPr>
        <w:pStyle w:val="ListBullet"/>
      </w:pPr>
      <w:r>
        <w:t>Relationships:</w:t>
      </w:r>
    </w:p>
    <w:p>
      <w:pPr>
        <w:pStyle w:val="ListBullet"/>
      </w:pPr>
      <w:r>
        <w:t>One Customer has many Orders.</w:t>
      </w:r>
    </w:p>
    <w:p>
      <w:pPr>
        <w:pStyle w:val="ListBullet"/>
      </w:pPr>
      <w:r>
        <w:t>Orders are summarized and joined into OrderSummary with historical tracking.</w:t>
      </w:r>
    </w:p>
    <w:p>
      <w:pPr>
        <w:pStyle w:val="ListBullet"/>
      </w:pPr>
      <w:r>
        <w:t>OrderSummary aggregates into CustomerAggregateSpend per Name and Date.</w:t>
      </w:r>
    </w:p>
    <w:p>
      <w:pPr>
        <w:pStyle w:val="ListBullet"/>
      </w:pPr>
      <w:r>
        <w:t>Business Definitions:</w:t>
      </w:r>
    </w:p>
    <w:p>
      <w:pPr>
        <w:pStyle w:val="ListBullet"/>
      </w:pPr>
      <w:r>
        <w:t>Customer: An identifiable entity involved in orders.</w:t>
      </w:r>
    </w:p>
    <w:p>
      <w:pPr>
        <w:pStyle w:val="ListBullet"/>
      </w:pPr>
      <w:r>
        <w:t>Order: A transaction or purchase with product and quantity details.</w:t>
      </w:r>
    </w:p>
    <w:p>
      <w:pPr>
        <w:pStyle w:val="ListBullet"/>
      </w:pPr>
      <w:r>
        <w:t>OrderSummary: A historical, joined dataset from customer and order with SCD Type 2 logic.</w:t>
      </w:r>
    </w:p>
    <w:p>
      <w:pPr>
        <w:pStyle w:val="ListBullet"/>
      </w:pPr>
      <w:r>
        <w:t>CustomerAggregateSpend: Sum of daily spending per customer name.</w:t>
      </w:r>
    </w:p>
    <w:p>
      <w:pPr>
        <w:pStyle w:val="Heading1"/>
      </w:pPr>
      <w:r>
        <w:t>2. Logical Data Model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OrderId (Primary Key)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CustId (Foreign Key → Customer.CustId)</w:t>
      </w:r>
    </w:p>
    <w:p>
      <w:pPr>
        <w:pStyle w:val="ListBullet"/>
      </w:pPr>
      <w:r>
        <w:t>TotalAmount (Computed, PricePerUnit × Qty)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r>
        <w:t>-</w:t>
      </w:r>
    </w:p>
    <w:p>
      <w:r/>
    </w:p>
    <w:p>
      <w:pPr>
        <w:pStyle w:val="Heading1"/>
      </w:pPr>
      <w:r>
        <w:t>Technology-Agnostic Notes</w:t>
      </w:r>
    </w:p>
    <w:p>
      <w:pPr>
        <w:pStyle w:val="ListBullet"/>
      </w:pPr>
      <w:r>
        <w:t>No physical storage platform is assumed beyond use of Delta-compliant tables</w:t>
      </w:r>
    </w:p>
    <w:p>
      <w:pPr>
        <w:pStyle w:val="ListBullet"/>
      </w:pPr>
      <w:r>
        <w:t>Table and field types correspond to generic RDBMS and Delta conventions</w:t>
      </w:r>
    </w:p>
    <w:p>
      <w:pPr>
        <w:pStyle w:val="ListBullet"/>
      </w:pPr>
      <w:r>
        <w:t>SCD Type 2 logic uses generic fields: StartDate, EndDate, Active—field definitions are configurable per implementation style</w:t>
      </w:r>
    </w:p>
    <w:p>
      <w:pPr>
        <w:pStyle w:val="Heading1"/>
      </w:pPr>
      <w:r>
        <w:t>&lt;END OF DATA MODEL DOCUMENT&gt;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