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Source Table | Source Column | Source Type | Target Table | Target Column | Target Type | Transform Rule | Validation Rule | Business Logic | Comments</w:t>
      </w:r>
    </w:p>
    <w:p/>
    <w:p>
      <w:r>
        <w:t>customer | CustId | &lt;TBD&gt; | customer | CustId | &lt;TBD&gt; | Direct mapping | Not null, unique | Primary key for customer identification |</w:t>
      </w:r>
    </w:p>
    <w:p>
      <w:r>
        <w:t>customer | Name | &lt;TBD&gt; | customer | Name | &lt;TBD&gt; | Direct mapping | Not null | Stores customer name |</w:t>
      </w:r>
    </w:p>
    <w:p>
      <w:r>
        <w:t>customer | EmailId | &lt;TBD&gt; | customer | EmailId | &lt;TBD&gt; | Direct mapping | Format must be valid email, not null | Unique contact detail |</w:t>
      </w:r>
    </w:p>
    <w:p>
      <w:r>
        <w:t>customer | Region | &lt;TBD&gt; | customer | Region | &lt;TBD&gt; | Direct mapping | &lt;TBD&gt; | Customer's region |</w:t>
      </w:r>
    </w:p>
    <w:p/>
    <w:p>
      <w:r>
        <w:t>order | OrderId | &lt;TBD&gt; | order | OrderId | &lt;TBD&gt; | Direct mapping | Not null, unique | Primary key for order identification |</w:t>
      </w:r>
    </w:p>
    <w:p>
      <w:r>
        <w:t>order | ItemName | &lt;TBD&gt; | order | ItemName | &lt;TBD&gt; | Direct mapping | Not null | Item description |</w:t>
      </w:r>
    </w:p>
    <w:p>
      <w:r>
        <w:t>order | PricePerUnit | &lt;TBD&gt; | order | PricePerUnit | &lt;TBD&gt; | Direct mapping | Positive value, not null | Price per individual item |</w:t>
      </w:r>
    </w:p>
    <w:p>
      <w:r>
        <w:t>order | Qty | &lt;TBD&gt; | order | Qty | &lt;TBD&gt; | Direct mapping | Positive integer, not null | Quantity of items ordered |</w:t>
      </w:r>
    </w:p>
    <w:p>
      <w:r>
        <w:t>order | Date | &lt;TBD&gt; | order | Date | &lt;TBD&gt; | Direct mapping | Date format (YYYY-MM-DD), not null | Order date |</w:t>
      </w:r>
    </w:p>
    <w:p>
      <w:r>
        <w:t>order | CustId | &lt;TBD&gt; | order | CustId | &lt;TBD&gt; | Direct mapping | Must exist in customer.CustId | Foreign key to customer |</w:t>
      </w:r>
    </w:p>
    <w:p/>
    <w:p>
      <w:r>
        <w:t>order | &lt;derived&gt; | TotalAmount | order | TotalAmount | &lt;TBD&gt; | PricePerUnit * Qty | Must be ≥ 0 | Aggregated column for amount calculation | New column derived from existing fields</w:t>
      </w:r>
    </w:p>
    <w:p/>
    <w:p>
      <w:r>
        <w:t>ordersummary | CustId | &lt;TBD&gt; | ordersummary | CustId | &lt;TBD&gt; | From joined customer|order on CustId | Not null | Preserved for SCD2 processing |</w:t>
      </w:r>
    </w:p>
    <w:p>
      <w:r>
        <w:t>ordersummary | Name | &lt;TBD&gt; | ordersummary | Name | &lt;TBD&gt; | From customer | Not null | Preserved for SCD2 processing |</w:t>
      </w:r>
    </w:p>
    <w:p>
      <w:r>
        <w:t>ordersummary | EmailId | &lt;TBD&gt; | ordersummary | EmailId | &lt;TBD&gt; | From customer | Email format, not null | Preserved for SCD2 processing |</w:t>
      </w:r>
    </w:p>
    <w:p>
      <w:r>
        <w:t>ordersummary | Region | &lt;TBD&gt; | ordersummary | Region | &lt;TBD&gt; | From customer | &lt;TBD&gt; | Preserved for SCD2 processing |</w:t>
      </w:r>
    </w:p>
    <w:p>
      <w:r>
        <w:t>ordersummary | OrderId | &lt;TBD&gt; | ordersummary | OrderId | &lt;TBD&gt; | From order | Not null | Preserved for SCD2 processing |</w:t>
      </w:r>
    </w:p>
    <w:p>
      <w:r>
        <w:t>ordersummary | ItemName | &lt;TBD&gt; | ordersummary | ItemName | &lt;TBD&gt; | From order | Not null | Preserved for SCD2 processing |</w:t>
      </w:r>
    </w:p>
    <w:p>
      <w:r>
        <w:t>ordersummary | PricePerUnit | &lt;TBD&gt; | ordersummary | PricePerUnit | &lt;TBD&gt; | From order | Positive value, not null | Preserved for SCD2 processing |</w:t>
      </w:r>
    </w:p>
    <w:p>
      <w:r>
        <w:t>ordersummary | Qty | &lt;TBD&gt; | ordersummary | Qty | &lt;TBD&gt; | From order | Positive integer, not null | Preserved for SCD2 processing |</w:t>
      </w:r>
    </w:p>
    <w:p>
      <w:r>
        <w:t>ordersummary | Date | &lt;TBD&gt; | ordersummary | Date | &lt;TBD&gt; | From order | Date format (YYYY-MM-DD), not null | Preserved for SCD2 processing |</w:t>
      </w:r>
    </w:p>
    <w:p/>
    <w:p>
      <w:r>
        <w:t>ordersummary | &lt;derived&gt; | StartDate | ordersummary | StartDate | &lt;TBD&gt; | Set on record creation | Must be valid date | SCD2 effective start date |</w:t>
      </w:r>
    </w:p>
    <w:p>
      <w:r>
        <w:t>ordersummary | &lt;derived&gt; | EndDate | ordersummary | EndDate | &lt;TBD&gt; | Updated on customer change | Can be null for active, date for inactive | SCD2 effective end date |</w:t>
      </w:r>
    </w:p>
    <w:p>
      <w:r>
        <w:t>ordersummary | &lt;derived&gt; | ActiveFlag | ordersummary | ActiveFlag | &lt;TBD&gt; | Set to 'Y' for current, 'N' for inactive | 'Y' or 'N' | Indicates active/inactive status for SCD2 |</w:t>
      </w:r>
    </w:p>
    <w:p/>
    <w:p>
      <w:r>
        <w:t>customeraggregatespend | Name | &lt;TBD&gt; | customeraggregatespend | Name | &lt;TBD&gt; | Group by from ordersummary | Not null | Aggregated field for spend calculation |</w:t>
      </w:r>
    </w:p>
    <w:p>
      <w:r>
        <w:t>customeraggregatespend | TotalAmount | &lt;TBD&gt; | customeraggregatespend | TotalAmount | &lt;TBD&gt; | SUM(TotalAmount) grouped by Name, Date | TotalAmount ≥ 0 | Aggregated spend |</w:t>
      </w:r>
    </w:p>
    <w:p>
      <w:r>
        <w:t>customeraggregatespend | Date | &lt;TBD&gt; | customeraggregatespend | Date | &lt;TBD&gt; | Group by from ordersummary | Date format (YYYY-MM-DD), not null | Aggregated spend per date |</w:t>
      </w:r>
    </w:p>
    <w:p/>
    <w:p>
      <w:r>
        <w:t>Validation Rule: Remove all Null and duplicate records before loading data into target tables.</w:t>
      </w:r>
    </w:p>
    <w:p/>
    <w:p>
      <w:r>
        <w:t>Business Logic Notes:</w:t>
      </w:r>
    </w:p>
    <w:p>
      <w:pPr>
        <w:pStyle w:val="ListBullet"/>
      </w:pPr>
      <w:r>
        <w:t>Primary and foreign key constraints enforced throughout all transformations.</w:t>
      </w:r>
    </w:p>
    <w:p>
      <w:pPr>
        <w:pStyle w:val="ListBullet"/>
      </w:pPr>
      <w:r>
        <w:t>Data quality and pattern validation on each field based on rules above.</w:t>
      </w:r>
    </w:p>
    <w:p>
      <w:pPr>
        <w:pStyle w:val="ListBullet"/>
      </w:pPr>
      <w:r>
        <w:t>SCD2 logic for ordersummary: on customer change, set EndDate of previous records and insert/update with new customer data.</w:t>
      </w:r>
    </w:p>
    <w:p/>
    <w:p>
      <w:r>
        <w:t>Comments:</w:t>
      </w:r>
    </w:p>
    <w:p>
      <w:pPr>
        <w:pStyle w:val="ListBullet"/>
      </w:pPr>
      <w:r>
        <w:t>Datatypes and constraints to be defined based on implementation context (&lt;TBD&gt;).</w:t>
      </w:r>
    </w:p>
    <w:p>
      <w:pPr>
        <w:pStyle w:val="ListBullet"/>
      </w:pPr>
      <w:r>
        <w:t>Reference data for validation to be derived from customer and order tables as per transformation steps.</w:t>
      </w:r>
    </w:p>
    <w:p>
      <w:pPr>
        <w:pStyle w:val="ListBullet"/>
      </w:pPr>
      <w:r>
        <w:t>All transformation and scheduling implemented via delta live tables as per requirements.</w:t>
      </w:r>
    </w:p>
    <w:p/>
    <w:p>
      <w:r>
        <w:t>Load Frequency and Scheduling Notes:</w:t>
      </w:r>
    </w:p>
    <w:p>
      <w:pPr>
        <w:pStyle w:val="ListBullet"/>
      </w:pPr>
      <w:r>
        <w:t>All steps and updates must be scheduled according to operational batch windows (&lt;TBD&gt;).</w:t>
      </w:r>
    </w:p>
    <w:p>
      <w:pPr>
        <w:pStyle w:val="ListBullet"/>
      </w:pPr>
      <w:r>
        <w:t>SCD2 and aggregation updates must run post-source refresh and data ingestion completion.</w:t>
      </w:r>
    </w:p>
    <w:p>
      <w:pPr>
        <w:pStyle w:val="ListBullet"/>
      </w:pPr>
      <w:r>
        <w:t>Frequency and triggers for pipeline execution to be defined (&lt;TBD&gt;).</w:t>
      </w:r>
    </w:p>
    <w:p/>
    <w:p>
      <w:r>
        <w:t>Data Lineage Notes and Metadata:</w:t>
      </w:r>
    </w:p>
    <w:p>
      <w:pPr>
        <w:pStyle w:val="ListBullet"/>
      </w:pPr>
      <w:r>
        <w:t>Full lineage tracked from original source CSV, through all tables and transformation stages, to final aggregated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