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Here's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TR-E2E-001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read address change candidate records from an Oracle staging source, generate a flat-file style target dataset, and update the staging table with processing metadata and key identifiers.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E2E Processing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7.3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 (1 node)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Standard_DS3_v2 (2-5 nodes)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Oracle JDBC driver, Spark Oracle connector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STG_E2E_AC_TXDBH_DATA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staging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Oracle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Address change candidate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T_YUYU_CLNT and T_YUYUK_CLN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Oracle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Lookup tables for owner name components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DPAddressChangeYUYU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Designated file system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Flat file (delimited)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Target dataset containing specific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STG_E2E_AC_TXDBH_DATA_TGT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Oracle staging 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Oracle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staging table with processing metadata and key identifiers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1: Source Read - Read address change candidate records from STG_E2E_AC_TXDBH_DATA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2: Pre-Processing - Pass through key and address/phone fields, expose “PPAY_*”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3: Enrichment - Perform lookups on T_YUYU_CLNT and T_YUYUK_CLN for owner name components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4: Business Transformations - Apply date formatting, postal code normalization, address fallback logic, phone number formatting, and owner name concatenation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Stage 5: Outputs - Generate DPAddressChangeYUYU flat file and update STG_E2E_AC_TXDBH_DATA_TGT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Derive formatted 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Apply date formatting business rule (BR-03)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date formatting functions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Normalize postal code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hyphens from postal code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string manipulation functions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Apply address fallback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Use fallback values when ZIP is missing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conditional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Format phone numbers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Apply phone number formatting business rule (BR-06)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string manipulation functions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Concatenate owner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Derive owner name components using lookup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SQL join and string concatenation functions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messages and counts at each stage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try-except blocks to catch and handle exceptions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job execution metrics (e.g., records processed, time taken)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Databricks logging mechanisms to store logs in a designated 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