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</w:t>
      </w:r>
    </w:p>
    <w:p>
      <w:pPr>
        <w:pStyle w:val="ListBullet"/>
      </w:pPr>
      <w:r>
        <w:t>This Privacy Impact Assessment (PIA) evaluates data processing for ingesting and transforming customer and order data within the Application system.</w:t>
      </w:r>
    </w:p>
    <w:p>
      <w:pPr>
        <w:pStyle w:val="ListBullet"/>
      </w:pPr>
      <w:r>
        <w:t>Focus is on Delta Live Tables ETL flows, personal data categories handled, security controls, risk identification, and regulatory compliance (GDPR, ISO 27701, NIST).</w:t>
      </w:r>
    </w:p>
    <w:p>
      <w:pPr>
        <w:pStyle w:val="Heading1"/>
      </w:pPr>
      <w:r>
        <w:t>Project Overview and Purpose of Processing</w:t>
      </w:r>
    </w:p>
    <w:p>
      <w:pPr>
        <w:pStyle w:val="ListBullet"/>
      </w:pPr>
      <w:r>
        <w:t>Ingestion of customer/order data from CSVs to enterprise Delta tables.</w:t>
      </w:r>
    </w:p>
    <w:p>
      <w:pPr>
        <w:pStyle w:val="ListBullet"/>
      </w:pPr>
      <w:r>
        <w:t>Cleansing, transformation with computed columns, historical (SCD Type 2) tracking, and aggregation for analytics.</w:t>
      </w:r>
    </w:p>
    <w:p>
      <w:pPr>
        <w:pStyle w:val="ListBullet"/>
      </w:pPr>
      <w:r>
        <w:t>Purpose: analytics, reporting, and historical analysis.</w:t>
      </w:r>
    </w:p>
    <w:p>
      <w:pPr>
        <w:pStyle w:val="Heading1"/>
      </w:pPr>
      <w:r>
        <w:t>Description of Personal Data Categories Processed</w:t>
      </w:r>
    </w:p>
    <w:p>
      <w:pPr>
        <w:pStyle w:val="ListBullet"/>
      </w:pPr>
      <w:r>
        <w:t>Customer Name</w:t>
      </w:r>
    </w:p>
    <w:p>
      <w:pPr>
        <w:pStyle w:val="ListBullet"/>
      </w:pPr>
      <w:r>
        <w:t>EmailId</w:t>
      </w:r>
    </w:p>
    <w:p>
      <w:pPr>
        <w:pStyle w:val="ListBullet"/>
      </w:pPr>
      <w:r>
        <w:t>Region</w:t>
      </w:r>
    </w:p>
    <w:p>
      <w:pPr>
        <w:pStyle w:val="ListBullet"/>
      </w:pPr>
      <w:r>
        <w:t>Customer and Order Identifiers</w:t>
      </w:r>
    </w:p>
    <w:p>
      <w:pPr>
        <w:pStyle w:val="Heading1"/>
      </w:pPr>
      <w:r>
        <w:t>Data Flow Architecture (collection, storage, processing, sharing)</w:t>
      </w:r>
    </w:p>
    <w:p>
      <w:pPr>
        <w:pStyle w:val="ListBullet"/>
      </w:pPr>
      <w:r>
        <w:t>See below for simplified industry-standard architecture diagram.</w:t>
      </w:r>
    </w:p>
    <w:p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