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Non-Functional Requirements Document — Application</w:t>
      </w:r>
    </w:p>
    <w:p/>
    <w:p>
      <w:r>
        <w:t>Performance Requirements</w:t>
      </w:r>
    </w:p>
    <w:p>
      <w:pPr>
        <w:pStyle w:val="ListBullet"/>
      </w:pPr>
      <w:r>
        <w:t>System must process and load customer and order data from source CSV files into data tables within 30 minutes for data volumes up to 1 million records.</w:t>
      </w:r>
    </w:p>
    <w:p>
      <w:pPr>
        <w:pStyle w:val="ListBullet"/>
      </w:pPr>
      <w:r>
        <w:t>Aggregation and data update operations (including SCD Type 2 history updates) must complete within 20 minutes per batch.</w:t>
      </w:r>
    </w:p>
    <w:p>
      <w:pPr>
        <w:pStyle w:val="ListBullet"/>
      </w:pPr>
      <w:r>
        <w:t>Average latency for record insertion or modification must not exceed 2 seconds for single-record operations.</w:t>
      </w:r>
    </w:p>
    <w:p>
      <w:pPr>
        <w:pStyle w:val="ListBullet"/>
      </w:pPr>
      <w:r>
        <w:t>Concurrency support for at least 10 simultaneous processing jobs.</w:t>
      </w:r>
    </w:p>
    <w:p>
      <w:pPr>
        <w:pStyle w:val="ListBullet"/>
      </w:pPr>
      <w:r>
        <w:t>Throughput of 10,000 records/minute for ingestion jobs.</w:t>
      </w:r>
    </w:p>
    <w:p/>
    <w:p>
      <w:r>
        <w:t>Scalability Requirements</w:t>
      </w:r>
    </w:p>
    <w:p>
      <w:pPr>
        <w:pStyle w:val="ListBullet"/>
      </w:pPr>
      <w:r>
        <w:t>System must support horizontal scaling for increasing data volumes up to 10 million records.</w:t>
      </w:r>
    </w:p>
    <w:p>
      <w:pPr>
        <w:pStyle w:val="ListBullet"/>
      </w:pPr>
      <w:r>
        <w:t>Must be able to add compute resources dynamically (vertical scaling) as needed during high-load periods.</w:t>
      </w:r>
    </w:p>
    <w:p>
      <w:pPr>
        <w:pStyle w:val="ListBullet"/>
      </w:pPr>
      <w:r>
        <w:t>Architecture should support clustering for distributed data processing.</w:t>
      </w:r>
    </w:p>
    <w:p>
      <w:pPr>
        <w:pStyle w:val="ListBullet"/>
      </w:pPr>
      <w:r>
        <w:t>System must accommodate future schema extensions with minimal downtime.</w:t>
      </w:r>
    </w:p>
    <w:p/>
    <w:p>
      <w:r>
        <w:t>Availability Requirements</w:t>
      </w:r>
    </w:p>
    <w:p>
      <w:pPr>
        <w:pStyle w:val="ListBullet"/>
      </w:pPr>
      <w:r>
        <w:t>System must provide 99.5% uptime (excluding scheduled maintenance).</w:t>
      </w:r>
    </w:p>
    <w:p>
      <w:pPr>
        <w:pStyle w:val="ListBullet"/>
      </w:pPr>
      <w:r>
        <w:t>Redundant data storage must be utilized to prevent single points of failure.</w:t>
      </w:r>
    </w:p>
    <w:p>
      <w:pPr>
        <w:pStyle w:val="ListBullet"/>
      </w:pPr>
      <w:r>
        <w:t>Failover mechanisms must be in place to handle hardware or software failures without data loss.</w:t>
      </w:r>
    </w:p>
    <w:p/>
    <w:p>
      <w:r>
        <w:t>Reliability &amp; Resilience Requirements</w:t>
      </w:r>
    </w:p>
    <w:p>
      <w:pPr>
        <w:pStyle w:val="ListBullet"/>
      </w:pPr>
      <w:r>
        <w:t>Mean Time To Recovery (MTTR) must not exceed 1 hour for processed data.</w:t>
      </w:r>
    </w:p>
    <w:p>
      <w:pPr>
        <w:pStyle w:val="ListBullet"/>
      </w:pPr>
      <w:r>
        <w:t>Mean Time Between Failures (MTBF) must be at least 1,000 hours of operation.</w:t>
      </w:r>
    </w:p>
    <w:p>
      <w:pPr>
        <w:pStyle w:val="ListBullet"/>
      </w:pPr>
      <w:r>
        <w:t>Incremental backup and point-in-time restore capabilities must be implemented.</w:t>
      </w:r>
    </w:p>
    <w:p>
      <w:pPr>
        <w:pStyle w:val="ListBullet"/>
      </w:pPr>
      <w:r>
        <w:t>Robust data validation and integrity checks are required at every transformation step.</w:t>
      </w:r>
    </w:p>
    <w:p/>
    <w:p>
      <w:r>
        <w:t>Security Requirements</w:t>
      </w:r>
    </w:p>
    <w:p>
      <w:pPr>
        <w:pStyle w:val="ListBullet"/>
      </w:pPr>
      <w:r>
        <w:t>User access controls must be enforced for all Delta tables and transformation jobs.</w:t>
      </w:r>
    </w:p>
    <w:p>
      <w:pPr>
        <w:pStyle w:val="ListBullet"/>
      </w:pPr>
      <w:r>
        <w:t>Role-based access must be implemented for data and jobs.</w:t>
      </w:r>
    </w:p>
    <w:p>
      <w:pPr>
        <w:pStyle w:val="ListBullet"/>
      </w:pPr>
      <w:r>
        <w:t>All data at rest and in transit must be encrypted using industry best-practice standards (e.g., AES-256).</w:t>
      </w:r>
    </w:p>
    <w:p>
      <w:pPr>
        <w:pStyle w:val="ListBullet"/>
      </w:pPr>
      <w:r>
        <w:t>Detailed audit logging of all data loads, updates, and deletions must be maintained.</w:t>
      </w:r>
    </w:p>
    <w:p>
      <w:pPr>
        <w:pStyle w:val="ListBullet"/>
      </w:pPr>
      <w:r>
        <w:t>Data masking or tokenization must be applied to sensitive fields in non-production environments.</w:t>
      </w:r>
    </w:p>
    <w:p/>
    <w:p>
      <w:r>
        <w:t>Compliance Requirements</w:t>
      </w:r>
    </w:p>
    <w:p>
      <w:pPr>
        <w:pStyle w:val="ListBullet"/>
      </w:pPr>
      <w:r>
        <w:t>Solution must comply with GDPR (where applicable), including right to erasure and data minimization.</w:t>
      </w:r>
    </w:p>
    <w:p>
      <w:pPr>
        <w:pStyle w:val="ListBullet"/>
      </w:pPr>
      <w:r>
        <w:t>Adhere to SOX and other applicable local data governance standards.</w:t>
      </w:r>
    </w:p>
    <w:p>
      <w:pPr>
        <w:pStyle w:val="ListBullet"/>
      </w:pPr>
      <w:r>
        <w:t>Ensure audit trails for all data processing pipelines.</w:t>
      </w:r>
    </w:p>
    <w:p>
      <w:pPr>
        <w:pStyle w:val="ListBullet"/>
      </w:pPr>
      <w:r>
        <w:t>Data retention and archival policies must be clearly defined and followed.</w:t>
      </w:r>
    </w:p>
    <w:p/>
    <w:p>
      <w:r>
        <w:t>Maintainability Requirements</w:t>
      </w:r>
    </w:p>
    <w:p>
      <w:pPr>
        <w:pStyle w:val="ListBullet"/>
      </w:pPr>
      <w:r>
        <w:t>Source code for all processing jobs must be under version control.</w:t>
      </w:r>
    </w:p>
    <w:p>
      <w:pPr>
        <w:pStyle w:val="ListBullet"/>
      </w:pPr>
      <w:r>
        <w:t>Clear coding standards and process documentation must be maintained.</w:t>
      </w:r>
    </w:p>
    <w:p>
      <w:pPr>
        <w:pStyle w:val="ListBullet"/>
      </w:pPr>
      <w:r>
        <w:t>Automated CI/CD pipelines for deployment, validation, and rollback must be established.</w:t>
      </w:r>
    </w:p>
    <w:p>
      <w:pPr>
        <w:pStyle w:val="ListBullet"/>
      </w:pPr>
      <w:r>
        <w:t>System configuration must be externalized and parameter-driven.</w:t>
      </w:r>
    </w:p>
    <w:p>
      <w:pPr>
        <w:pStyle w:val="ListBullet"/>
      </w:pPr>
      <w:r>
        <w:t>Documentation for all batch jobs, tables, and column definitions is required.</w:t>
      </w:r>
    </w:p>
    <w:p/>
    <w:p>
      <w:r>
        <w:t>Observability Requirements</w:t>
      </w:r>
    </w:p>
    <w:p>
      <w:pPr>
        <w:pStyle w:val="ListBullet"/>
      </w:pPr>
      <w:r>
        <w:t>All job executions, successes, and failures must be logged and traceable.</w:t>
      </w:r>
    </w:p>
    <w:p>
      <w:pPr>
        <w:pStyle w:val="ListBullet"/>
      </w:pPr>
      <w:r>
        <w:t>Real-time dashboards for job status, performance metrics, and data quality must be available.</w:t>
      </w:r>
    </w:p>
    <w:p>
      <w:pPr>
        <w:pStyle w:val="ListBullet"/>
      </w:pPr>
      <w:r>
        <w:t>Integrate with enterprise monitoring solutions for alerting and historical metrics.</w:t>
      </w:r>
    </w:p>
    <w:p>
      <w:pPr>
        <w:pStyle w:val="ListBullet"/>
      </w:pPr>
      <w:r>
        <w:t>System must record trace events for debugging and audit purposes.</w:t>
      </w:r>
    </w:p>
    <w:p/>
    <w:p>
      <w:r>
        <w:t>Usability &amp; Accessibility Requirements</w:t>
      </w:r>
    </w:p>
    <w:p>
      <w:pPr>
        <w:pStyle w:val="ListBullet"/>
      </w:pPr>
      <w:r>
        <w:t>Any user-accessible dashboards or interfaces must conform with WCAG 2.1 Level AA accessibility guidelines.</w:t>
      </w:r>
    </w:p>
    <w:p>
      <w:pPr>
        <w:pStyle w:val="ListBullet"/>
      </w:pPr>
      <w:r>
        <w:t>System status and job outcomes must be presented with clear notifications and error messages.</w:t>
      </w:r>
    </w:p>
    <w:p>
      <w:pPr>
        <w:pStyle w:val="ListBullet"/>
      </w:pPr>
      <w:r>
        <w:t>Documentation and guides must be accessible to all approved stakeholders.</w:t>
      </w:r>
    </w:p>
    <w:p/>
    <w:p>
      <w:r>
        <w:t>Service Level Agreements (SLAs) &amp; Service Boundaries</w:t>
      </w:r>
    </w:p>
    <w:p>
      <w:pPr>
        <w:pStyle w:val="ListBullet"/>
      </w:pPr>
      <w:r>
        <w:t>Data ingestion and processing must meet the performance and uptime SLAs stated.</w:t>
      </w:r>
    </w:p>
    <w:p>
      <w:pPr>
        <w:pStyle w:val="ListBullet"/>
      </w:pPr>
      <w:r>
        <w:t>System interfaces must document input/output contracts and expected behaviors.</w:t>
      </w:r>
    </w:p>
    <w:p>
      <w:pPr>
        <w:pStyle w:val="ListBullet"/>
      </w:pPr>
      <w:r>
        <w:t>Service boundaries with upstream and downstream systems must be documented, including data schemas and failure handling.</w:t>
      </w:r>
    </w:p>
    <w:p/>
    <w:p>
      <w:r>
        <w:t>Constraints and Dependencies</w:t>
      </w:r>
    </w:p>
    <w:p>
      <w:pPr>
        <w:pStyle w:val="ListBullet"/>
      </w:pPr>
      <w:r>
        <w:t>Performance dependent on source storage and delta processing cluster capacity.</w:t>
      </w:r>
    </w:p>
    <w:p>
      <w:pPr>
        <w:pStyle w:val="ListBullet"/>
      </w:pPr>
      <w:r>
        <w:t>Compliance with enterprise IAM, logging, and encryption policies required.</w:t>
      </w:r>
    </w:p>
    <w:p>
      <w:pPr>
        <w:pStyle w:val="ListBullet"/>
      </w:pPr>
      <w:r>
        <w:t>Minimum supported runtime version(s) must be documented.</w:t>
      </w:r>
    </w:p>
    <w:p>
      <w:pPr>
        <w:pStyle w:val="ListBullet"/>
      </w:pPr>
      <w:r>
        <w:t>Adherence to corporate backup, archival, and data purging policies.</w:t>
      </w:r>
    </w:p>
    <w:p/>
    <w:p>
      <w:r>
        <w:t>Engineering Considerations</w:t>
      </w:r>
    </w:p>
    <w:p>
      <w:pPr>
        <w:pStyle w:val="ListBullet"/>
      </w:pPr>
      <w:r>
        <w:t>Solution must follow ISO/IEC 25010 quality attribute guidelines for reliability, maintainability, and security.</w:t>
      </w:r>
    </w:p>
    <w:p>
      <w:pPr>
        <w:pStyle w:val="ListBullet"/>
      </w:pPr>
      <w:r>
        <w:t>Reusable, modular job code is required to support maintainability and future extensibility.</w:t>
      </w:r>
    </w:p>
    <w:p>
      <w:pPr>
        <w:pStyle w:val="ListBullet"/>
      </w:pPr>
      <w:r>
        <w:t>All platform dependencies must be identified and documented.</w:t>
      </w:r>
    </w:p>
    <w:p/>
    <w:p>
      <w:r>
        <w:t>References</w:t>
      </w:r>
    </w:p>
    <w:p>
      <w:pPr>
        <w:pStyle w:val="ListBullet"/>
      </w:pPr>
      <w:r>
        <w:t>ISO/IEC 25010:2011 Systems and software engineering—Systems and software Quality Requirements and Evaluation (SQuaRE)</w:t>
      </w:r>
    </w:p>
    <w:p>
      <w:pPr>
        <w:pStyle w:val="ListBullet"/>
      </w:pPr>
      <w:r>
        <w:t>GDPR, SOX regulatory texts</w:t>
      </w:r>
    </w:p>
    <w:p>
      <w:pPr>
        <w:pStyle w:val="ListBullet"/>
      </w:pPr>
      <w:r>
        <w:t>WCAG 2.1 guidelines</w:t>
      </w:r>
    </w:p>
    <w:p/>
    <w:p>
      <w:r>
        <w:t>Definitions</w:t>
      </w:r>
    </w:p>
    <w:p>
      <w:pPr>
        <w:pStyle w:val="ListBullet"/>
      </w:pPr>
      <w:r>
        <w:t>MTTR: Mean Time to Recovery</w:t>
      </w:r>
    </w:p>
    <w:p>
      <w:pPr>
        <w:pStyle w:val="ListBullet"/>
      </w:pPr>
      <w:r>
        <w:t>MTBF: Mean Time Between Failures</w:t>
      </w:r>
    </w:p>
    <w:p>
      <w:pPr>
        <w:pStyle w:val="ListBullet"/>
      </w:pPr>
      <w:r>
        <w:t>SCD: Slowly Changing Dimension</w:t>
      </w:r>
    </w:p>
    <w:p>
      <w:pPr>
        <w:pStyle w:val="ListBullet"/>
      </w:pPr>
      <w:r>
        <w:t>SLA: Service Level Agreement</w:t>
      </w:r>
    </w:p>
    <w:p>
      <w:pPr>
        <w:pStyle w:val="ListBullet"/>
      </w:pPr>
      <w:r>
        <w:t>IAM: Identity and Access Management</w:t>
      </w:r>
    </w:p>
    <w:p>
      <w:pPr>
        <w:pStyle w:val="ListBullet"/>
      </w:pPr>
      <w:r>
        <w:t>CI/CD: Continuous Integration/Continuous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